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64DEC">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pPr>
    </w:p>
    <w:p w14:paraId="7AC8257B">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t>赣州市污水处理有限公司</w:t>
      </w:r>
    </w:p>
    <w:p w14:paraId="4C11DE54">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eastAsia" w:cs="Times New Roman"/>
          <w:b/>
          <w:bCs/>
          <w:color w:val="000000" w:themeColor="text1"/>
          <w:kern w:val="0"/>
          <w:sz w:val="44"/>
          <w:szCs w:val="4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t>赣州市中心城区生活污水处理厂网一体化</w:t>
      </w:r>
      <w:r>
        <w:rPr>
          <w:rFonts w:hint="eastAsia" w:cs="Times New Roman"/>
          <w:b/>
          <w:bCs/>
          <w:color w:val="000000" w:themeColor="text1"/>
          <w:kern w:val="0"/>
          <w:sz w:val="44"/>
          <w:szCs w:val="4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t>一期</w:t>
      </w:r>
      <w:r>
        <w:rPr>
          <w:rFonts w:hint="eastAsia" w:cs="Times New Roman"/>
          <w:b/>
          <w:bCs/>
          <w:color w:val="000000" w:themeColor="text1"/>
          <w:kern w:val="0"/>
          <w:sz w:val="44"/>
          <w:szCs w:val="44"/>
          <w:lang w:val="en-US" w:eastAsia="zh-CN" w:bidi="ar"/>
          <w14:textFill>
            <w14:solidFill>
              <w14:schemeClr w14:val="tx1"/>
            </w14:solidFill>
          </w14:textFill>
        </w:rPr>
        <w:t>）</w:t>
      </w:r>
    </w:p>
    <w:p w14:paraId="3A7470B7">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t>经开区污水管网完善工程车头路多功能微顶管</w:t>
      </w:r>
    </w:p>
    <w:p w14:paraId="5A0CCFBD">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44"/>
          <w:szCs w:val="44"/>
          <w:lang w:val="en-US" w:eastAsia="zh-CN" w:bidi="ar"/>
          <w14:textFill>
            <w14:solidFill>
              <w14:schemeClr w14:val="tx1"/>
            </w14:solidFill>
          </w14:textFill>
        </w:rPr>
        <w:t>施工作业</w:t>
      </w:r>
    </w:p>
    <w:p w14:paraId="5680A6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color w:val="000000" w:themeColor="text1"/>
          <w:sz w:val="52"/>
          <w:szCs w:val="52"/>
          <w:lang w:eastAsia="zh-CN"/>
          <w14:textFill>
            <w14:solidFill>
              <w14:schemeClr w14:val="tx1"/>
            </w14:solidFill>
          </w14:textFill>
        </w:rPr>
      </w:pPr>
      <w:r>
        <w:rPr>
          <w:rFonts w:hint="default" w:ascii="Times New Roman" w:hAnsi="Times New Roman" w:eastAsia="黑体" w:cs="Times New Roman"/>
          <w:b/>
          <w:color w:val="000000" w:themeColor="text1"/>
          <w:sz w:val="52"/>
          <w:szCs w:val="52"/>
          <w:lang w:eastAsia="zh-CN"/>
          <w14:textFill>
            <w14:solidFill>
              <w14:schemeClr w14:val="tx1"/>
            </w14:solidFill>
          </w14:textFill>
        </w:rPr>
        <w:t>安全</w:t>
      </w:r>
      <w:r>
        <w:rPr>
          <w:rFonts w:hint="eastAsia" w:eastAsia="黑体" w:cs="Times New Roman"/>
          <w:b/>
          <w:color w:val="000000" w:themeColor="text1"/>
          <w:sz w:val="52"/>
          <w:szCs w:val="52"/>
          <w:lang w:val="en-US" w:eastAsia="zh-CN"/>
          <w14:textFill>
            <w14:solidFill>
              <w14:schemeClr w14:val="tx1"/>
            </w14:solidFill>
          </w14:textFill>
        </w:rPr>
        <w:t>评估</w:t>
      </w:r>
      <w:r>
        <w:rPr>
          <w:rFonts w:hint="default" w:ascii="Times New Roman" w:hAnsi="Times New Roman" w:eastAsia="黑体" w:cs="Times New Roman"/>
          <w:b/>
          <w:color w:val="000000" w:themeColor="text1"/>
          <w:sz w:val="52"/>
          <w:szCs w:val="52"/>
          <w:lang w:eastAsia="zh-CN"/>
          <w14:textFill>
            <w14:solidFill>
              <w14:schemeClr w14:val="tx1"/>
            </w14:solidFill>
          </w14:textFill>
        </w:rPr>
        <w:t>报告</w:t>
      </w:r>
    </w:p>
    <w:p w14:paraId="3EE971C7">
      <w:pPr>
        <w:keepNext w:val="0"/>
        <w:keepLines w:val="0"/>
        <w:pageBreakBefore w:val="0"/>
        <w:widowControl w:val="0"/>
        <w:tabs>
          <w:tab w:val="left" w:leader="middleDot" w:pos="8540"/>
        </w:tabs>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cs="Times New Roman"/>
          <w:b/>
          <w:color w:val="000000" w:themeColor="text1"/>
          <w:sz w:val="44"/>
          <w:szCs w:val="44"/>
          <w14:textFill>
            <w14:solidFill>
              <w14:schemeClr w14:val="tx1"/>
            </w14:solidFill>
          </w14:textFill>
        </w:rPr>
      </w:pPr>
      <w:r>
        <w:rPr>
          <w:rFonts w:hint="default" w:ascii="Times New Roman" w:hAnsi="Times New Roman" w:cs="Times New Roman"/>
          <w:b/>
          <w:color w:val="000000" w:themeColor="text1"/>
          <w:sz w:val="44"/>
          <w:szCs w:val="44"/>
          <w14:textFill>
            <w14:solidFill>
              <w14:schemeClr w14:val="tx1"/>
            </w14:solidFill>
          </w14:textFill>
        </w:rPr>
        <w:t>（</w:t>
      </w:r>
      <w:r>
        <w:rPr>
          <w:rFonts w:hint="eastAsia" w:cs="Times New Roman"/>
          <w:b/>
          <w:color w:val="000000" w:themeColor="text1"/>
          <w:sz w:val="44"/>
          <w:szCs w:val="44"/>
          <w:lang w:val="en-US" w:eastAsia="zh-CN"/>
          <w14:textFill>
            <w14:solidFill>
              <w14:schemeClr w14:val="tx1"/>
            </w14:solidFill>
          </w14:textFill>
        </w:rPr>
        <w:t>终稿</w:t>
      </w:r>
      <w:r>
        <w:rPr>
          <w:rFonts w:hint="default" w:ascii="Times New Roman" w:hAnsi="Times New Roman" w:cs="Times New Roman"/>
          <w:b/>
          <w:color w:val="000000" w:themeColor="text1"/>
          <w:sz w:val="44"/>
          <w:szCs w:val="44"/>
          <w14:textFill>
            <w14:solidFill>
              <w14:schemeClr w14:val="tx1"/>
            </w14:solidFill>
          </w14:textFill>
        </w:rPr>
        <w:t>）</w:t>
      </w:r>
    </w:p>
    <w:p w14:paraId="100B8244">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436364FE">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16E2A644">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082E5685">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46BD644B">
      <w:pPr>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4E958B49">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7EEC8231">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51749A09">
      <w:pPr>
        <w:pStyle w:val="29"/>
        <w:keepNext w:val="0"/>
        <w:keepLines w:val="0"/>
        <w:pageBreakBefore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06D64F87">
      <w:pPr>
        <w:pStyle w:val="29"/>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themeColor="text1"/>
          <w:sz w:val="52"/>
          <w:szCs w:val="52"/>
          <w14:textFill>
            <w14:solidFill>
              <w14:schemeClr w14:val="tx1"/>
            </w14:solidFill>
          </w14:textFill>
        </w:rPr>
      </w:pPr>
    </w:p>
    <w:p w14:paraId="38FEAA8F">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宋体" w:cs="Times New Roman"/>
          <w:b/>
          <w:bCs/>
          <w:color w:val="000000" w:themeColor="text1"/>
          <w:sz w:val="44"/>
          <w:szCs w:val="44"/>
          <w14:textFill>
            <w14:solidFill>
              <w14:schemeClr w14:val="tx1"/>
            </w14:solidFill>
          </w14:textFill>
        </w:rPr>
      </w:pPr>
      <w:r>
        <w:rPr>
          <w:rFonts w:hint="default" w:ascii="Times New Roman" w:hAnsi="Times New Roman" w:eastAsia="宋体" w:cs="Times New Roman"/>
          <w:b/>
          <w:bCs/>
          <w:color w:val="000000" w:themeColor="text1"/>
          <w:sz w:val="44"/>
          <w:szCs w:val="44"/>
          <w14:textFill>
            <w14:solidFill>
              <w14:schemeClr w14:val="tx1"/>
            </w14:solidFill>
          </w14:textFill>
        </w:rPr>
        <w:t>江西赣安安全生产科学技术咨询服务中心</w:t>
      </w:r>
    </w:p>
    <w:p w14:paraId="65BD90D9">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宋体" w:cs="Times New Roman"/>
          <w:b/>
          <w:color w:val="000000" w:themeColor="text1"/>
          <w:sz w:val="32"/>
          <w:szCs w:val="32"/>
          <w14:textFill>
            <w14:solidFill>
              <w14:schemeClr w14:val="tx1"/>
            </w14:solidFill>
          </w14:textFill>
        </w:rPr>
      </w:pPr>
      <w:r>
        <w:rPr>
          <w:rFonts w:hint="default" w:ascii="Times New Roman" w:hAnsi="Times New Roman" w:eastAsia="宋体" w:cs="Times New Roman"/>
          <w:b/>
          <w:color w:val="000000" w:themeColor="text1"/>
          <w:sz w:val="32"/>
          <w:szCs w:val="32"/>
          <w14:textFill>
            <w14:solidFill>
              <w14:schemeClr w14:val="tx1"/>
            </w14:solidFill>
          </w14:textFill>
        </w:rPr>
        <w:t>APJ-（赣）-002</w:t>
      </w:r>
    </w:p>
    <w:p w14:paraId="1E7619EC">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宋体" w:cs="Times New Roman"/>
          <w:b/>
          <w:color w:val="000000" w:themeColor="text1"/>
          <w:sz w:val="32"/>
          <w:szCs w:val="32"/>
          <w:lang w:val="en-US" w:eastAsia="zh-CN"/>
          <w14:textFill>
            <w14:solidFill>
              <w14:schemeClr w14:val="tx1"/>
            </w14:solidFill>
          </w14:textFill>
        </w:rPr>
      </w:pPr>
      <w:r>
        <w:rPr>
          <w:rFonts w:hint="default" w:ascii="Times New Roman" w:hAnsi="Times New Roman" w:cs="Times New Roman"/>
          <w:b/>
          <w:color w:val="000000" w:themeColor="text1"/>
          <w:sz w:val="32"/>
          <w:szCs w:val="32"/>
          <w:lang w:val="en-US" w:eastAsia="zh-CN"/>
          <w14:textFill>
            <w14:solidFill>
              <w14:schemeClr w14:val="tx1"/>
            </w14:solidFill>
          </w14:textFill>
        </w:rPr>
        <w:t>202</w:t>
      </w:r>
      <w:r>
        <w:rPr>
          <w:rFonts w:hint="eastAsia" w:cs="Times New Roman"/>
          <w:b/>
          <w:color w:val="000000" w:themeColor="text1"/>
          <w:sz w:val="32"/>
          <w:szCs w:val="32"/>
          <w:lang w:val="en-US" w:eastAsia="zh-CN"/>
          <w14:textFill>
            <w14:solidFill>
              <w14:schemeClr w14:val="tx1"/>
            </w14:solidFill>
          </w14:textFill>
        </w:rPr>
        <w:t>4</w:t>
      </w:r>
      <w:r>
        <w:rPr>
          <w:rFonts w:hint="default" w:ascii="Times New Roman" w:hAnsi="Times New Roman" w:eastAsia="宋体" w:cs="Times New Roman"/>
          <w:b/>
          <w:color w:val="000000" w:themeColor="text1"/>
          <w:sz w:val="32"/>
          <w:szCs w:val="32"/>
          <w14:textFill>
            <w14:solidFill>
              <w14:schemeClr w14:val="tx1"/>
            </w14:solidFill>
          </w14:textFill>
        </w:rPr>
        <w:t>年</w:t>
      </w:r>
      <w:r>
        <w:rPr>
          <w:rFonts w:hint="eastAsia" w:cs="Times New Roman"/>
          <w:b/>
          <w:color w:val="000000" w:themeColor="text1"/>
          <w:sz w:val="32"/>
          <w:szCs w:val="32"/>
          <w:lang w:val="en-US" w:eastAsia="zh-CN"/>
          <w14:textFill>
            <w14:solidFill>
              <w14:schemeClr w14:val="tx1"/>
            </w14:solidFill>
          </w14:textFill>
        </w:rPr>
        <w:t>12</w:t>
      </w:r>
      <w:r>
        <w:rPr>
          <w:rFonts w:hint="default" w:ascii="Times New Roman" w:hAnsi="Times New Roman" w:eastAsia="宋体" w:cs="Times New Roman"/>
          <w:b/>
          <w:color w:val="000000" w:themeColor="text1"/>
          <w:sz w:val="32"/>
          <w:szCs w:val="32"/>
          <w14:textFill>
            <w14:solidFill>
              <w14:schemeClr w14:val="tx1"/>
            </w14:solidFill>
          </w14:textFill>
        </w:rPr>
        <w:t>月</w:t>
      </w:r>
      <w:r>
        <w:rPr>
          <w:rFonts w:hint="eastAsia" w:cs="Times New Roman"/>
          <w:b/>
          <w:color w:val="000000" w:themeColor="text1"/>
          <w:sz w:val="32"/>
          <w:szCs w:val="32"/>
          <w:lang w:val="en-US" w:eastAsia="zh-CN"/>
          <w14:textFill>
            <w14:solidFill>
              <w14:schemeClr w14:val="tx1"/>
            </w14:solidFill>
          </w14:textFill>
        </w:rPr>
        <w:t>9</w:t>
      </w:r>
      <w:r>
        <w:rPr>
          <w:rFonts w:hint="default" w:ascii="Times New Roman" w:hAnsi="Times New Roman" w:eastAsia="宋体" w:cs="Times New Roman"/>
          <w:b/>
          <w:color w:val="000000" w:themeColor="text1"/>
          <w:sz w:val="32"/>
          <w:szCs w:val="32"/>
          <w:lang w:val="en-US" w:eastAsia="zh-CN"/>
          <w14:textFill>
            <w14:solidFill>
              <w14:schemeClr w14:val="tx1"/>
            </w14:solidFill>
          </w14:textFill>
        </w:rPr>
        <w:t>日</w:t>
      </w:r>
    </w:p>
    <w:p w14:paraId="09EBAF99">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cs="Times New Roman"/>
          <w:color w:val="000000" w:themeColor="text1"/>
          <w14:textFill>
            <w14:solidFill>
              <w14:schemeClr w14:val="tx1"/>
            </w14:solidFill>
          </w14:textFill>
        </w:rPr>
      </w:pPr>
    </w:p>
    <w:p w14:paraId="2295B945">
      <w:pPr>
        <w:rPr>
          <w:rFonts w:hint="default" w:ascii="Times New Roman" w:hAnsi="Times New Roman" w:cs="Times New Roman"/>
          <w:color w:val="000000" w:themeColor="text1"/>
          <w14:textFill>
            <w14:solidFill>
              <w14:schemeClr w14:val="tx1"/>
            </w14:solidFill>
          </w14:textFill>
        </w:rPr>
        <w:sectPr>
          <w:headerReference r:id="rId5" w:type="first"/>
          <w:footerReference r:id="rId6" w:type="first"/>
          <w:pgSz w:w="11906" w:h="16839"/>
          <w:pgMar w:top="1417" w:right="1417" w:bottom="1417" w:left="1417" w:header="850" w:footer="992" w:gutter="0"/>
          <w:pgBorders>
            <w:top w:val="none" w:sz="0" w:space="0"/>
            <w:left w:val="none" w:sz="0" w:space="0"/>
            <w:bottom w:val="none" w:sz="0" w:space="0"/>
            <w:right w:val="none" w:sz="0" w:space="0"/>
          </w:pgBorders>
          <w:pgNumType w:fmt="upperRoman" w:start="1"/>
          <w:cols w:space="720" w:num="1"/>
          <w:rtlGutter w:val="0"/>
          <w:docGrid w:linePitch="312" w:charSpace="0"/>
        </w:sectPr>
      </w:pPr>
    </w:p>
    <w:p w14:paraId="793F63A2">
      <w:pPr>
        <w:rPr>
          <w:rFonts w:hint="default" w:ascii="Times New Roman" w:hAnsi="Times New Roman" w:cs="Times New Roman"/>
          <w:color w:val="000000" w:themeColor="text1"/>
          <w14:textFill>
            <w14:solidFill>
              <w14:schemeClr w14:val="tx1"/>
            </w14:solidFill>
          </w14:textFill>
        </w:rPr>
      </w:pPr>
    </w:p>
    <w:p w14:paraId="7468F0F2">
      <w:pPr>
        <w:rPr>
          <w:rFonts w:hint="default" w:ascii="Times New Roman" w:hAnsi="Times New Roman" w:cs="Times New Roman"/>
          <w:color w:val="000000" w:themeColor="text1"/>
          <w14:textFill>
            <w14:solidFill>
              <w14:schemeClr w14:val="tx1"/>
            </w14:solidFill>
          </w14:textFill>
        </w:rPr>
      </w:pPr>
    </w:p>
    <w:p w14:paraId="02FE3DDC">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赣州市污水处理有限公司</w:t>
      </w:r>
    </w:p>
    <w:p w14:paraId="72F34F02">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赣州市中心城区生活污水处理厂网一体化（一期）</w:t>
      </w:r>
    </w:p>
    <w:p w14:paraId="42BE8884">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经开区污水管网完善工程车头路多功能微顶管</w:t>
      </w:r>
    </w:p>
    <w:p w14:paraId="2B63A95B">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Times New Roman"/>
          <w:b/>
          <w:bCs w:val="0"/>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施工作业</w:t>
      </w:r>
    </w:p>
    <w:p w14:paraId="17693190">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宋体"/>
          <w:b/>
          <w:color w:val="000000" w:themeColor="text1"/>
          <w:sz w:val="44"/>
          <w:szCs w:val="44"/>
          <w14:textFill>
            <w14:solidFill>
              <w14:schemeClr w14:val="tx1"/>
            </w14:solidFill>
          </w14:textFill>
        </w:rPr>
      </w:pPr>
      <w:r>
        <w:rPr>
          <w:rFonts w:hint="eastAsia" w:ascii="宋体" w:hAnsi="宋体" w:eastAsia="宋体" w:cs="宋体"/>
          <w:b/>
          <w:color w:val="000000" w:themeColor="text1"/>
          <w:sz w:val="44"/>
          <w:szCs w:val="44"/>
          <w14:textFill>
            <w14:solidFill>
              <w14:schemeClr w14:val="tx1"/>
            </w14:solidFill>
          </w14:textFill>
        </w:rPr>
        <w:t>安全评估报告</w:t>
      </w:r>
    </w:p>
    <w:p w14:paraId="3B1FC1AC">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宋体"/>
          <w:b/>
          <w:color w:val="000000" w:themeColor="text1"/>
          <w:sz w:val="44"/>
          <w:szCs w:val="44"/>
          <w14:textFill>
            <w14:solidFill>
              <w14:schemeClr w14:val="tx1"/>
            </w14:solidFill>
          </w14:textFill>
        </w:rPr>
      </w:pPr>
      <w:r>
        <w:rPr>
          <w:rFonts w:hint="eastAsia" w:ascii="宋体" w:hAnsi="宋体" w:eastAsia="宋体" w:cs="宋体"/>
          <w:b/>
          <w:color w:val="000000" w:themeColor="text1"/>
          <w:sz w:val="44"/>
          <w:szCs w:val="44"/>
          <w14:textFill>
            <w14:solidFill>
              <w14:schemeClr w14:val="tx1"/>
            </w14:solidFill>
          </w14:textFill>
        </w:rPr>
        <w:t>（</w:t>
      </w:r>
      <w:r>
        <w:rPr>
          <w:rFonts w:hint="eastAsia" w:ascii="宋体" w:hAnsi="宋体" w:cs="宋体"/>
          <w:b/>
          <w:color w:val="000000" w:themeColor="text1"/>
          <w:sz w:val="44"/>
          <w:szCs w:val="44"/>
          <w:lang w:val="en-US" w:eastAsia="zh-CN"/>
          <w14:textFill>
            <w14:solidFill>
              <w14:schemeClr w14:val="tx1"/>
            </w14:solidFill>
          </w14:textFill>
        </w:rPr>
        <w:t>终稿</w:t>
      </w:r>
      <w:r>
        <w:rPr>
          <w:rFonts w:hint="eastAsia" w:ascii="宋体" w:hAnsi="宋体" w:eastAsia="宋体" w:cs="宋体"/>
          <w:b/>
          <w:color w:val="000000" w:themeColor="text1"/>
          <w:sz w:val="44"/>
          <w:szCs w:val="44"/>
          <w14:textFill>
            <w14:solidFill>
              <w14:schemeClr w14:val="tx1"/>
            </w14:solidFill>
          </w14:textFill>
        </w:rPr>
        <w:t>）</w:t>
      </w:r>
    </w:p>
    <w:p w14:paraId="6121CF8B">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000000" w:themeColor="text1"/>
          <w14:textFill>
            <w14:solidFill>
              <w14:schemeClr w14:val="tx1"/>
            </w14:solidFill>
          </w14:textFill>
        </w:rPr>
      </w:pPr>
    </w:p>
    <w:p w14:paraId="196C5BEC">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color w:val="000000" w:themeColor="text1"/>
          <w14:textFill>
            <w14:solidFill>
              <w14:schemeClr w14:val="tx1"/>
            </w14:solidFill>
          </w14:textFill>
        </w:rPr>
      </w:pPr>
    </w:p>
    <w:p w14:paraId="42F77923">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000000" w:themeColor="text1"/>
          <w14:textFill>
            <w14:solidFill>
              <w14:schemeClr w14:val="tx1"/>
            </w14:solidFill>
          </w14:textFill>
        </w:rPr>
      </w:pPr>
    </w:p>
    <w:p w14:paraId="5AEB2401">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000000" w:themeColor="text1"/>
          <w14:textFill>
            <w14:solidFill>
              <w14:schemeClr w14:val="tx1"/>
            </w14:solidFill>
          </w14:textFill>
        </w:rPr>
      </w:pPr>
    </w:p>
    <w:p w14:paraId="1B37B47E">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000000" w:themeColor="text1"/>
          <w14:textFill>
            <w14:solidFill>
              <w14:schemeClr w14:val="tx1"/>
            </w14:solidFill>
          </w14:textFill>
        </w:rPr>
      </w:pPr>
    </w:p>
    <w:p w14:paraId="33736FB5">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000000" w:themeColor="text1"/>
          <w14:textFill>
            <w14:solidFill>
              <w14:schemeClr w14:val="tx1"/>
            </w14:solidFill>
          </w14:textFill>
        </w:rPr>
      </w:pPr>
    </w:p>
    <w:p w14:paraId="33BADD85">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000000" w:themeColor="text1"/>
          <w14:textFill>
            <w14:solidFill>
              <w14:schemeClr w14:val="tx1"/>
            </w14:solidFill>
          </w14:textFill>
        </w:rPr>
      </w:pPr>
    </w:p>
    <w:p w14:paraId="7C5DC02B">
      <w:pPr>
        <w:pStyle w:val="29"/>
        <w:keepNext w:val="0"/>
        <w:keepLines w:val="0"/>
        <w:pageBreakBefore w:val="0"/>
        <w:kinsoku/>
        <w:wordWrap/>
        <w:overflowPunct/>
        <w:topLinePunct w:val="0"/>
        <w:autoSpaceDE/>
        <w:autoSpaceDN/>
        <w:bidi w:val="0"/>
        <w:adjustRightInd/>
        <w:snapToGrid/>
        <w:ind w:firstLine="0" w:firstLineChars="0"/>
        <w:textAlignment w:val="auto"/>
        <w:rPr>
          <w:color w:val="000000" w:themeColor="text1"/>
          <w14:textFill>
            <w14:solidFill>
              <w14:schemeClr w14:val="tx1"/>
            </w14:solidFill>
          </w14:textFill>
        </w:rPr>
      </w:pPr>
    </w:p>
    <w:p w14:paraId="66C2A022">
      <w:pPr>
        <w:keepNext w:val="0"/>
        <w:keepLines w:val="0"/>
        <w:pageBreakBefore w:val="0"/>
        <w:kinsoku/>
        <w:wordWrap/>
        <w:overflowPunct/>
        <w:topLinePunct w:val="0"/>
        <w:autoSpaceDE/>
        <w:autoSpaceDN/>
        <w:bidi w:val="0"/>
        <w:adjustRightInd/>
        <w:snapToGrid/>
        <w:spacing w:line="400" w:lineRule="exact"/>
        <w:ind w:firstLine="0" w:firstLineChars="0"/>
        <w:jc w:val="both"/>
        <w:textAlignment w:val="auto"/>
        <w:rPr>
          <w:rFonts w:hint="eastAsia" w:ascii="宋体" w:hAnsi="宋体" w:cs="宋体"/>
          <w:color w:val="000000" w:themeColor="text1"/>
          <w:sz w:val="28"/>
          <w:szCs w:val="28"/>
          <w14:textFill>
            <w14:solidFill>
              <w14:schemeClr w14:val="tx1"/>
            </w14:solidFill>
          </w14:textFill>
        </w:rPr>
      </w:pPr>
    </w:p>
    <w:p w14:paraId="7046E53F">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w:t>
      </w:r>
      <w:r>
        <w:rPr>
          <w:rFonts w:hint="eastAsia" w:ascii="宋体" w:hAnsi="宋体" w:cs="宋体"/>
          <w:color w:val="000000" w:themeColor="text1"/>
          <w:sz w:val="28"/>
          <w:szCs w:val="28"/>
          <w:lang w:val="en-US" w:eastAsia="zh-CN"/>
          <w14:textFill>
            <w14:solidFill>
              <w14:schemeClr w14:val="tx1"/>
            </w14:solidFill>
          </w14:textFill>
        </w:rPr>
        <w:t>应  宏</w:t>
      </w:r>
    </w:p>
    <w:p w14:paraId="25E8B554">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cs="宋体"/>
          <w:color w:val="000000" w:themeColor="text1"/>
          <w:sz w:val="28"/>
          <w:szCs w:val="28"/>
          <w14:textFill>
            <w14:solidFill>
              <w14:schemeClr w14:val="tx1"/>
            </w14:solidFill>
          </w14:textFill>
        </w:rPr>
      </w:pPr>
    </w:p>
    <w:p w14:paraId="3705AC76">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Cs/>
          <w:color w:val="000000" w:themeColor="text1"/>
          <w:sz w:val="28"/>
          <w:szCs w:val="28"/>
          <w:lang w:val="en-US" w:eastAsia="zh-CN"/>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技术负责人：</w:t>
      </w:r>
      <w:r>
        <w:rPr>
          <w:rFonts w:hint="default" w:ascii="宋体" w:hAnsi="宋体" w:cs="宋体"/>
          <w:bCs/>
          <w:color w:val="000000" w:themeColor="text1"/>
          <w:sz w:val="28"/>
          <w:szCs w:val="28"/>
          <w:lang w:val="en-US" w:eastAsia="zh-CN"/>
          <w14:textFill>
            <w14:solidFill>
              <w14:schemeClr w14:val="tx1"/>
            </w14:solidFill>
          </w14:textFill>
        </w:rPr>
        <w:t>周红波</w:t>
      </w:r>
    </w:p>
    <w:p w14:paraId="669883C3">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cs="宋体"/>
          <w:bCs/>
          <w:color w:val="000000" w:themeColor="text1"/>
          <w:sz w:val="28"/>
          <w:szCs w:val="28"/>
          <w14:textFill>
            <w14:solidFill>
              <w14:schemeClr w14:val="tx1"/>
            </w14:solidFill>
          </w14:textFill>
        </w:rPr>
      </w:pPr>
    </w:p>
    <w:p w14:paraId="5985D2B9">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Cs/>
          <w:color w:val="000000" w:themeColor="text1"/>
          <w:sz w:val="32"/>
          <w:szCs w:val="32"/>
          <w:lang w:val="en-US" w:eastAsia="zh-CN"/>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项目负责人：</w:t>
      </w:r>
      <w:r>
        <w:rPr>
          <w:rFonts w:hint="eastAsia" w:ascii="宋体" w:hAnsi="宋体" w:cs="宋体"/>
          <w:bCs/>
          <w:color w:val="000000" w:themeColor="text1"/>
          <w:sz w:val="28"/>
          <w:szCs w:val="28"/>
          <w:lang w:val="en-US" w:eastAsia="zh-CN"/>
          <w14:textFill>
            <w14:solidFill>
              <w14:schemeClr w14:val="tx1"/>
            </w14:solidFill>
          </w14:textFill>
        </w:rPr>
        <w:t>许玉才</w:t>
      </w:r>
    </w:p>
    <w:p w14:paraId="6A6A12C4">
      <w:pPr>
        <w:pStyle w:val="29"/>
        <w:keepNext w:val="0"/>
        <w:keepLines w:val="0"/>
        <w:pageBreakBefore w:val="0"/>
        <w:kinsoku/>
        <w:wordWrap/>
        <w:overflowPunct/>
        <w:topLinePunct w:val="0"/>
        <w:autoSpaceDE/>
        <w:autoSpaceDN/>
        <w:bidi w:val="0"/>
        <w:adjustRightInd/>
        <w:snapToGrid/>
        <w:ind w:left="0" w:leftChars="0" w:firstLine="0" w:firstLineChars="0"/>
        <w:textAlignment w:val="auto"/>
        <w:rPr>
          <w:rFonts w:hint="eastAsia"/>
          <w:color w:val="000000" w:themeColor="text1"/>
          <w14:textFill>
            <w14:solidFill>
              <w14:schemeClr w14:val="tx1"/>
            </w14:solidFill>
          </w14:textFill>
        </w:rPr>
      </w:pPr>
    </w:p>
    <w:p w14:paraId="19EC0A73">
      <w:pPr>
        <w:keepNext w:val="0"/>
        <w:keepLines w:val="0"/>
        <w:pageBreakBefore w:val="0"/>
        <w:widowControl w:val="0"/>
        <w:tabs>
          <w:tab w:val="left" w:pos="5325"/>
          <w:tab w:val="center" w:pos="5642"/>
        </w:tabs>
        <w:kinsoku/>
        <w:wordWrap/>
        <w:overflowPunct/>
        <w:topLinePunct w:val="0"/>
        <w:autoSpaceDE/>
        <w:autoSpaceDN/>
        <w:bidi w:val="0"/>
        <w:adjustRightInd/>
        <w:snapToGrid/>
        <w:spacing w:line="540" w:lineRule="exact"/>
        <w:ind w:firstLine="0" w:firstLineChars="0"/>
        <w:jc w:val="center"/>
        <w:textAlignment w:val="auto"/>
        <w:rPr>
          <w:rFonts w:hint="eastAsia" w:ascii="宋体" w:hAnsi="宋体" w:cs="宋体"/>
          <w:b/>
          <w:color w:val="000000" w:themeColor="text1"/>
          <w:sz w:val="24"/>
          <w14:textFill>
            <w14:solidFill>
              <w14:schemeClr w14:val="tx1"/>
            </w14:solidFill>
          </w14:textFill>
        </w:rPr>
      </w:pPr>
    </w:p>
    <w:p w14:paraId="7ED3889E">
      <w:pPr>
        <w:keepNext w:val="0"/>
        <w:keepLines w:val="0"/>
        <w:pageBreakBefore w:val="0"/>
        <w:widowControl w:val="0"/>
        <w:tabs>
          <w:tab w:val="left" w:pos="5325"/>
          <w:tab w:val="center" w:pos="5642"/>
        </w:tabs>
        <w:kinsoku/>
        <w:wordWrap/>
        <w:overflowPunct/>
        <w:topLinePunct w:val="0"/>
        <w:autoSpaceDE/>
        <w:autoSpaceDN/>
        <w:bidi w:val="0"/>
        <w:adjustRightInd/>
        <w:snapToGrid/>
        <w:spacing w:line="540" w:lineRule="exact"/>
        <w:ind w:firstLine="0" w:firstLineChars="0"/>
        <w:jc w:val="center"/>
        <w:textAlignment w:val="auto"/>
        <w:rPr>
          <w:rFonts w:hint="default" w:ascii="宋体" w:hAnsi="宋体" w:eastAsia="宋体" w:cs="宋体"/>
          <w:b/>
          <w:color w:val="000000" w:themeColor="text1"/>
          <w:sz w:val="24"/>
          <w:lang w:val="en-US" w:eastAsia="zh-CN"/>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报告完成日期：</w:t>
      </w:r>
      <w:r>
        <w:rPr>
          <w:rFonts w:hint="default" w:ascii="Times New Roman" w:hAnsi="Times New Roman" w:eastAsia="宋体" w:cs="Times New Roman"/>
          <w:b/>
          <w:color w:val="000000" w:themeColor="text1"/>
          <w:sz w:val="24"/>
          <w14:textFill>
            <w14:solidFill>
              <w14:schemeClr w14:val="tx1"/>
            </w14:solidFill>
          </w14:textFill>
        </w:rPr>
        <w:t>2024年12月9日</w:t>
      </w:r>
    </w:p>
    <w:p w14:paraId="395E008C">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宋体" w:hAnsi="宋体" w:cs="宋体"/>
          <w:color w:val="000000" w:themeColor="text1"/>
          <w:kern w:val="0"/>
          <w:sz w:val="30"/>
          <w:szCs w:val="30"/>
          <w:lang w:eastAsia="zh-CN"/>
          <w14:textFill>
            <w14:solidFill>
              <w14:schemeClr w14:val="tx1"/>
            </w14:solidFill>
          </w14:textFill>
        </w:rPr>
      </w:pPr>
    </w:p>
    <w:p w14:paraId="774F6C40">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宋体" w:hAnsi="宋体" w:cs="宋体"/>
          <w:color w:val="000000" w:themeColor="text1"/>
          <w:kern w:val="0"/>
          <w:sz w:val="30"/>
          <w:szCs w:val="30"/>
          <w:lang w:eastAsia="zh-CN"/>
          <w14:textFill>
            <w14:solidFill>
              <w14:schemeClr w14:val="tx1"/>
            </w14:solidFill>
          </w14:textFill>
        </w:rPr>
      </w:pPr>
    </w:p>
    <w:p w14:paraId="10D48DB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赣州市污水处理有限公司</w:t>
      </w:r>
    </w:p>
    <w:p w14:paraId="2EA2E2C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赣州市中心城区生活污水处理厂网一体化（一期）</w:t>
      </w:r>
    </w:p>
    <w:p w14:paraId="3CBCF9F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经开区污水管网完善工程车头路多功能微顶管</w:t>
      </w:r>
    </w:p>
    <w:p w14:paraId="3272D27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施工作业</w:t>
      </w:r>
    </w:p>
    <w:p w14:paraId="47E8C27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000000" w:themeColor="text1"/>
          <w:sz w:val="32"/>
          <w:szCs w:val="32"/>
          <w:lang w:eastAsia="zh-CN"/>
          <w14:textFill>
            <w14:solidFill>
              <w14:schemeClr w14:val="tx1"/>
            </w14:solidFill>
          </w14:textFill>
        </w:rPr>
      </w:pPr>
      <w:r>
        <w:rPr>
          <w:rFonts w:hint="eastAsia" w:ascii="宋体" w:hAnsi="宋体" w:eastAsia="宋体" w:cs="Times New Roman"/>
          <w:b/>
          <w:color w:val="000000" w:themeColor="text1"/>
          <w:sz w:val="32"/>
          <w:szCs w:val="32"/>
          <w:lang w:eastAsia="zh-CN"/>
          <w14:textFill>
            <w14:solidFill>
              <w14:schemeClr w14:val="tx1"/>
            </w14:solidFill>
          </w14:textFill>
        </w:rPr>
        <w:t>安全评估技术服务承诺书</w:t>
      </w:r>
    </w:p>
    <w:p w14:paraId="61C6DFA6">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000000" w:themeColor="text1"/>
          <w:sz w:val="32"/>
          <w:szCs w:val="32"/>
          <w14:textFill>
            <w14:solidFill>
              <w14:schemeClr w14:val="tx1"/>
            </w14:solidFill>
          </w14:textFill>
        </w:rPr>
      </w:pPr>
      <w:r>
        <w:rPr>
          <w:rFonts w:hint="eastAsia" w:ascii="Times New Roman" w:hAnsi="Times New Roman" w:eastAsia="仿宋" w:cs="宋体"/>
          <w:color w:val="000000" w:themeColor="text1"/>
          <w:sz w:val="32"/>
          <w:szCs w:val="32"/>
          <w14:textFill>
            <w14:solidFill>
              <w14:schemeClr w14:val="tx1"/>
            </w14:solidFill>
          </w14:textFill>
        </w:rPr>
        <w:t>一、在该项目安全评</w:t>
      </w:r>
      <w:r>
        <w:rPr>
          <w:rFonts w:hint="eastAsia" w:eastAsia="仿宋" w:cs="宋体"/>
          <w:color w:val="000000" w:themeColor="text1"/>
          <w:sz w:val="32"/>
          <w:szCs w:val="32"/>
          <w:lang w:val="en-US" w:eastAsia="zh-CN"/>
          <w14:textFill>
            <w14:solidFill>
              <w14:schemeClr w14:val="tx1"/>
            </w14:solidFill>
          </w14:textFill>
        </w:rPr>
        <w:t>估</w:t>
      </w:r>
      <w:r>
        <w:rPr>
          <w:rFonts w:hint="eastAsia" w:ascii="Times New Roman" w:hAnsi="Times New Roman" w:eastAsia="仿宋" w:cs="宋体"/>
          <w:color w:val="000000" w:themeColor="text1"/>
          <w:sz w:val="32"/>
          <w:szCs w:val="32"/>
          <w14:textFill>
            <w14:solidFill>
              <w14:schemeClr w14:val="tx1"/>
            </w14:solidFill>
          </w14:textFill>
        </w:rPr>
        <w:t>活动过程中，我单位严格遵守《安全生产法》及相关法律、法规和标准的要求。</w:t>
      </w:r>
    </w:p>
    <w:p w14:paraId="6AFFD09C">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000000" w:themeColor="text1"/>
          <w:sz w:val="32"/>
          <w:szCs w:val="32"/>
          <w14:textFill>
            <w14:solidFill>
              <w14:schemeClr w14:val="tx1"/>
            </w14:solidFill>
          </w14:textFill>
        </w:rPr>
      </w:pPr>
      <w:r>
        <w:rPr>
          <w:rFonts w:hint="eastAsia" w:ascii="Times New Roman" w:hAnsi="Times New Roman" w:eastAsia="仿宋" w:cs="宋体"/>
          <w:color w:val="000000" w:themeColor="text1"/>
          <w:sz w:val="32"/>
          <w:szCs w:val="32"/>
          <w14:textFill>
            <w14:solidFill>
              <w14:schemeClr w14:val="tx1"/>
            </w14:solidFill>
          </w14:textFill>
        </w:rPr>
        <w:t>二、在该项目安全评</w:t>
      </w:r>
      <w:r>
        <w:rPr>
          <w:rFonts w:hint="eastAsia" w:eastAsia="仿宋" w:cs="宋体"/>
          <w:color w:val="000000" w:themeColor="text1"/>
          <w:sz w:val="32"/>
          <w:szCs w:val="32"/>
          <w:lang w:val="en-US" w:eastAsia="zh-CN"/>
          <w14:textFill>
            <w14:solidFill>
              <w14:schemeClr w14:val="tx1"/>
            </w14:solidFill>
          </w14:textFill>
        </w:rPr>
        <w:t>估</w:t>
      </w:r>
      <w:r>
        <w:rPr>
          <w:rFonts w:hint="eastAsia" w:ascii="Times New Roman" w:hAnsi="Times New Roman" w:eastAsia="仿宋" w:cs="宋体"/>
          <w:color w:val="000000" w:themeColor="text1"/>
          <w:sz w:val="32"/>
          <w:szCs w:val="32"/>
          <w14:textFill>
            <w14:solidFill>
              <w14:schemeClr w14:val="tx1"/>
            </w14:solidFill>
          </w14:textFill>
        </w:rPr>
        <w:t>活动过程中，我单位作为第三方，未受到任何组织和个人的干预和影响，依法独立开展工作，保证了技术服务活动的客观公正性。</w:t>
      </w:r>
    </w:p>
    <w:p w14:paraId="68637216">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000000" w:themeColor="text1"/>
          <w:sz w:val="32"/>
          <w:szCs w:val="32"/>
          <w14:textFill>
            <w14:solidFill>
              <w14:schemeClr w14:val="tx1"/>
            </w14:solidFill>
          </w14:textFill>
        </w:rPr>
      </w:pPr>
      <w:r>
        <w:rPr>
          <w:rFonts w:hint="eastAsia" w:ascii="Times New Roman" w:hAnsi="Times New Roman" w:eastAsia="仿宋" w:cs="宋体"/>
          <w:color w:val="000000" w:themeColor="text1"/>
          <w:sz w:val="32"/>
          <w:szCs w:val="32"/>
          <w14:textFill>
            <w14:solidFill>
              <w14:schemeClr w14:val="tx1"/>
            </w14:solidFill>
          </w14:textFill>
        </w:rPr>
        <w:t>三、我单位按照实事求是的原则，对该项目进行安全评</w:t>
      </w:r>
      <w:r>
        <w:rPr>
          <w:rFonts w:hint="eastAsia" w:eastAsia="仿宋" w:cs="宋体"/>
          <w:color w:val="000000" w:themeColor="text1"/>
          <w:sz w:val="32"/>
          <w:szCs w:val="32"/>
          <w:lang w:val="en-US" w:eastAsia="zh-CN"/>
          <w14:textFill>
            <w14:solidFill>
              <w14:schemeClr w14:val="tx1"/>
            </w14:solidFill>
          </w14:textFill>
        </w:rPr>
        <w:t>估</w:t>
      </w:r>
      <w:r>
        <w:rPr>
          <w:rFonts w:hint="eastAsia" w:ascii="Times New Roman" w:hAnsi="Times New Roman" w:eastAsia="仿宋" w:cs="宋体"/>
          <w:color w:val="000000" w:themeColor="text1"/>
          <w:sz w:val="32"/>
          <w:szCs w:val="32"/>
          <w14:textFill>
            <w14:solidFill>
              <w14:schemeClr w14:val="tx1"/>
            </w14:solidFill>
          </w14:textFill>
        </w:rPr>
        <w:t>，确保出具的报告均真实有效，报告所提出的措施具有针对性、有效性和可行性。</w:t>
      </w:r>
    </w:p>
    <w:p w14:paraId="3958EB2A">
      <w:pPr>
        <w:keepNext w:val="0"/>
        <w:keepLines w:val="0"/>
        <w:pageBreakBefore w:val="0"/>
        <w:widowControl/>
        <w:kinsoku/>
        <w:wordWrap w:val="0"/>
        <w:overflowPunct/>
        <w:topLinePunct w:val="0"/>
        <w:autoSpaceDE/>
        <w:autoSpaceDN/>
        <w:bidi w:val="0"/>
        <w:adjustRightInd/>
        <w:snapToGrid/>
        <w:spacing w:line="480" w:lineRule="auto"/>
        <w:ind w:firstLine="624" w:firstLineChars="200"/>
        <w:jc w:val="left"/>
        <w:textAlignment w:val="auto"/>
        <w:rPr>
          <w:rFonts w:hint="eastAsia" w:ascii="Times New Roman" w:hAnsi="Times New Roman" w:eastAsia="仿宋" w:cs="宋体"/>
          <w:color w:val="000000" w:themeColor="text1"/>
          <w:spacing w:val="-4"/>
          <w:sz w:val="32"/>
          <w:szCs w:val="32"/>
          <w14:textFill>
            <w14:solidFill>
              <w14:schemeClr w14:val="tx1"/>
            </w14:solidFill>
          </w14:textFill>
        </w:rPr>
      </w:pPr>
      <w:r>
        <w:rPr>
          <w:rFonts w:hint="eastAsia" w:ascii="Times New Roman" w:hAnsi="Times New Roman" w:eastAsia="仿宋" w:cs="宋体"/>
          <w:color w:val="000000" w:themeColor="text1"/>
          <w:spacing w:val="-4"/>
          <w:sz w:val="32"/>
          <w:szCs w:val="32"/>
          <w14:textFill>
            <w14:solidFill>
              <w14:schemeClr w14:val="tx1"/>
            </w14:solidFill>
          </w14:textFill>
        </w:rPr>
        <w:t>四、我单位对该项目安全评</w:t>
      </w:r>
      <w:r>
        <w:rPr>
          <w:rFonts w:hint="eastAsia" w:eastAsia="仿宋" w:cs="宋体"/>
          <w:color w:val="000000" w:themeColor="text1"/>
          <w:spacing w:val="-4"/>
          <w:sz w:val="32"/>
          <w:szCs w:val="32"/>
          <w:lang w:val="en-US" w:eastAsia="zh-CN"/>
          <w14:textFill>
            <w14:solidFill>
              <w14:schemeClr w14:val="tx1"/>
            </w14:solidFill>
          </w14:textFill>
        </w:rPr>
        <w:t>估</w:t>
      </w:r>
      <w:r>
        <w:rPr>
          <w:rFonts w:hint="eastAsia" w:ascii="Times New Roman" w:hAnsi="Times New Roman" w:eastAsia="仿宋" w:cs="宋体"/>
          <w:color w:val="000000" w:themeColor="text1"/>
          <w:spacing w:val="-4"/>
          <w:sz w:val="32"/>
          <w:szCs w:val="32"/>
          <w14:textFill>
            <w14:solidFill>
              <w14:schemeClr w14:val="tx1"/>
            </w14:solidFill>
          </w14:textFill>
        </w:rPr>
        <w:t>报告中结论性内容承担法律责任。</w:t>
      </w:r>
    </w:p>
    <w:p w14:paraId="452D7FF6">
      <w:pPr>
        <w:keepNext w:val="0"/>
        <w:keepLines w:val="0"/>
        <w:pageBreakBefore w:val="0"/>
        <w:widowControl/>
        <w:kinsoku/>
        <w:wordWrap w:val="0"/>
        <w:overflowPunct/>
        <w:topLinePunct w:val="0"/>
        <w:autoSpaceDE/>
        <w:autoSpaceDN/>
        <w:bidi w:val="0"/>
        <w:adjustRightInd/>
        <w:snapToGrid/>
        <w:spacing w:before="100" w:beforeAutospacing="1" w:after="100" w:afterAutospacing="1" w:line="360" w:lineRule="auto"/>
        <w:ind w:left="5918" w:leftChars="228" w:hanging="5280" w:hangingChars="1650"/>
        <w:jc w:val="right"/>
        <w:textAlignment w:val="auto"/>
        <w:rPr>
          <w:rFonts w:hint="default" w:ascii="Times New Roman" w:hAnsi="Times New Roman" w:eastAsia="宋体" w:cs="Times New Roman"/>
          <w:color w:val="000000" w:themeColor="text1"/>
          <w:kern w:val="0"/>
          <w:sz w:val="32"/>
          <w:szCs w:val="32"/>
          <w14:textFill>
            <w14:solidFill>
              <w14:schemeClr w14:val="tx1"/>
            </w14:solidFill>
          </w14:textFill>
        </w:rPr>
      </w:pPr>
      <w:r>
        <w:rPr>
          <w:rFonts w:hint="default" w:ascii="Times New Roman" w:hAnsi="Times New Roman" w:eastAsia="宋体" w:cs="Times New Roman"/>
          <w:color w:val="000000" w:themeColor="text1"/>
          <w:kern w:val="0"/>
          <w:sz w:val="32"/>
          <w:szCs w:val="32"/>
          <w14:textFill>
            <w14:solidFill>
              <w14:schemeClr w14:val="tx1"/>
            </w14:solidFill>
          </w14:textFill>
        </w:rPr>
        <w:t>江西赣安安全生产科学技术咨询服务中心</w:t>
      </w:r>
    </w:p>
    <w:p w14:paraId="25F6D414">
      <w:pPr>
        <w:keepNext w:val="0"/>
        <w:keepLines w:val="0"/>
        <w:pageBreakBefore w:val="0"/>
        <w:kinsoku/>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32"/>
          <w:szCs w:val="32"/>
          <w14:textFill>
            <w14:solidFill>
              <w14:schemeClr w14:val="tx1"/>
            </w14:solidFill>
          </w14:textFill>
        </w:rPr>
        <w:t xml:space="preserve">            </w:t>
      </w:r>
      <w:r>
        <w:rPr>
          <w:rFonts w:hint="default" w:ascii="Times New Roman" w:hAnsi="Times New Roman" w:eastAsia="宋体" w:cs="Times New Roman"/>
          <w:color w:val="000000" w:themeColor="text1"/>
          <w:kern w:val="0"/>
          <w:sz w:val="32"/>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 w:val="32"/>
          <w:szCs w:val="32"/>
          <w14:textFill>
            <w14:solidFill>
              <w14:schemeClr w14:val="tx1"/>
            </w14:solidFill>
          </w14:textFill>
        </w:rPr>
        <w:t>2024年12月9日</w:t>
      </w:r>
    </w:p>
    <w:p w14:paraId="1C81E64B">
      <w:pPr>
        <w:ind w:left="0" w:leftChars="0" w:firstLine="0" w:firstLineChars="0"/>
        <w:rPr>
          <w:rFonts w:hint="default" w:ascii="Times New Roman" w:hAnsi="Times New Roman" w:cs="Times New Roman"/>
          <w:color w:val="000000" w:themeColor="text1"/>
          <w14:textFill>
            <w14:solidFill>
              <w14:schemeClr w14:val="tx1"/>
            </w14:solidFill>
          </w14:textFill>
        </w:rPr>
      </w:pPr>
    </w:p>
    <w:p w14:paraId="3EBDDF53">
      <w:pPr>
        <w:ind w:left="0" w:leftChars="0" w:firstLine="0" w:firstLineChars="0"/>
        <w:rPr>
          <w:rFonts w:hint="default" w:ascii="Times New Roman" w:hAnsi="Times New Roman" w:cs="Times New Roman"/>
          <w:color w:val="000000" w:themeColor="text1"/>
          <w14:textFill>
            <w14:solidFill>
              <w14:schemeClr w14:val="tx1"/>
            </w14:solidFill>
          </w14:textFill>
        </w:rPr>
      </w:pPr>
    </w:p>
    <w:p w14:paraId="3701CD63">
      <w:pPr>
        <w:bidi w:val="0"/>
        <w:ind w:firstLine="560"/>
        <w:jc w:val="center"/>
        <w:rPr>
          <w:rFonts w:hint="eastAsia" w:ascii="Times New Roman" w:hAnsi="Times New Roman" w:eastAsia="宋体"/>
          <w:color w:val="000000" w:themeColor="text1"/>
          <w:kern w:val="0"/>
          <w:sz w:val="32"/>
          <w:szCs w:val="32"/>
          <w14:textFill>
            <w14:solidFill>
              <w14:schemeClr w14:val="tx1"/>
            </w14:solidFill>
          </w14:textFill>
        </w:rPr>
      </w:pPr>
    </w:p>
    <w:p w14:paraId="29FAE40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000000" w:themeColor="text1"/>
          <w:kern w:val="0"/>
          <w:sz w:val="44"/>
          <w:szCs w:val="44"/>
          <w:lang w:val="en-US" w:eastAsia="zh-CN" w:bidi="ar-SA"/>
          <w14:textFill>
            <w14:solidFill>
              <w14:schemeClr w14:val="tx1"/>
            </w14:solidFill>
          </w14:textFill>
        </w:rPr>
      </w:pPr>
      <w:r>
        <w:rPr>
          <w:rFonts w:hint="eastAsia" w:ascii="Times New Roman" w:hAnsi="Times New Roman" w:eastAsia="方正小标宋简体" w:cs="Times New Roman"/>
          <w:color w:val="000000" w:themeColor="text1"/>
          <w:kern w:val="0"/>
          <w:sz w:val="44"/>
          <w:szCs w:val="44"/>
          <w:lang w:val="en-US" w:eastAsia="zh-CN" w:bidi="ar-SA"/>
          <w14:textFill>
            <w14:solidFill>
              <w14:schemeClr w14:val="tx1"/>
            </w14:solidFill>
          </w14:textFill>
        </w:rPr>
        <w:t>规范安全生产中介行为的九条禁令</w:t>
      </w:r>
    </w:p>
    <w:p w14:paraId="4194D9F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000000" w:themeColor="text1"/>
          <w:kern w:val="0"/>
          <w:sz w:val="32"/>
          <w:szCs w:val="32"/>
          <w:lang w:val="en-US" w:eastAsia="zh-CN" w:bidi="ar-SA"/>
          <w14:textFill>
            <w14:solidFill>
              <w14:schemeClr w14:val="tx1"/>
            </w14:solidFill>
          </w14:textFill>
        </w:rPr>
      </w:pPr>
      <w:r>
        <w:rPr>
          <w:rFonts w:hint="eastAsia" w:ascii="Times New Roman" w:hAnsi="Times New Roman" w:eastAsia="方正小标宋简体" w:cs="Times New Roman"/>
          <w:color w:val="000000" w:themeColor="text1"/>
          <w:kern w:val="0"/>
          <w:sz w:val="32"/>
          <w:szCs w:val="32"/>
          <w:lang w:val="en-US" w:eastAsia="zh-CN" w:bidi="ar-SA"/>
          <w14:textFill>
            <w14:solidFill>
              <w14:schemeClr w14:val="tx1"/>
            </w14:solidFill>
          </w14:textFill>
        </w:rPr>
        <w:t>赣安监管规划字〔2017〕178号</w:t>
      </w:r>
    </w:p>
    <w:p w14:paraId="77F321E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一、禁止从事安全生产服务的中介服务机构（以下统称中介机构）租借资质证书、非法挂靠、转包服务项目的行为</w:t>
      </w:r>
      <w:r>
        <w:rPr>
          <w:rFonts w:hint="eastAsia" w:ascii="Times New Roman" w:hAnsi="Times New Roman" w:eastAsia="宋体" w:cs="Times New Roman"/>
          <w:color w:val="000000" w:themeColor="text1"/>
          <w:kern w:val="0"/>
          <w:sz w:val="28"/>
          <w:szCs w:val="28"/>
          <w:lang w:val="en-US" w:eastAsia="zh-CN" w:bidi="ar-SA"/>
          <w14:textFill>
            <w14:solidFill>
              <w14:schemeClr w14:val="tx1"/>
            </w14:solidFill>
          </w14:textFill>
        </w:rPr>
        <w:t>；</w:t>
      </w:r>
    </w:p>
    <w:p w14:paraId="63308A7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二、禁止中介机构假借、冒用他人名义要求服务对象接受有偿服务，或者恶意低价竞争以及采取串标、围标等不正当竞争手段，扰乱技术服务市场秩序的行为；</w:t>
      </w:r>
    </w:p>
    <w:p w14:paraId="4216FD6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三、禁止中介机构出具虚假或漏项、缺项技术报告的行为；</w:t>
      </w:r>
    </w:p>
    <w:p w14:paraId="4FA30D1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四</w:t>
      </w:r>
      <w:r>
        <w:rPr>
          <w:rFonts w:ascii="Times New Roman" w:hAnsi="Times New Roman" w:eastAsia="宋体"/>
          <w:color w:val="000000" w:themeColor="text1"/>
          <w:kern w:val="0"/>
          <w:sz w:val="28"/>
          <w:szCs w:val="28"/>
          <w14:textFill>
            <w14:solidFill>
              <w14:schemeClr w14:val="tx1"/>
            </w14:solidFill>
          </w14:textFill>
        </w:rPr>
        <w:t>、</w:t>
      </w:r>
      <w:r>
        <w:rPr>
          <w:rFonts w:hint="eastAsia" w:ascii="Times New Roman" w:hAnsi="Times New Roman" w:eastAsia="宋体" w:cs="Times New Roman"/>
          <w:color w:val="000000" w:themeColor="text1"/>
          <w:kern w:val="0"/>
          <w:sz w:val="28"/>
          <w:szCs w:val="28"/>
          <w:lang w:val="en-US" w:eastAsia="zh-CN" w:bidi="ar-SA"/>
          <w14:textFill>
            <w14:solidFill>
              <w14:schemeClr w14:val="tx1"/>
            </w14:solidFill>
          </w14:textFill>
        </w:rPr>
        <w:t>禁止中介机构出租、出借资格证书、在报告上冒用他人签名的行为；</w:t>
      </w:r>
    </w:p>
    <w:p w14:paraId="22D55C7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五、禁止中介机构有应到而不到现场开展技术服务的行为；</w:t>
      </w:r>
    </w:p>
    <w:p w14:paraId="305E9EF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六、禁止安全生产监管部门及其工作人员要求生产经营单位接受指定的中介机构开展技术服务的行为；</w:t>
      </w:r>
    </w:p>
    <w:p w14:paraId="50DB771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七、禁止安全生产监管部门及其工作人员没有法律依据组织由生产经营单位或机构支付费用的行政性评审的行为；</w:t>
      </w:r>
    </w:p>
    <w:p w14:paraId="2C234CF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ascii="Times New Roman" w:hAnsi="Times New Roman" w:eastAsia="宋体" w:cs="Times New Roman"/>
          <w:color w:val="000000" w:themeColor="text1"/>
          <w:kern w:val="0"/>
          <w:sz w:val="28"/>
          <w:szCs w:val="28"/>
          <w:lang w:val="en-US" w:eastAsia="zh-CN" w:bidi="ar-SA"/>
          <w14:textFill>
            <w14:solidFill>
              <w14:schemeClr w14:val="tx1"/>
            </w14:solidFill>
          </w14:textFill>
        </w:rPr>
        <w:t>八、禁止安全生产监管部门及其工作人员干预市场定价，违规擅自出台技术服务收费标准的行为；</w:t>
      </w:r>
    </w:p>
    <w:p w14:paraId="490F08CB">
      <w:pPr>
        <w:keepNext w:val="0"/>
        <w:keepLines w:val="0"/>
        <w:pageBreakBefore w:val="0"/>
        <w:kinsoku/>
        <w:wordWrap/>
        <w:overflowPunct/>
        <w:topLinePunct w:val="0"/>
        <w:autoSpaceDE/>
        <w:autoSpaceDN/>
        <w:bidi w:val="0"/>
        <w:adjustRightInd/>
        <w:snapToGrid/>
        <w:spacing w:line="420" w:lineRule="auto"/>
        <w:ind w:firstLine="560" w:firstLineChars="200"/>
        <w:jc w:val="left"/>
        <w:textAlignment w:val="auto"/>
        <w:rPr>
          <w:rFonts w:ascii="Times New Roman" w:hAnsi="Times New Roman" w:eastAsia="宋体"/>
          <w:color w:val="000000" w:themeColor="text1"/>
          <w:kern w:val="0"/>
          <w:szCs w:val="28"/>
          <w14:textFill>
            <w14:solidFill>
              <w14:schemeClr w14:val="tx1"/>
            </w14:solidFill>
          </w14:textFill>
        </w:rPr>
      </w:pPr>
      <w:r>
        <w:rPr>
          <w:rFonts w:ascii="Times New Roman" w:hAnsi="Times New Roman" w:eastAsia="宋体"/>
          <w:color w:val="000000" w:themeColor="text1"/>
          <w:kern w:val="0"/>
          <w:szCs w:val="28"/>
          <w14:textFill>
            <w14:solidFill>
              <w14:schemeClr w14:val="tx1"/>
            </w14:solidFill>
          </w14:textFill>
        </w:rPr>
        <w:t>九、禁止安全生产监管部门及其工作人员参与、擅自干预中介机构从业活动，或者有获取不正当利益的行为。</w:t>
      </w:r>
    </w:p>
    <w:p w14:paraId="4707A812">
      <w:pPr>
        <w:ind w:left="0" w:leftChars="0" w:firstLine="0" w:firstLineChars="0"/>
        <w:rPr>
          <w:rFonts w:hint="default" w:ascii="Times New Roman" w:hAnsi="Times New Roman" w:cs="Times New Roman"/>
          <w:color w:val="000000" w:themeColor="text1"/>
          <w14:textFill>
            <w14:solidFill>
              <w14:schemeClr w14:val="tx1"/>
            </w14:solidFill>
          </w14:textFill>
        </w:rPr>
      </w:pPr>
      <w:r>
        <w:rPr>
          <w:rFonts w:ascii="Times New Roman" w:hAnsi="Times New Roman" w:eastAsia="宋体"/>
          <w:color w:val="000000" w:themeColor="text1"/>
          <w:kern w:val="0"/>
          <w:szCs w:val="28"/>
          <w14:textFill>
            <w14:solidFill>
              <w14:schemeClr w14:val="tx1"/>
            </w14:solidFill>
          </w14:textFill>
        </w:rPr>
        <w:br w:type="page"/>
      </w:r>
    </w:p>
    <w:p w14:paraId="4A14ECD4">
      <w:pPr>
        <w:keepNext w:val="0"/>
        <w:keepLines w:val="0"/>
        <w:pageBreakBefore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eastAsia="黑体"/>
          <w:b/>
          <w:color w:val="000000" w:themeColor="text1"/>
          <w:sz w:val="32"/>
          <w:szCs w:val="32"/>
          <w14:textFill>
            <w14:solidFill>
              <w14:schemeClr w14:val="tx1"/>
            </w14:solidFill>
          </w14:textFill>
        </w:rPr>
      </w:pPr>
    </w:p>
    <w:p w14:paraId="381DC8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b/>
          <w:color w:val="000000" w:themeColor="text1"/>
          <w:sz w:val="32"/>
          <w:szCs w:val="32"/>
          <w14:textFill>
            <w14:solidFill>
              <w14:schemeClr w14:val="tx1"/>
            </w14:solidFill>
          </w14:textFill>
        </w:rPr>
      </w:pPr>
      <w:r>
        <w:rPr>
          <w:rFonts w:ascii="Times New Roman" w:hAnsi="Times New Roman" w:eastAsia="黑体"/>
          <w:b/>
          <w:color w:val="000000" w:themeColor="text1"/>
          <w:sz w:val="32"/>
          <w:szCs w:val="32"/>
          <w14:textFill>
            <w14:solidFill>
              <w14:schemeClr w14:val="tx1"/>
            </w14:solidFill>
          </w14:textFill>
        </w:rPr>
        <w:t xml:space="preserve">评 </w:t>
      </w:r>
      <w:r>
        <w:rPr>
          <w:rFonts w:hint="eastAsia" w:ascii="Times New Roman" w:hAnsi="Times New Roman" w:eastAsia="黑体"/>
          <w:b/>
          <w:color w:val="000000" w:themeColor="text1"/>
          <w:sz w:val="32"/>
          <w:szCs w:val="32"/>
          <w14:textFill>
            <w14:solidFill>
              <w14:schemeClr w14:val="tx1"/>
            </w14:solidFill>
          </w14:textFill>
        </w:rPr>
        <w:t>估</w:t>
      </w:r>
      <w:r>
        <w:rPr>
          <w:rFonts w:ascii="Times New Roman" w:hAnsi="Times New Roman" w:eastAsia="黑体"/>
          <w:b/>
          <w:color w:val="000000" w:themeColor="text1"/>
          <w:sz w:val="32"/>
          <w:szCs w:val="32"/>
          <w14:textFill>
            <w14:solidFill>
              <w14:schemeClr w14:val="tx1"/>
            </w14:solidFill>
          </w14:textFill>
        </w:rPr>
        <w:t xml:space="preserve"> 人 员</w:t>
      </w:r>
    </w:p>
    <w:p w14:paraId="695A5E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b/>
          <w:color w:val="000000" w:themeColor="text1"/>
          <w:sz w:val="32"/>
          <w:szCs w:val="32"/>
          <w14:textFill>
            <w14:solidFill>
              <w14:schemeClr w14:val="tx1"/>
            </w14:solidFill>
          </w14:textFill>
        </w:rPr>
      </w:pPr>
    </w:p>
    <w:p w14:paraId="1E696ABD">
      <w:pPr>
        <w:spacing w:before="234" w:beforeLines="75" w:after="234" w:afterLines="75" w:line="560" w:lineRule="exact"/>
        <w:ind w:firstLine="0" w:firstLineChars="0"/>
        <w:jc w:val="center"/>
        <w:rPr>
          <w:rFonts w:hint="eastAsia" w:ascii="宋体" w:hAnsi="宋体" w:eastAsia="宋体"/>
          <w:b/>
          <w:color w:val="000000" w:themeColor="text1"/>
          <w:sz w:val="36"/>
          <w:szCs w:val="36"/>
          <w:lang w:val="en-US" w:eastAsia="zh-CN"/>
          <w14:textFill>
            <w14:solidFill>
              <w14:schemeClr w14:val="tx1"/>
            </w14:solidFill>
          </w14:textFill>
        </w:rPr>
      </w:pPr>
      <w:r>
        <w:rPr>
          <w:rFonts w:hint="eastAsia" w:ascii="宋体" w:hAnsi="宋体" w:eastAsia="宋体"/>
          <w:b/>
          <w:color w:val="000000" w:themeColor="text1"/>
          <w:sz w:val="36"/>
          <w:szCs w:val="36"/>
          <w:lang w:val="en-US" w:eastAsia="zh-CN"/>
          <w14:textFill>
            <w14:solidFill>
              <w14:schemeClr w14:val="tx1"/>
            </w14:solidFill>
          </w14:textFill>
        </w:rPr>
        <w:t xml:space="preserve"> </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290"/>
        <w:gridCol w:w="3018"/>
        <w:gridCol w:w="1564"/>
        <w:gridCol w:w="1301"/>
      </w:tblGrid>
      <w:tr w14:paraId="27A3E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CED82B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5EB253C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姓  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494D8F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证书编号</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7AB4A7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从业登记号</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400708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签字</w:t>
            </w:r>
          </w:p>
        </w:tc>
      </w:tr>
      <w:tr w14:paraId="099E1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4F051FD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项目负责人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42BCB7C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7BCC94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43ABD2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2CA34F5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r>
      <w:tr w14:paraId="069D7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restart"/>
            <w:tcBorders>
              <w:left w:val="single" w:color="auto" w:sz="4" w:space="0"/>
              <w:right w:val="single" w:color="auto" w:sz="4" w:space="0"/>
            </w:tcBorders>
            <w:noWrap w:val="0"/>
            <w:vAlign w:val="center"/>
          </w:tcPr>
          <w:p w14:paraId="5E626FD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kern w:val="2"/>
                <w:sz w:val="24"/>
                <w:szCs w:val="24"/>
                <w14:textFill>
                  <w14:solidFill>
                    <w14:schemeClr w14:val="tx1"/>
                  </w14:solidFill>
                </w14:textFill>
              </w:rPr>
              <w:t>项目组成员</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F0BDA4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郑  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BCD082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0800000000101605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5AB1F6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001851</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102AC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r>
      <w:tr w14:paraId="25B87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vMerge w:val="continue"/>
            <w:tcBorders>
              <w:left w:val="single" w:color="auto" w:sz="4" w:space="0"/>
              <w:right w:val="single" w:color="auto" w:sz="4" w:space="0"/>
            </w:tcBorders>
            <w:noWrap w:val="0"/>
            <w:vAlign w:val="center"/>
          </w:tcPr>
          <w:p w14:paraId="2B3EDAD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130729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01DCB4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eastAsia="宋体" w:cs="Times New Roman"/>
                <w:color w:val="000000" w:themeColor="text1"/>
                <w:sz w:val="24"/>
                <w14:textFill>
                  <w14:solidFill>
                    <w14:schemeClr w14:val="tx1"/>
                  </w14:solidFill>
                </w14:textFill>
              </w:rPr>
              <w:t>800000000</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0</w:t>
            </w:r>
            <w:r>
              <w:rPr>
                <w:rFonts w:hint="default" w:ascii="Times New Roman" w:hAnsi="Times New Roman" w:cs="Times New Roman"/>
                <w:color w:val="000000" w:themeColor="text1"/>
                <w:sz w:val="24"/>
                <w:lang w:val="en-US" w:eastAsia="zh-CN"/>
                <w14:textFill>
                  <w14:solidFill>
                    <w14:schemeClr w14:val="tx1"/>
                  </w14:solidFill>
                </w14:textFill>
              </w:rPr>
              <w:t>0643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246469D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69CCB8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r>
      <w:tr w14:paraId="629A6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18BDEBC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153E21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20245C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C08F8C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F0087D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r>
      <w:tr w14:paraId="55A81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tcBorders>
              <w:top w:val="single" w:color="auto" w:sz="4" w:space="0"/>
              <w:left w:val="single" w:color="auto" w:sz="4" w:space="0"/>
              <w:right w:val="single" w:color="auto" w:sz="4" w:space="0"/>
            </w:tcBorders>
            <w:noWrap w:val="0"/>
            <w:vAlign w:val="center"/>
          </w:tcPr>
          <w:p w14:paraId="4BA6138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报告编制人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7FD7CB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CB7E7B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eastAsia="宋体" w:cs="Times New Roman"/>
                <w:color w:val="000000" w:themeColor="text1"/>
                <w:sz w:val="24"/>
                <w14:textFill>
                  <w14:solidFill>
                    <w14:schemeClr w14:val="tx1"/>
                  </w14:solidFill>
                </w14:textFill>
              </w:rPr>
              <w:t>800000000</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0</w:t>
            </w:r>
            <w:r>
              <w:rPr>
                <w:rFonts w:hint="default" w:ascii="Times New Roman" w:hAnsi="Times New Roman" w:cs="Times New Roman"/>
                <w:color w:val="000000" w:themeColor="text1"/>
                <w:sz w:val="24"/>
                <w:lang w:val="en-US" w:eastAsia="zh-CN"/>
                <w14:textFill>
                  <w14:solidFill>
                    <w14:schemeClr w14:val="tx1"/>
                  </w14:solidFill>
                </w14:textFill>
              </w:rPr>
              <w:t>0643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67DCFC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26C72F2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r>
      <w:tr w14:paraId="123D8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F17652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报告审核人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D48BC5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戴磷</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A5DB1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1100000000200597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DC2F35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019915</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A12FF9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r>
      <w:tr w14:paraId="002AF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E6CDCF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过程控制负责</w:t>
            </w:r>
            <w:r>
              <w:rPr>
                <w:rFonts w:hint="eastAsia" w:ascii="Times New Roman" w:hAnsi="Times New Roman" w:cs="Times New Roman"/>
                <w:color w:val="000000" w:themeColor="text1"/>
                <w:sz w:val="24"/>
                <w:lang w:val="en-US" w:eastAsia="zh-CN"/>
                <w14:textFill>
                  <w14:solidFill>
                    <w14:schemeClr w14:val="tx1"/>
                  </w14:solidFill>
                </w14:textFill>
              </w:rPr>
              <w:t>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DD66E2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檀廷斌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69EF1FA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1600000000200717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254C4A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029648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92126C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p>
        </w:tc>
      </w:tr>
      <w:tr w14:paraId="6E674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42B0FD4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技术负责人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4F972D6">
            <w:pPr>
              <w:spacing w:line="240" w:lineRule="auto"/>
              <w:ind w:firstLine="0" w:firstLineChars="0"/>
              <w:jc w:val="center"/>
              <w:rPr>
                <w:rFonts w:hint="default"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trike w:val="0"/>
                <w:dstrike w:val="0"/>
                <w:color w:val="000000" w:themeColor="text1"/>
                <w:kern w:val="2"/>
                <w:sz w:val="24"/>
                <w:szCs w:val="24"/>
                <w14:textFill>
                  <w14:solidFill>
                    <w14:schemeClr w14:val="tx1"/>
                  </w14:solidFill>
                </w14:textFill>
              </w:rPr>
              <w:t>周红波</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9C5FCD5">
            <w:pPr>
              <w:spacing w:line="240" w:lineRule="auto"/>
              <w:ind w:firstLine="0" w:firstLineChars="0"/>
              <w:jc w:val="center"/>
              <w:rPr>
                <w:rFonts w:hint="default"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trike w:val="0"/>
                <w:dstrike w:val="0"/>
                <w:color w:val="000000" w:themeColor="text1"/>
                <w:kern w:val="2"/>
                <w:sz w:val="24"/>
                <w:szCs w:val="24"/>
                <w14:textFill>
                  <w14:solidFill>
                    <w14:schemeClr w14:val="tx1"/>
                  </w14:solidFill>
                </w14:textFill>
              </w:rPr>
              <w:t>1700000000100121</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7E4F8F40">
            <w:pPr>
              <w:spacing w:line="240" w:lineRule="auto"/>
              <w:ind w:firstLine="0" w:firstLineChars="0"/>
              <w:jc w:val="center"/>
              <w:rPr>
                <w:rFonts w:hint="default"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strike w:val="0"/>
                <w:dstrike w:val="0"/>
                <w:color w:val="000000" w:themeColor="text1"/>
                <w:kern w:val="2"/>
                <w:sz w:val="24"/>
                <w:szCs w:val="24"/>
                <w14:textFill>
                  <w14:solidFill>
                    <w14:schemeClr w14:val="tx1"/>
                  </w14:solidFill>
                </w14:textFill>
              </w:rPr>
              <w:t>020702</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10FB7A8">
            <w:pPr>
              <w:spacing w:line="240" w:lineRule="auto"/>
              <w:ind w:firstLine="0" w:firstLineChars="0"/>
              <w:jc w:val="center"/>
              <w:rPr>
                <w:rFonts w:hint="default" w:ascii="Times New Roman" w:hAnsi="Times New Roman" w:eastAsia="宋体" w:cs="Times New Roman"/>
                <w:color w:val="000000" w:themeColor="text1"/>
                <w:sz w:val="24"/>
                <w14:textFill>
                  <w14:solidFill>
                    <w14:schemeClr w14:val="tx1"/>
                  </w14:solidFill>
                </w14:textFill>
              </w:rPr>
            </w:pPr>
          </w:p>
        </w:tc>
      </w:tr>
    </w:tbl>
    <w:p w14:paraId="542C8E99">
      <w:pPr>
        <w:spacing w:before="234" w:beforeLines="75" w:after="234" w:afterLines="75" w:line="560" w:lineRule="exact"/>
        <w:ind w:firstLine="0" w:firstLineChars="0"/>
        <w:jc w:val="center"/>
        <w:rPr>
          <w:rFonts w:hint="eastAsia" w:ascii="宋体" w:hAnsi="宋体" w:eastAsia="宋体"/>
          <w:b/>
          <w:color w:val="000000" w:themeColor="text1"/>
          <w:sz w:val="36"/>
          <w:szCs w:val="36"/>
          <w:lang w:val="en-US" w:eastAsia="zh-CN"/>
          <w14:textFill>
            <w14:solidFill>
              <w14:schemeClr w14:val="tx1"/>
            </w14:solidFill>
          </w14:textFill>
        </w:rPr>
      </w:pPr>
    </w:p>
    <w:p w14:paraId="70AFEF10">
      <w:pPr>
        <w:ind w:left="0" w:leftChars="0" w:firstLine="0" w:firstLineChars="0"/>
        <w:jc w:val="center"/>
        <w:rPr>
          <w:rFonts w:hint="eastAsia" w:ascii="Times New Roman" w:hAnsi="Times New Roman" w:eastAsia="宋体"/>
          <w:b/>
          <w:bCs/>
          <w:color w:val="000000" w:themeColor="text1"/>
          <w:kern w:val="44"/>
          <w:sz w:val="32"/>
          <w:szCs w:val="32"/>
          <w:lang w:val="en-US" w:eastAsia="zh-CN" w:bidi="ar-SA"/>
          <w14:textFill>
            <w14:solidFill>
              <w14:schemeClr w14:val="tx1"/>
            </w14:solidFill>
          </w14:textFill>
        </w:rPr>
      </w:pPr>
      <w:r>
        <w:rPr>
          <w:rFonts w:ascii="Times New Roman" w:hAnsi="Times New Roman" w:eastAsia="宋体"/>
          <w:bCs/>
          <w:color w:val="000000" w:themeColor="text1"/>
          <w:kern w:val="2"/>
          <w:sz w:val="36"/>
          <w:szCs w:val="36"/>
          <w:lang w:val="en-US" w:eastAsia="zh-CN"/>
          <w14:textFill>
            <w14:solidFill>
              <w14:schemeClr w14:val="tx1"/>
            </w14:solidFill>
          </w14:textFill>
        </w:rPr>
        <w:br w:type="page"/>
      </w:r>
      <w:bookmarkStart w:id="0" w:name="_Toc16191"/>
      <w:bookmarkStart w:id="1" w:name="_Toc9314"/>
      <w:bookmarkStart w:id="2" w:name="_Toc2530"/>
      <w:r>
        <w:rPr>
          <w:rFonts w:hint="eastAsia" w:ascii="Times New Roman" w:hAnsi="Times New Roman" w:eastAsia="宋体"/>
          <w:b/>
          <w:bCs/>
          <w:color w:val="000000" w:themeColor="text1"/>
          <w:kern w:val="44"/>
          <w:sz w:val="32"/>
          <w:szCs w:val="32"/>
          <w:lang w:val="en-US" w:eastAsia="zh-CN" w:bidi="ar-SA"/>
          <w14:textFill>
            <w14:solidFill>
              <w14:schemeClr w14:val="tx1"/>
            </w14:solidFill>
          </w14:textFill>
        </w:rPr>
        <w:t xml:space="preserve">前 </w:t>
      </w:r>
      <w:r>
        <w:rPr>
          <w:rFonts w:hint="eastAsia"/>
          <w:b/>
          <w:bCs/>
          <w:color w:val="000000" w:themeColor="text1"/>
          <w:kern w:val="44"/>
          <w:sz w:val="32"/>
          <w:szCs w:val="32"/>
          <w:lang w:val="en-US" w:eastAsia="zh-CN" w:bidi="ar-SA"/>
          <w14:textFill>
            <w14:solidFill>
              <w14:schemeClr w14:val="tx1"/>
            </w14:solidFill>
          </w14:textFill>
        </w:rPr>
        <w:t xml:space="preserve"> </w:t>
      </w:r>
      <w:r>
        <w:rPr>
          <w:rFonts w:hint="eastAsia" w:ascii="Times New Roman" w:hAnsi="Times New Roman" w:eastAsia="宋体"/>
          <w:b/>
          <w:bCs/>
          <w:color w:val="000000" w:themeColor="text1"/>
          <w:kern w:val="44"/>
          <w:sz w:val="32"/>
          <w:szCs w:val="32"/>
          <w:lang w:val="en-US" w:eastAsia="zh-CN" w:bidi="ar-SA"/>
          <w14:textFill>
            <w14:solidFill>
              <w14:schemeClr w14:val="tx1"/>
            </w14:solidFill>
          </w14:textFill>
        </w:rPr>
        <w:t xml:space="preserve"> 言</w:t>
      </w:r>
      <w:bookmarkEnd w:id="0"/>
      <w:bookmarkEnd w:id="1"/>
      <w:bookmarkEnd w:id="2"/>
    </w:p>
    <w:p w14:paraId="0542469A">
      <w:pPr>
        <w:keepNext w:val="0"/>
        <w:keepLines w:val="0"/>
        <w:pageBreakBefore w:val="0"/>
        <w:widowControl w:val="0"/>
        <w:kinsoku/>
        <w:wordWrap/>
        <w:overflowPunct/>
        <w:topLinePunct w:val="0"/>
        <w:autoSpaceDE/>
        <w:autoSpaceDN/>
        <w:bidi w:val="0"/>
        <w:adjustRightInd/>
        <w:snapToGrid/>
        <w:spacing w:line="324"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赣州市污水处理有限公司赣州市中心城区生活污水处理厂网一体化（一期）经开区污水管网完善工程车头路多功能微顶管施工作业</w:t>
      </w:r>
      <w:r>
        <w:rPr>
          <w:rFonts w:hint="eastAsia"/>
          <w:color w:val="000000" w:themeColor="text1"/>
          <w:lang w:val="en-US" w:eastAsia="zh-CN"/>
          <w14:textFill>
            <w14:solidFill>
              <w14:schemeClr w14:val="tx1"/>
            </w14:solidFill>
          </w14:textFill>
        </w:rPr>
        <w:t>（以下简称本工程）的</w:t>
      </w:r>
      <w:r>
        <w:rPr>
          <w:rFonts w:hint="default"/>
          <w:color w:val="000000" w:themeColor="text1"/>
          <w:lang w:val="en-US" w:eastAsia="zh-CN"/>
          <w14:textFill>
            <w14:solidFill>
              <w14:schemeClr w14:val="tx1"/>
            </w14:solidFill>
          </w14:textFill>
        </w:rPr>
        <w:t>建设单位为赣州市污水处理有限公司。本工程为经开区污水管道完善工程，主要针对现状西城区组团分流制区域的宝福路、金岭中路、迎宾大道、华鑫路、华坚路、华裕路、金岭西路、赣丰路、工业一路、工业二路、工业三路、谷雨路、车头路、金星路、金坪路等现状道路下没有污水管道的区域补充完善污水管道，同时为两侧地块预留地块支管，将地块与上游相交道路污水管纳入城市污水排水体系。本工程新建污水管网共计约18481米，其中车头路新建污水管网103米。</w:t>
      </w:r>
    </w:p>
    <w:p w14:paraId="25C83E5B">
      <w:pPr>
        <w:keepNext w:val="0"/>
        <w:keepLines w:val="0"/>
        <w:pageBreakBefore w:val="0"/>
        <w:widowControl w:val="0"/>
        <w:kinsoku/>
        <w:wordWrap/>
        <w:overflowPunct/>
        <w:topLinePunct w:val="0"/>
        <w:autoSpaceDE/>
        <w:autoSpaceDN/>
        <w:bidi w:val="0"/>
        <w:adjustRightInd/>
        <w:snapToGrid/>
        <w:spacing w:line="324"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本报告评估对象为赣州市污水处理有限公司赣州市中心城区生活污水处理厂网一体化（一期）经开区污水管网完善工程车头路多功能微顶管施工作业</w:t>
      </w:r>
      <w:r>
        <w:rPr>
          <w:rFonts w:hint="eastAsia"/>
          <w:color w:val="000000" w:themeColor="text1"/>
          <w:lang w:val="en-US" w:eastAsia="zh-CN"/>
          <w14:textFill>
            <w14:solidFill>
              <w14:schemeClr w14:val="tx1"/>
            </w14:solidFill>
          </w14:textFill>
        </w:rPr>
        <w:t>，其施工作业采用的工艺为</w:t>
      </w:r>
      <w:r>
        <w:rPr>
          <w:rFonts w:hint="default"/>
          <w:color w:val="000000" w:themeColor="text1"/>
          <w:lang w:val="en-US" w:eastAsia="zh-CN"/>
          <w14:textFill>
            <w14:solidFill>
              <w14:schemeClr w14:val="tx1"/>
            </w14:solidFill>
          </w14:textFill>
        </w:rPr>
        <w:t>多功能微顶管施工</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顶拉管施工采用胀锁密封连接聚乙烯实壁排水管DN500、长度约67.4m、管材环刚度不低于20kN/m</w:t>
      </w:r>
      <w:r>
        <w:rPr>
          <w:rFonts w:hint="default"/>
          <w:color w:val="000000" w:themeColor="text1"/>
          <w:vertAlign w:val="superscript"/>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，1.5米/节，允许顶力不小于600kN含钻孔、扩孔、回拖、顶进及泥浆等施工应严格按顶拉管施工工艺进行。</w:t>
      </w:r>
    </w:p>
    <w:p w14:paraId="61A54D54">
      <w:pPr>
        <w:keepNext w:val="0"/>
        <w:keepLines w:val="0"/>
        <w:pageBreakBefore w:val="0"/>
        <w:widowControl w:val="0"/>
        <w:kinsoku/>
        <w:wordWrap/>
        <w:overflowPunct/>
        <w:topLinePunct w:val="0"/>
        <w:autoSpaceDE/>
        <w:autoSpaceDN/>
        <w:bidi w:val="0"/>
        <w:adjustRightInd/>
        <w:snapToGrid/>
        <w:spacing w:line="324"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受赣州市污水处理有限公司委托，我中心按照相关法律法规中的条款要求，以本工程施工专项方案为基础，于202</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年</w:t>
      </w:r>
      <w:r>
        <w:rPr>
          <w:rFonts w:hint="eastAsia"/>
          <w:color w:val="000000" w:themeColor="text1"/>
          <w:lang w:val="en-US" w:eastAsia="zh-CN"/>
          <w14:textFill>
            <w14:solidFill>
              <w14:schemeClr w14:val="tx1"/>
            </w14:solidFill>
          </w14:textFill>
        </w:rPr>
        <w:t>11</w:t>
      </w:r>
      <w:r>
        <w:rPr>
          <w:rFonts w:hint="default"/>
          <w:color w:val="000000" w:themeColor="text1"/>
          <w:lang w:val="en-US" w:eastAsia="zh-CN"/>
          <w14:textFill>
            <w14:solidFill>
              <w14:schemeClr w14:val="tx1"/>
            </w14:solidFill>
          </w14:textFill>
        </w:rPr>
        <w:t>月成立了专项评估小组，并勘察了车头路多功能微顶管施工工程现场。</w:t>
      </w:r>
    </w:p>
    <w:p w14:paraId="5193C172">
      <w:pPr>
        <w:keepNext w:val="0"/>
        <w:keepLines w:val="0"/>
        <w:pageBreakBefore w:val="0"/>
        <w:widowControl w:val="0"/>
        <w:kinsoku/>
        <w:wordWrap/>
        <w:overflowPunct/>
        <w:topLinePunct w:val="0"/>
        <w:autoSpaceDE/>
        <w:autoSpaceDN/>
        <w:bidi w:val="0"/>
        <w:adjustRightInd/>
        <w:snapToGrid/>
        <w:spacing w:line="324"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评估小组根据《中华人民共和国公路法》、《公路安全保护条列》等规定，参照国家安全生产监督管理总局《安全评价通则》（AQ8001-2007）、《安全预评价导则》（AQ8002-2007）等相关要求，针对本工程采用多功能微顶管施工工艺穿越公路及其附属设施安全方面进行了整体评估，并正确作出了相应的风险评估结论，编制完成本安全评估报告书。</w:t>
      </w:r>
    </w:p>
    <w:p w14:paraId="0DB63234">
      <w:pPr>
        <w:keepNext w:val="0"/>
        <w:keepLines w:val="0"/>
        <w:pageBreakBefore w:val="0"/>
        <w:widowControl w:val="0"/>
        <w:kinsoku/>
        <w:wordWrap/>
        <w:overflowPunct/>
        <w:topLinePunct w:val="0"/>
        <w:autoSpaceDE/>
        <w:autoSpaceDN/>
        <w:bidi w:val="0"/>
        <w:adjustRightInd/>
        <w:snapToGrid/>
        <w:spacing w:line="324"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在评估过程中得到了赣州市污水处理有限公司和相关部门的大力协助和支持，在此表示衷心感谢。</w:t>
      </w:r>
    </w:p>
    <w:p w14:paraId="4C186EFB">
      <w:pPr>
        <w:keepNext w:val="0"/>
        <w:keepLines w:val="0"/>
        <w:pageBreakBefore w:val="0"/>
        <w:widowControl w:val="0"/>
        <w:kinsoku/>
        <w:wordWrap/>
        <w:overflowPunct/>
        <w:topLinePunct w:val="0"/>
        <w:autoSpaceDE/>
        <w:autoSpaceDN/>
        <w:bidi w:val="0"/>
        <w:adjustRightInd/>
        <w:snapToGrid/>
        <w:spacing w:line="324"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本报告不足之处，敬请指正。</w:t>
      </w:r>
    </w:p>
    <w:p w14:paraId="066A80C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黑体" w:cs="Times New Roman"/>
          <w:b/>
          <w:bCs/>
          <w:color w:val="000000" w:themeColor="text1"/>
          <w:sz w:val="32"/>
          <w:szCs w:val="32"/>
          <w14:textFill>
            <w14:solidFill>
              <w14:schemeClr w14:val="tx1"/>
            </w14:solidFill>
          </w14:textFill>
        </w:rPr>
      </w:pPr>
      <w:r>
        <w:rPr>
          <w:rFonts w:hint="default" w:ascii="Times New Roman" w:hAnsi="Times New Roman" w:cs="Times New Roman"/>
          <w:b/>
          <w:bCs/>
          <w:color w:val="000000" w:themeColor="text1"/>
          <w:sz w:val="28"/>
          <w:szCs w:val="28"/>
          <w14:textFill>
            <w14:solidFill>
              <w14:schemeClr w14:val="tx1"/>
            </w14:solidFill>
          </w14:textFill>
        </w:rPr>
        <w:br w:type="page"/>
      </w:r>
      <w:r>
        <w:rPr>
          <w:rFonts w:hint="default" w:ascii="Times New Roman" w:hAnsi="Times New Roman" w:eastAsia="黑体" w:cs="Times New Roman"/>
          <w:b/>
          <w:bCs/>
          <w:color w:val="000000" w:themeColor="text1"/>
          <w:sz w:val="32"/>
          <w:szCs w:val="32"/>
          <w14:textFill>
            <w14:solidFill>
              <w14:schemeClr w14:val="tx1"/>
            </w14:solidFill>
          </w14:textFill>
        </w:rPr>
        <w:t>目</w:t>
      </w:r>
      <w:r>
        <w:rPr>
          <w:rFonts w:hint="default" w:ascii="Times New Roman" w:hAnsi="Times New Roman" w:eastAsia="黑体" w:cs="Times New Roman"/>
          <w:b/>
          <w:bCs/>
          <w:color w:val="000000" w:themeColor="text1"/>
          <w:sz w:val="32"/>
          <w:szCs w:val="32"/>
          <w:lang w:val="en-US" w:eastAsia="zh-CN"/>
          <w14:textFill>
            <w14:solidFill>
              <w14:schemeClr w14:val="tx1"/>
            </w14:solidFill>
          </w14:textFill>
        </w:rPr>
        <w:t xml:space="preserve"> </w:t>
      </w:r>
      <w:r>
        <w:rPr>
          <w:rFonts w:hint="eastAsia" w:eastAsia="黑体"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sz w:val="32"/>
          <w:szCs w:val="32"/>
          <w14:textFill>
            <w14:solidFill>
              <w14:schemeClr w14:val="tx1"/>
            </w14:solidFill>
          </w14:textFill>
        </w:rPr>
        <w:t>录</w:t>
      </w:r>
    </w:p>
    <w:p w14:paraId="7FE306E7">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TOC \o "1-3" \h \u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_Toc11461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kern w:val="44"/>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t>评估概述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_Toc11461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26D7A34">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_Toc27513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1.1 评估对象和范围</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_Toc27513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64FFAF7">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_Toc21990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1.1.1 评估对象</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_Toc21990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8357E2E">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_Toc21175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1.1.2 评估范围</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_Toc21175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27E9983">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_Toc22765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1.2 评估目的</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_Toc22765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9B3E329">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_Toc32126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1.3评</w:t>
      </w:r>
      <w:r>
        <w:rPr>
          <w:rFonts w:hint="default" w:ascii="Times New Roman" w:hAnsi="Times New Roman" w:eastAsia="宋体" w:cs="Times New Roman"/>
          <w:color w:val="000000" w:themeColor="text1"/>
          <w:kern w:val="2"/>
          <w:szCs w:val="24"/>
          <w:lang w:val="en-US" w:eastAsia="zh-CN" w:bidi="ar-SA"/>
          <w14:textFill>
            <w14:solidFill>
              <w14:schemeClr w14:val="tx1"/>
            </w14:solidFill>
          </w14:textFill>
        </w:rPr>
        <w:t>估</w:t>
      </w:r>
      <w:r>
        <w:rPr>
          <w:rFonts w:hint="default" w:ascii="Times New Roman" w:hAnsi="Times New Roman" w:eastAsia="宋体" w:cs="Times New Roman"/>
          <w:color w:val="000000" w:themeColor="text1"/>
          <w:lang w:val="en-US" w:eastAsia="zh-CN"/>
          <w14:textFill>
            <w14:solidFill>
              <w14:schemeClr w14:val="tx1"/>
            </w14:solidFill>
          </w14:textFill>
        </w:rPr>
        <w:t>依据</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_Toc32126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2CC26B48">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_Toc8865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kern w:val="2"/>
          <w:szCs w:val="24"/>
          <w:lang w:val="en-US" w:eastAsia="zh-CN" w:bidi="ar-SA"/>
          <w14:textFill>
            <w14:solidFill>
              <w14:schemeClr w14:val="tx1"/>
            </w14:solidFill>
          </w14:textFill>
        </w:rPr>
        <w:t>1.3.1 法律法规</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_Toc8865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DA84D51">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_Toc4454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1.3.2 标准规范</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_Toc4454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2A3BD33">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_Toc9851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w:t>
      </w:r>
      <w:r>
        <w:rPr>
          <w:rFonts w:hint="default" w:ascii="Times New Roman" w:hAnsi="Times New Roman" w:eastAsia="宋体" w:cs="Times New Roman"/>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3 建设项目</w:t>
      </w:r>
      <w:r>
        <w:rPr>
          <w:rFonts w:hint="default" w:ascii="Times New Roman" w:hAnsi="Times New Roman" w:eastAsia="宋体" w:cs="Times New Roman"/>
          <w:color w:val="000000" w:themeColor="text1"/>
          <w14:textFill>
            <w14:solidFill>
              <w14:schemeClr w14:val="tx1"/>
            </w14:solidFill>
          </w14:textFill>
        </w:rPr>
        <w:t>技术资料</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_Toc9851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5</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C1E8C46">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_Toc3902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1.4 评估程序</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_Toc3902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5</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C951921">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_Toc14437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 评估项目情况</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_Toc14437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15CB7F8">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_Toc16465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2.1 工程概况</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_Toc16465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D6A7584">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_Toc21850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2.1.1 建设工程相关方</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_Toc21850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0503ADD">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_Toc11014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2.1.2 建设内容概况</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_Toc11014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E1C6F2C">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_Toc23063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2.2 穿越概况</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_Toc23063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5CFE4A9">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_Toc12629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2.2.1 周边情况</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_Toc12629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67A6E1C">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_Toc24635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2.2.2 地质概况</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_Toc24635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2296D16A">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_Toc20438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2.3 微型顶拉管工艺介绍</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_Toc20438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16</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BFDD8FE">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_Toc32140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2.4 施工总体流程</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_Toc32140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47D9039">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_Toc27270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 微型顶拉管施工方法</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_Toc27270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F90715F">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_Toc15928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2.5.1 微型顶拉管机械设备图</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_Toc15928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F8EC043">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_Toc15473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2.5.2 定线测量（管线路由放样）</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_Toc15473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57CBD9C">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_Toc14924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2.5.3 微顶钻机安装</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_Toc14924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B902014">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_Toc27100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 xml:space="preserve">2.5.4 </w:t>
      </w:r>
      <w:r>
        <w:rPr>
          <w:rFonts w:hint="default" w:ascii="Times New Roman" w:hAnsi="Times New Roman" w:eastAsia="宋体" w:cs="Times New Roman"/>
          <w:color w:val="000000" w:themeColor="text1"/>
          <w14:textFill>
            <w14:solidFill>
              <w14:schemeClr w14:val="tx1"/>
            </w14:solidFill>
          </w14:textFill>
        </w:rPr>
        <w:t>导向孔施工（或导向钻杆穿过原管道中心）</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_Toc27100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19</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23F95BA6">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_Toc26551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2.5.5 复测预判</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_Toc26551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21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D671C66">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_Toc28848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2.5.6 回扩掘进、顶拉管道</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_Toc28848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22</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D71891D">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_Toc5525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2.5.7 管道铺设完成，拆除设备，设备撤场</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_Toc5525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27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1C47029">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_Toc20777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2.5.8 微型顶拉管施工质量验收标准</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_Toc20777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27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7B7AA18">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_Toc8850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2.6 沉降控制措施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_Toc8850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29</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782E607">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_Toc22811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2.7 质量保证措施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_Toc22811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30</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269839E0">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_Toc20387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2.8 安全生产、文明施工</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_Toc20387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34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210D748D">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_Toc3662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2.9 有限空间作业</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_Toc3662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40</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AD723BB">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_Toc22901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2.10 交通安全措施及地下管线保护措施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_Toc22901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42</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7E47F99">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_Toc22714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2.11 雨季施工措施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_Toc22714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44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805FBF9">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_Toc5679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2.12 应急措施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_Toc5679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45</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9B956F8">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_Toc21423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 危险有害因素辨识</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_Toc21423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9F0BBA7">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_Toc647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3.1 安全管理危险有害因素辨识与分析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_Toc647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0FCB18A">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_Toc9513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3.1.1 人员的安全管理危险性分析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_Toc9513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61</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E5C7560">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_Toc16438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3.1.2 设备设施的的安全管理危险性分析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_Toc16438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61669EB">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_Toc29924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3.1.3 安全管理危险性分析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_Toc29924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16EDB0F">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_Toc22860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3.1.4 安全标志、照明设备防护设备设施危险有害因素分析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_Toc22860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A5133E4">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_Toc10475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 项目施工过程危险有害因素辨识与分析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_Toc10475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CA002CC">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_Toc30459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3.2.1 坍塌</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_Toc30459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DBA2FB6">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_Toc31666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3.2.2 触电</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_Toc31666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65</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9DEDA27">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_Toc28618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3.2.3 物体打击</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_Toc28618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65</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B4FF2E4">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_Toc24576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3.2.4 车辆伤害</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_Toc24576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65</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2676A6C3">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_Toc28751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3.2.5 机械伤害</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_Toc28751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66</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5F46E33">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_Toc2361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3.2.6 起重伤害</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_Toc2361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66</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2E040BF5">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_Toc23274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3.2.7 高处坠落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_Toc23274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66</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3D680F7">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_Toc25274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3.2.8 火灾爆炸</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_Toc25274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1699496">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_Toc7696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3.2.9 噪声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_Toc7696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A9C3AF8">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_Toc22382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3.2.10 高、低温</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_Toc22382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052FD10">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_Toc32290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3.2.11 其它伤害</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_Toc32290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6C731A2">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_Toc4812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4. 安全评估单元与评估方法</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_Toc4812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84CA147">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_Toc30448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4.1 评估单元划分</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_Toc30448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3885946">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_Toc28364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4.2 评估方法选择</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_Toc28364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1BFC523">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_Toc14929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4.3 评估方法介绍</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_Toc14929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A6E49D3">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_Toc7844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4.3.1 预先危险性分析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_Toc7844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6D99859F">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_Toc15479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4.3.2 安全检查表分析</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_Toc15479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68</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E2FA02D">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_Toc25671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 安全评估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_Toc25671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70</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F57466E">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_Toc1002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5.1 预先危险性分析法评估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_Toc1002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70</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279AD26">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_Toc20219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5.2 安全检查表分析法评估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_Toc20219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A226D03">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_Toc25164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5.2.1 施工项目法律法规符合性</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_Toc25164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D3E6FC1">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_Toc13186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5.2.2 施工作业安全管理及作业人员资格合法性评估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_Toc13186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3157E8D">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_Toc9301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5.2.3 施工作业法律法规符合性评估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_Toc9301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74</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59520F6">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_Toc21162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5.2.4 与现有地下管线间距评估</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_Toc21162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82</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A055A36">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_Toc31408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5.3 评估小结</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_Toc31408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82</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98F0719">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_Toc2369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6. 安全对策措施和建议</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_Toc2369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13A042F4">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_Toc10898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6.1 施工方案中已提出的安全对策措施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_Toc10898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41615C0">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_Toc31935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6.2 本评估报告提出的对策措施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_Toc31935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60DC93A">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_Toc19531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6.2.1 施工安全对策措施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_Toc19531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83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1D0278C">
      <w:pPr>
        <w:pStyle w:val="11"/>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_Toc4641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6.2.2 安全管理对策措施</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_Toc4641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93</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52257E86">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_Toc20256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7. 评估结论</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_Toc20256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97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32F040D7">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_Toc10448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7.1 存在的危险有害因素</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_Toc10448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97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719EB59B">
      <w:pPr>
        <w:pStyle w:val="15"/>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_Toc29995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7.2 评估结论</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_Toc29995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97</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4EFD3C14">
      <w:pPr>
        <w:pStyle w:val="14"/>
        <w:keepNext w:val="0"/>
        <w:keepLines w:val="0"/>
        <w:pageBreakBefore w:val="0"/>
        <w:widowControl w:val="0"/>
        <w:tabs>
          <w:tab w:val="right" w:leader="dot" w:pos="9072"/>
        </w:tabs>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HYPERLINK \l _Toc8583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lang w:val="en-US" w:eastAsia="zh-CN"/>
          <w14:textFill>
            <w14:solidFill>
              <w14:schemeClr w14:val="tx1"/>
            </w14:solidFill>
          </w14:textFill>
        </w:rPr>
        <w:t>8. 附件附图</w:t>
      </w:r>
      <w:r>
        <w:rPr>
          <w:rFonts w:hint="default" w:ascii="Times New Roman" w:hAnsi="Times New Roman" w:eastAsia="宋体" w:cs="Times New Roman"/>
          <w:color w:val="000000" w:themeColor="text1"/>
          <w14:textFill>
            <w14:solidFill>
              <w14:schemeClr w14:val="tx1"/>
            </w14:solidFill>
          </w14:textFill>
        </w:rPr>
        <w:tab/>
      </w:r>
      <w:r>
        <w:rPr>
          <w:rFonts w:hint="default" w:ascii="Times New Roman" w:hAnsi="Times New Roman" w:eastAsia="宋体" w:cs="Times New Roman"/>
          <w:color w:val="000000" w:themeColor="text1"/>
          <w14:textFill>
            <w14:solidFill>
              <w14:schemeClr w14:val="tx1"/>
            </w14:solidFill>
          </w14:textFill>
        </w:rPr>
        <w:fldChar w:fldCharType="begin"/>
      </w:r>
      <w:r>
        <w:rPr>
          <w:rFonts w:hint="default" w:ascii="Times New Roman" w:hAnsi="Times New Roman" w:eastAsia="宋体" w:cs="Times New Roman"/>
          <w:color w:val="000000" w:themeColor="text1"/>
          <w14:textFill>
            <w14:solidFill>
              <w14:schemeClr w14:val="tx1"/>
            </w14:solidFill>
          </w14:textFill>
        </w:rPr>
        <w:instrText xml:space="preserve"> PAGEREF _Toc8583 \h </w:instrText>
      </w:r>
      <w:r>
        <w:rPr>
          <w:rFonts w:hint="default" w:ascii="Times New Roman" w:hAnsi="Times New Roman" w:eastAsia="宋体" w:cs="Times New Roman"/>
          <w:color w:val="000000" w:themeColor="text1"/>
          <w14:textFill>
            <w14:solidFill>
              <w14:schemeClr w14:val="tx1"/>
            </w14:solidFill>
          </w14:textFill>
        </w:rPr>
        <w:fldChar w:fldCharType="separate"/>
      </w:r>
      <w:r>
        <w:rPr>
          <w:rFonts w:hint="default" w:ascii="Times New Roman" w:hAnsi="Times New Roman" w:eastAsia="宋体" w:cs="Times New Roman"/>
          <w:color w:val="000000" w:themeColor="text1"/>
          <w14:textFill>
            <w14:solidFill>
              <w14:schemeClr w14:val="tx1"/>
            </w14:solidFill>
          </w14:textFill>
        </w:rPr>
        <w:t>99</w:t>
      </w:r>
      <w:r>
        <w:rPr>
          <w:rFonts w:hint="default" w:ascii="Times New Roman" w:hAnsi="Times New Roman" w:eastAsia="宋体" w:cs="Times New Roman"/>
          <w:color w:val="000000" w:themeColor="text1"/>
          <w14:textFill>
            <w14:solidFill>
              <w14:schemeClr w14:val="tx1"/>
            </w14:solidFill>
          </w14:textFill>
        </w:rPr>
        <w:fldChar w:fldCharType="end"/>
      </w:r>
      <w:r>
        <w:rPr>
          <w:rFonts w:hint="default" w:ascii="Times New Roman" w:hAnsi="Times New Roman" w:eastAsia="宋体" w:cs="Times New Roman"/>
          <w:color w:val="000000" w:themeColor="text1"/>
          <w14:textFill>
            <w14:solidFill>
              <w14:schemeClr w14:val="tx1"/>
            </w14:solidFill>
          </w14:textFill>
        </w:rPr>
        <w:fldChar w:fldCharType="end"/>
      </w:r>
    </w:p>
    <w:p w14:paraId="00A3910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fldChar w:fldCharType="end"/>
      </w:r>
    </w:p>
    <w:p w14:paraId="33555B12">
      <w:pPr>
        <w:bidi w:val="0"/>
        <w:rPr>
          <w:rFonts w:hint="default"/>
          <w:color w:val="000000" w:themeColor="text1"/>
          <w14:textFill>
            <w14:solidFill>
              <w14:schemeClr w14:val="tx1"/>
            </w14:solidFill>
          </w14:textFill>
        </w:rPr>
      </w:pPr>
    </w:p>
    <w:p w14:paraId="5B72C35E">
      <w:pPr>
        <w:bidi w:val="0"/>
        <w:rPr>
          <w:rFonts w:hint="default"/>
          <w:color w:val="000000" w:themeColor="text1"/>
          <w14:textFill>
            <w14:solidFill>
              <w14:schemeClr w14:val="tx1"/>
            </w14:solidFill>
          </w14:textFill>
        </w:rPr>
        <w:sectPr>
          <w:headerReference r:id="rId7" w:type="default"/>
          <w:footerReference r:id="rId8" w:type="default"/>
          <w:pgSz w:w="11906" w:h="16839"/>
          <w:pgMar w:top="1417" w:right="1417" w:bottom="1417" w:left="1417" w:header="850" w:footer="992" w:gutter="0"/>
          <w:pgBorders>
            <w:top w:val="none" w:sz="0" w:space="0"/>
            <w:left w:val="none" w:sz="0" w:space="0"/>
            <w:bottom w:val="none" w:sz="0" w:space="0"/>
            <w:right w:val="none" w:sz="0" w:space="0"/>
          </w:pgBorders>
          <w:pgNumType w:fmt="upperRoman" w:start="1"/>
          <w:cols w:space="720" w:num="1"/>
          <w:rtlGutter w:val="0"/>
          <w:docGrid w:linePitch="312" w:charSpace="0"/>
        </w:sectPr>
      </w:pPr>
    </w:p>
    <w:p w14:paraId="5C630294">
      <w:pPr>
        <w:pStyle w:val="2"/>
        <w:numPr>
          <w:ilvl w:val="0"/>
          <w:numId w:val="0"/>
        </w:numPr>
        <w:bidi w:val="0"/>
        <w:ind w:firstLine="0" w:firstLineChars="0"/>
        <w:jc w:val="center"/>
        <w:rPr>
          <w:rFonts w:hint="eastAsia"/>
          <w:color w:val="000000" w:themeColor="text1"/>
          <w14:textFill>
            <w14:solidFill>
              <w14:schemeClr w14:val="tx1"/>
            </w14:solidFill>
          </w14:textFill>
        </w:rPr>
      </w:pPr>
      <w:bookmarkStart w:id="3" w:name="_Toc11461"/>
      <w:r>
        <w:rPr>
          <w:rFonts w:hint="eastAsia" w:ascii="Times New Roman" w:hAnsi="Times New Roman" w:eastAsia="黑体" w:cs="Times New Roman"/>
          <w:b/>
          <w:color w:val="000000" w:themeColor="text1"/>
          <w:kern w:val="44"/>
          <w:sz w:val="32"/>
          <w:szCs w:val="24"/>
          <w:lang w:val="en-US" w:eastAsia="zh-CN" w:bidi="ar-SA"/>
          <w14:textFill>
            <w14:solidFill>
              <w14:schemeClr w14:val="tx1"/>
            </w14:solidFill>
          </w14:textFill>
        </w:rPr>
        <w:t>1.</w:t>
      </w:r>
      <w:r>
        <w:rPr>
          <w:rFonts w:hint="eastAsia"/>
          <w:color w:val="000000" w:themeColor="text1"/>
          <w14:textFill>
            <w14:solidFill>
              <w14:schemeClr w14:val="tx1"/>
            </w14:solidFill>
          </w14:textFill>
        </w:rPr>
        <w:t>评估概述</w:t>
      </w:r>
      <w:bookmarkEnd w:id="3"/>
    </w:p>
    <w:p w14:paraId="62E96878">
      <w:pPr>
        <w:pStyle w:val="3"/>
        <w:bidi w:val="0"/>
        <w:rPr>
          <w:rFonts w:hint="default"/>
          <w:color w:val="000000" w:themeColor="text1"/>
          <w:lang w:val="en-US" w:eastAsia="zh-CN"/>
          <w14:textFill>
            <w14:solidFill>
              <w14:schemeClr w14:val="tx1"/>
            </w14:solidFill>
          </w14:textFill>
        </w:rPr>
      </w:pPr>
      <w:bookmarkStart w:id="4" w:name="_Toc12178"/>
      <w:bookmarkStart w:id="5" w:name="_Toc4559"/>
      <w:bookmarkStart w:id="6" w:name="_Toc27513"/>
      <w:r>
        <w:rPr>
          <w:rFonts w:hint="eastAsia"/>
          <w:color w:val="000000" w:themeColor="text1"/>
          <w:lang w:val="en-US" w:eastAsia="zh-CN"/>
          <w14:textFill>
            <w14:solidFill>
              <w14:schemeClr w14:val="tx1"/>
            </w14:solidFill>
          </w14:textFill>
        </w:rPr>
        <w:t xml:space="preserve">1.1 </w:t>
      </w:r>
      <w:bookmarkEnd w:id="4"/>
      <w:bookmarkEnd w:id="5"/>
      <w:r>
        <w:rPr>
          <w:rFonts w:hint="eastAsia"/>
          <w:color w:val="000000" w:themeColor="text1"/>
          <w:lang w:val="en-US" w:eastAsia="zh-CN"/>
          <w14:textFill>
            <w14:solidFill>
              <w14:schemeClr w14:val="tx1"/>
            </w14:solidFill>
          </w14:textFill>
        </w:rPr>
        <w:t>评估对象和范围</w:t>
      </w:r>
      <w:bookmarkEnd w:id="6"/>
    </w:p>
    <w:p w14:paraId="0904CA7F">
      <w:pPr>
        <w:pStyle w:val="4"/>
        <w:bidi w:val="0"/>
        <w:rPr>
          <w:rFonts w:hint="default"/>
          <w:color w:val="000000" w:themeColor="text1"/>
          <w:lang w:val="en-US" w:eastAsia="zh-CN"/>
          <w14:textFill>
            <w14:solidFill>
              <w14:schemeClr w14:val="tx1"/>
            </w14:solidFill>
          </w14:textFill>
        </w:rPr>
      </w:pPr>
      <w:bookmarkStart w:id="7" w:name="_Toc21990"/>
      <w:bookmarkStart w:id="8" w:name="_Toc18570"/>
      <w:bookmarkStart w:id="9" w:name="_Toc12180"/>
      <w:bookmarkStart w:id="10" w:name="_Toc4210"/>
      <w:bookmarkStart w:id="11" w:name="_Toc20400"/>
      <w:bookmarkStart w:id="12" w:name="_Toc13743"/>
      <w:r>
        <w:rPr>
          <w:rFonts w:hint="eastAsia"/>
          <w:color w:val="000000" w:themeColor="text1"/>
          <w:lang w:val="en-US" w:eastAsia="zh-CN"/>
          <w14:textFill>
            <w14:solidFill>
              <w14:schemeClr w14:val="tx1"/>
            </w14:solidFill>
          </w14:textFill>
        </w:rPr>
        <w:t>1.1.1 评估对象</w:t>
      </w:r>
      <w:bookmarkEnd w:id="7"/>
    </w:p>
    <w:p w14:paraId="41F377A9">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赣州市污水处理有限公司赣州市中心城区生活污水处理厂网一体化（一期）经开区污水管网完善工程车头路多功能微顶管施工作业。</w:t>
      </w:r>
    </w:p>
    <w:p w14:paraId="6C569186">
      <w:pPr>
        <w:pStyle w:val="4"/>
        <w:bidi w:val="0"/>
        <w:rPr>
          <w:rFonts w:hint="default"/>
          <w:color w:val="000000" w:themeColor="text1"/>
          <w:lang w:val="en-US" w:eastAsia="zh-CN"/>
          <w14:textFill>
            <w14:solidFill>
              <w14:schemeClr w14:val="tx1"/>
            </w14:solidFill>
          </w14:textFill>
        </w:rPr>
      </w:pPr>
      <w:bookmarkStart w:id="13" w:name="_Toc21175"/>
      <w:r>
        <w:rPr>
          <w:rFonts w:hint="eastAsia"/>
          <w:color w:val="000000" w:themeColor="text1"/>
          <w:lang w:val="en-US" w:eastAsia="zh-CN"/>
          <w14:textFill>
            <w14:solidFill>
              <w14:schemeClr w14:val="tx1"/>
            </w14:solidFill>
          </w14:textFill>
        </w:rPr>
        <w:t>1.1.2 评估范围</w:t>
      </w:r>
      <w:bookmarkEnd w:id="13"/>
    </w:p>
    <w:p w14:paraId="4E98BFE9">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赣州市污水处理有限公司赣州市中心城区生活污水处理厂网一体化（一期）经开区污水管网完善工程车头路多功能微顶管施工作业过程存在的危险有害因素及施工阶段对车头路运行的影响，污水管道运营阶段对公路的影响不在本次评估范围内。</w:t>
      </w:r>
    </w:p>
    <w:p w14:paraId="63ACF775">
      <w:pPr>
        <w:pStyle w:val="3"/>
        <w:bidi w:val="0"/>
        <w:rPr>
          <w:rFonts w:hint="default"/>
          <w:color w:val="000000" w:themeColor="text1"/>
          <w:lang w:val="en-US" w:eastAsia="zh-CN"/>
          <w14:textFill>
            <w14:solidFill>
              <w14:schemeClr w14:val="tx1"/>
            </w14:solidFill>
          </w14:textFill>
        </w:rPr>
      </w:pPr>
      <w:bookmarkStart w:id="14" w:name="_Toc22765"/>
      <w:r>
        <w:rPr>
          <w:rFonts w:hint="eastAsia"/>
          <w:color w:val="000000" w:themeColor="text1"/>
          <w:lang w:val="en-US" w:eastAsia="zh-CN"/>
          <w14:textFill>
            <w14:solidFill>
              <w14:schemeClr w14:val="tx1"/>
            </w14:solidFill>
          </w14:textFill>
        </w:rPr>
        <w:t>1.2 评估目的</w:t>
      </w:r>
      <w:bookmarkEnd w:id="14"/>
    </w:p>
    <w:p w14:paraId="4B884266">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安全生产作业评估的目的在于查找、分析赣州市污水处理有限公司赣州市中心城区生活污水处理厂网一体化（一期）经开区污水管网完善工程车头路多功能微顶管施工作业时存在的危险、有害因素及其对车头路运行的影响，对可能存在的问题和隐患，提出合理可行的安全对策措施和建议，以促进赣州市中心城区生活污水处理厂网一体化（一期）经开区污水管网完善工程车头路多功能微顶管施工作业安全顺利。</w:t>
      </w:r>
    </w:p>
    <w:p w14:paraId="44565179">
      <w:pPr>
        <w:pStyle w:val="3"/>
        <w:bidi w:val="0"/>
        <w:rPr>
          <w:rFonts w:hint="eastAsia"/>
          <w:color w:val="000000" w:themeColor="text1"/>
          <w:lang w:val="en-US" w:eastAsia="zh-CN"/>
          <w14:textFill>
            <w14:solidFill>
              <w14:schemeClr w14:val="tx1"/>
            </w14:solidFill>
          </w14:textFill>
        </w:rPr>
      </w:pPr>
      <w:bookmarkStart w:id="15" w:name="_Toc26416"/>
      <w:bookmarkStart w:id="16" w:name="_Toc652"/>
      <w:bookmarkStart w:id="17" w:name="_Toc32126"/>
      <w:r>
        <w:rPr>
          <w:rFonts w:hint="eastAsia"/>
          <w:color w:val="000000" w:themeColor="text1"/>
          <w:lang w:val="en-US" w:eastAsia="zh-CN"/>
          <w14:textFill>
            <w14:solidFill>
              <w14:schemeClr w14:val="tx1"/>
            </w14:solidFill>
          </w14:textFill>
        </w:rPr>
        <w:t>1.3评</w:t>
      </w:r>
      <w:r>
        <w:rPr>
          <w:rFonts w:hint="eastAsia" w:ascii="Times New Roman" w:hAnsi="Times New Roman" w:eastAsia="黑体" w:cs="Times New Roman"/>
          <w:b/>
          <w:color w:val="000000" w:themeColor="text1"/>
          <w:kern w:val="2"/>
          <w:sz w:val="28"/>
          <w:szCs w:val="24"/>
          <w:lang w:val="en-US" w:eastAsia="zh-CN" w:bidi="ar-SA"/>
          <w14:textFill>
            <w14:solidFill>
              <w14:schemeClr w14:val="tx1"/>
            </w14:solidFill>
          </w14:textFill>
        </w:rPr>
        <w:t>估</w:t>
      </w:r>
      <w:r>
        <w:rPr>
          <w:rFonts w:hint="eastAsia"/>
          <w:color w:val="000000" w:themeColor="text1"/>
          <w:lang w:val="en-US" w:eastAsia="zh-CN"/>
          <w14:textFill>
            <w14:solidFill>
              <w14:schemeClr w14:val="tx1"/>
            </w14:solidFill>
          </w14:textFill>
        </w:rPr>
        <w:t>依据</w:t>
      </w:r>
      <w:bookmarkEnd w:id="8"/>
      <w:bookmarkEnd w:id="9"/>
      <w:bookmarkEnd w:id="10"/>
      <w:bookmarkEnd w:id="11"/>
      <w:bookmarkEnd w:id="12"/>
      <w:bookmarkEnd w:id="15"/>
      <w:bookmarkEnd w:id="16"/>
      <w:bookmarkEnd w:id="17"/>
    </w:p>
    <w:p w14:paraId="086CC075">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000000" w:themeColor="text1"/>
          <w:kern w:val="2"/>
          <w:sz w:val="28"/>
          <w:szCs w:val="24"/>
          <w:lang w:val="en-US" w:eastAsia="zh-CN" w:bidi="ar-SA"/>
          <w14:textFill>
            <w14:solidFill>
              <w14:schemeClr w14:val="tx1"/>
            </w14:solidFill>
          </w14:textFill>
        </w:rPr>
      </w:pPr>
      <w:bookmarkStart w:id="18" w:name="_Toc8865"/>
      <w:bookmarkStart w:id="19" w:name="_Toc11129"/>
      <w:bookmarkStart w:id="20" w:name="_Toc11394"/>
      <w:bookmarkStart w:id="21" w:name="_Toc10245"/>
      <w:r>
        <w:rPr>
          <w:rFonts w:hint="eastAsia" w:ascii="Times New Roman" w:hAnsi="Times New Roman" w:eastAsia="黑体" w:cs="Times New Roman"/>
          <w:b/>
          <w:color w:val="000000" w:themeColor="text1"/>
          <w:kern w:val="2"/>
          <w:sz w:val="28"/>
          <w:szCs w:val="24"/>
          <w:lang w:val="en-US" w:eastAsia="zh-CN" w:bidi="ar-SA"/>
          <w14:textFill>
            <w14:solidFill>
              <w14:schemeClr w14:val="tx1"/>
            </w14:solidFill>
          </w14:textFill>
        </w:rPr>
        <w:t>1.</w:t>
      </w:r>
      <w:r>
        <w:rPr>
          <w:rFonts w:hint="eastAsia" w:eastAsia="黑体" w:cs="Times New Roman"/>
          <w:b/>
          <w:color w:val="000000" w:themeColor="text1"/>
          <w:kern w:val="2"/>
          <w:sz w:val="28"/>
          <w:szCs w:val="24"/>
          <w:lang w:val="en-US" w:eastAsia="zh-CN" w:bidi="ar-SA"/>
          <w14:textFill>
            <w14:solidFill>
              <w14:schemeClr w14:val="tx1"/>
            </w14:solidFill>
          </w14:textFill>
        </w:rPr>
        <w:t>3</w:t>
      </w:r>
      <w:r>
        <w:rPr>
          <w:rFonts w:hint="eastAsia" w:ascii="Times New Roman" w:hAnsi="Times New Roman" w:eastAsia="黑体" w:cs="Times New Roman"/>
          <w:b/>
          <w:color w:val="000000" w:themeColor="text1"/>
          <w:kern w:val="2"/>
          <w:sz w:val="28"/>
          <w:szCs w:val="24"/>
          <w:lang w:val="en-US" w:eastAsia="zh-CN" w:bidi="ar-SA"/>
          <w14:textFill>
            <w14:solidFill>
              <w14:schemeClr w14:val="tx1"/>
            </w14:solidFill>
          </w14:textFill>
        </w:rPr>
        <w:t>.1 法律法规</w:t>
      </w:r>
      <w:bookmarkEnd w:id="18"/>
      <w:bookmarkEnd w:id="19"/>
      <w:bookmarkEnd w:id="20"/>
      <w:bookmarkEnd w:id="21"/>
    </w:p>
    <w:p w14:paraId="1890091A">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《中华人民共和国环境保护法》（主席令</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1989</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第22号，自1989年12月26日起施行，2014年4月24日修订）</w:t>
      </w:r>
    </w:p>
    <w:p w14:paraId="70F26462">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《中华人民共和国劳动法》（主席令</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1994</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第28号，自1995年1月1日起施行，2009年8月27日、2018年12月29日修正）</w:t>
      </w:r>
    </w:p>
    <w:p w14:paraId="185EAF20">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《中华人民共和国公路法》</w:t>
      </w:r>
      <w:r>
        <w:rPr>
          <w:rFonts w:hint="eastAsia"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1997</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第</w:t>
      </w:r>
      <w:r>
        <w:rPr>
          <w:rFonts w:hint="eastAsia" w:ascii="Times New Roman" w:hAnsi="Times New Roman" w:eastAsia="宋体" w:cs="Times New Roman"/>
          <w:color w:val="000000" w:themeColor="text1"/>
          <w:lang w:val="en-US" w:eastAsia="zh-CN"/>
          <w14:textFill>
            <w14:solidFill>
              <w14:schemeClr w14:val="tx1"/>
            </w14:solidFill>
          </w14:textFill>
        </w:rPr>
        <w:t>86</w:t>
      </w:r>
      <w:r>
        <w:rPr>
          <w:rFonts w:hint="default" w:ascii="Times New Roman" w:hAnsi="Times New Roman" w:eastAsia="宋体" w:cs="Times New Roman"/>
          <w:color w:val="000000" w:themeColor="text1"/>
          <w14:textFill>
            <w14:solidFill>
              <w14:schemeClr w14:val="tx1"/>
            </w14:solidFill>
          </w14:textFill>
        </w:rPr>
        <w:t>号，自1998年</w:t>
      </w:r>
      <w:r>
        <w:rPr>
          <w:rFonts w:hint="eastAsia" w:ascii="Times New Roman" w:hAnsi="Times New Roman" w:eastAsia="宋体" w:cs="Times New Roman"/>
          <w:color w:val="000000" w:themeColor="text1"/>
          <w:lang w:val="en-US" w:eastAsia="zh-CN"/>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t>月1日起施行，1999年10月31日</w:t>
      </w:r>
      <w:r>
        <w:rPr>
          <w:rFonts w:hint="eastAsia" w:ascii="Times New Roman" w:hAnsi="Times New Roman" w:eastAsia="宋体" w:cs="Times New Roman"/>
          <w:color w:val="000000" w:themeColor="text1"/>
          <w:lang w:eastAsia="zh-CN"/>
          <w14:textFill>
            <w14:solidFill>
              <w14:schemeClr w14:val="tx1"/>
            </w14:solidFill>
          </w14:textFill>
        </w:rPr>
        <w:t>、2004年8月28日、2009年8月27日、2016年11月7日、2017年11月4日</w:t>
      </w:r>
      <w:r>
        <w:rPr>
          <w:rFonts w:hint="default" w:ascii="Times New Roman" w:hAnsi="Times New Roman" w:eastAsia="宋体" w:cs="Times New Roman"/>
          <w:color w:val="000000" w:themeColor="text1"/>
          <w14:textFill>
            <w14:solidFill>
              <w14:schemeClr w14:val="tx1"/>
            </w14:solidFill>
          </w14:textFill>
        </w:rPr>
        <w:t>修正</w:t>
      </w:r>
      <w:r>
        <w:rPr>
          <w:rFonts w:hint="eastAsia" w:cs="Times New Roman"/>
          <w:color w:val="000000" w:themeColor="text1"/>
          <w:lang w:eastAsia="zh-CN"/>
          <w14:textFill>
            <w14:solidFill>
              <w14:schemeClr w14:val="tx1"/>
            </w14:solidFill>
          </w14:textFill>
        </w:rPr>
        <w:t>）</w:t>
      </w:r>
    </w:p>
    <w:p w14:paraId="555F1DC9">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《中华人民共和国消防法》（主席令</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1998</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第</w:t>
      </w:r>
      <w:r>
        <w:rPr>
          <w:rFonts w:hint="eastAsia" w:ascii="Times New Roman" w:hAnsi="Times New Roman" w:eastAsia="宋体" w:cs="Times New Roman"/>
          <w:color w:val="000000" w:themeColor="text1"/>
          <w:lang w:val="en-US" w:eastAsia="zh-CN"/>
          <w14:textFill>
            <w14:solidFill>
              <w14:schemeClr w14:val="tx1"/>
            </w14:solidFill>
          </w14:textFill>
        </w:rPr>
        <w:t>4</w:t>
      </w:r>
      <w:r>
        <w:rPr>
          <w:rFonts w:hint="default" w:ascii="Times New Roman" w:hAnsi="Times New Roman" w:eastAsia="宋体" w:cs="Times New Roman"/>
          <w:color w:val="000000" w:themeColor="text1"/>
          <w14:textFill>
            <w14:solidFill>
              <w14:schemeClr w14:val="tx1"/>
            </w14:solidFill>
          </w14:textFill>
        </w:rPr>
        <w:t>号，自1998年9月1日起施行，2008年10月28日修订</w:t>
      </w:r>
      <w:r>
        <w:rPr>
          <w:rFonts w:hint="eastAsia" w:ascii="Times New Roman" w:hAnsi="Times New Roman"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2019年4月23日、2021年4月29日修正）</w:t>
      </w:r>
    </w:p>
    <w:p w14:paraId="4B07ABAB">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《中华人民共和国职业病防治法》（主席令</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200</w:t>
      </w:r>
      <w:r>
        <w:rPr>
          <w:rFonts w:hint="eastAsia" w:ascii="Times New Roman" w:hAnsi="Times New Roman" w:eastAsia="宋体" w:cs="Times New Roman"/>
          <w:color w:val="000000" w:themeColor="text1"/>
          <w:lang w:val="en-US" w:eastAsia="zh-CN"/>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第</w:t>
      </w:r>
      <w:r>
        <w:rPr>
          <w:rFonts w:hint="eastAsia" w:ascii="Times New Roman" w:hAnsi="Times New Roman" w:eastAsia="宋体" w:cs="Times New Roman"/>
          <w:color w:val="000000" w:themeColor="text1"/>
          <w:lang w:val="en-US" w:eastAsia="zh-CN"/>
          <w14:textFill>
            <w14:solidFill>
              <w14:schemeClr w14:val="tx1"/>
            </w14:solidFill>
          </w14:textFill>
        </w:rPr>
        <w:t>60</w:t>
      </w:r>
      <w:r>
        <w:rPr>
          <w:rFonts w:hint="default" w:ascii="Times New Roman" w:hAnsi="Times New Roman" w:eastAsia="宋体" w:cs="Times New Roman"/>
          <w:color w:val="000000" w:themeColor="text1"/>
          <w14:textFill>
            <w14:solidFill>
              <w14:schemeClr w14:val="tx1"/>
            </w14:solidFill>
          </w14:textFill>
        </w:rPr>
        <w:t>号，自2002年5月1日起施行</w:t>
      </w:r>
      <w:r>
        <w:rPr>
          <w:rFonts w:hint="eastAsia" w:ascii="Times New Roman" w:hAnsi="Times New Roman" w:eastAsia="宋体" w:cs="Times New Roman"/>
          <w:color w:val="000000" w:themeColor="text1"/>
          <w:lang w:eastAsia="zh-CN"/>
          <w14:textFill>
            <w14:solidFill>
              <w14:schemeClr w14:val="tx1"/>
            </w14:solidFill>
          </w14:textFill>
        </w:rPr>
        <w:t>，2011年12月31日、2016年7月2日、2017年11月4日、2018年12月29日修正</w:t>
      </w:r>
      <w:r>
        <w:rPr>
          <w:rFonts w:hint="default" w:ascii="Times New Roman" w:hAnsi="Times New Roman" w:eastAsia="宋体" w:cs="Times New Roman"/>
          <w:color w:val="000000" w:themeColor="text1"/>
          <w14:textFill>
            <w14:solidFill>
              <w14:schemeClr w14:val="tx1"/>
            </w14:solidFill>
          </w14:textFill>
        </w:rPr>
        <w:t>）</w:t>
      </w:r>
    </w:p>
    <w:p w14:paraId="033A6D14">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《中华人民共和国安全生产法》（主席令</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2002</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第70号，自2002年11月1日起实施，2009年8月27日、2014年8月31日、2021年6月10日修正）</w:t>
      </w:r>
    </w:p>
    <w:p w14:paraId="382C7C00">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《中华人民共和国道路交通安全法》（主席令</w:t>
      </w:r>
      <w:r>
        <w:rPr>
          <w:rFonts w:hint="eastAsia" w:ascii="宋体" w:hAnsi="宋体" w:eastAsia="宋体" w:cs="宋体"/>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2003</w:t>
      </w:r>
      <w:r>
        <w:rPr>
          <w:rFonts w:hint="eastAsia" w:ascii="宋体" w:hAnsi="宋体" w:eastAsia="宋体" w:cs="宋体"/>
          <w:color w:val="000000" w:themeColor="text1"/>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第</w:t>
      </w:r>
      <w:r>
        <w:rPr>
          <w:rFonts w:hint="eastAsia" w:cs="Times New Roman"/>
          <w:color w:val="000000" w:themeColor="text1"/>
          <w:lang w:val="en-US" w:eastAsia="zh-CN"/>
          <w14:textFill>
            <w14:solidFill>
              <w14:schemeClr w14:val="tx1"/>
            </w14:solidFill>
          </w14:textFill>
        </w:rPr>
        <w:t>8</w:t>
      </w:r>
      <w:r>
        <w:rPr>
          <w:rFonts w:hint="default" w:ascii="Times New Roman" w:hAnsi="Times New Roman" w:eastAsia="宋体" w:cs="Times New Roman"/>
          <w:color w:val="000000" w:themeColor="text1"/>
          <w14:textFill>
            <w14:solidFill>
              <w14:schemeClr w14:val="tx1"/>
            </w14:solidFill>
          </w14:textFill>
        </w:rPr>
        <w:t>号，自</w:t>
      </w:r>
      <w:r>
        <w:rPr>
          <w:rFonts w:hint="eastAsia" w:cs="Times New Roman"/>
          <w:color w:val="000000" w:themeColor="text1"/>
          <w:lang w:val="en-US" w:eastAsia="zh-CN"/>
          <w14:textFill>
            <w14:solidFill>
              <w14:schemeClr w14:val="tx1"/>
            </w14:solidFill>
          </w14:textFill>
        </w:rPr>
        <w:t>2004</w:t>
      </w:r>
      <w:r>
        <w:rPr>
          <w:rFonts w:hint="default" w:ascii="Times New Roman" w:hAnsi="Times New Roman" w:eastAsia="宋体" w:cs="Times New Roman"/>
          <w:color w:val="000000" w:themeColor="text1"/>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5</w:t>
      </w:r>
      <w:r>
        <w:rPr>
          <w:rFonts w:hint="default" w:ascii="Times New Roman" w:hAnsi="Times New Roman" w:eastAsia="宋体" w:cs="Times New Roman"/>
          <w:color w:val="000000" w:themeColor="text1"/>
          <w14:textFill>
            <w14:solidFill>
              <w14:schemeClr w14:val="tx1"/>
            </w14:solidFill>
          </w14:textFill>
        </w:rPr>
        <w:t>月</w:t>
      </w:r>
      <w:r>
        <w:rPr>
          <w:rFonts w:hint="eastAsia" w:cs="Times New Roman"/>
          <w:color w:val="000000" w:themeColor="text1"/>
          <w:lang w:val="en-US" w:eastAsia="zh-CN"/>
          <w14:textFill>
            <w14:solidFill>
              <w14:schemeClr w14:val="tx1"/>
            </w14:solidFill>
          </w14:textFill>
        </w:rPr>
        <w:t>1</w:t>
      </w:r>
      <w:r>
        <w:rPr>
          <w:rFonts w:hint="default" w:ascii="Times New Roman" w:hAnsi="Times New Roman" w:eastAsia="宋体" w:cs="Times New Roman"/>
          <w:color w:val="000000" w:themeColor="text1"/>
          <w14:textFill>
            <w14:solidFill>
              <w14:schemeClr w14:val="tx1"/>
            </w14:solidFill>
          </w14:textFill>
        </w:rPr>
        <w:t>日起施行，2007年12月29日</w:t>
      </w:r>
      <w:r>
        <w:rPr>
          <w:rFonts w:hint="eastAsia" w:cs="Times New Roman"/>
          <w:color w:val="000000" w:themeColor="text1"/>
          <w:lang w:eastAsia="zh-CN"/>
          <w14:textFill>
            <w14:solidFill>
              <w14:schemeClr w14:val="tx1"/>
            </w14:solidFill>
          </w14:textFill>
        </w:rPr>
        <w:t>、2011年4月22日、2021年4月29日</w:t>
      </w:r>
      <w:r>
        <w:rPr>
          <w:rFonts w:hint="default" w:ascii="Times New Roman" w:hAnsi="Times New Roman" w:eastAsia="宋体" w:cs="Times New Roman"/>
          <w:color w:val="000000" w:themeColor="text1"/>
          <w14:textFill>
            <w14:solidFill>
              <w14:schemeClr w14:val="tx1"/>
            </w14:solidFill>
          </w14:textFill>
        </w:rPr>
        <w:t>修</w:t>
      </w:r>
      <w:r>
        <w:rPr>
          <w:rFonts w:hint="eastAsia" w:cs="Times New Roman"/>
          <w:color w:val="000000" w:themeColor="text1"/>
          <w:lang w:val="en-US" w:eastAsia="zh-CN"/>
          <w14:textFill>
            <w14:solidFill>
              <w14:schemeClr w14:val="tx1"/>
            </w14:solidFill>
          </w14:textFill>
        </w:rPr>
        <w:t>正</w:t>
      </w:r>
      <w:r>
        <w:rPr>
          <w:rFonts w:hint="default" w:ascii="Times New Roman" w:hAnsi="Times New Roman" w:eastAsia="宋体" w:cs="Times New Roman"/>
          <w:color w:val="000000" w:themeColor="text1"/>
          <w14:textFill>
            <w14:solidFill>
              <w14:schemeClr w14:val="tx1"/>
            </w14:solidFill>
          </w14:textFill>
        </w:rPr>
        <w:t>）</w:t>
      </w:r>
    </w:p>
    <w:p w14:paraId="61C8A4B1">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中华人民共和国突发</w:t>
      </w:r>
      <w:r>
        <w:rPr>
          <w:rFonts w:hint="eastAsia" w:cs="Times New Roman"/>
          <w:color w:val="000000" w:themeColor="text1"/>
          <w:lang w:val="en-US" w:eastAsia="zh-CN"/>
          <w14:textFill>
            <w14:solidFill>
              <w14:schemeClr w14:val="tx1"/>
            </w14:solidFill>
          </w14:textFill>
        </w:rPr>
        <w:t>事件</w:t>
      </w:r>
      <w:r>
        <w:rPr>
          <w:rFonts w:hint="default" w:ascii="Times New Roman" w:hAnsi="Times New Roman" w:eastAsia="宋体" w:cs="Times New Roman"/>
          <w:color w:val="000000" w:themeColor="text1"/>
          <w:lang w:val="en-US" w:eastAsia="zh-CN"/>
          <w14:textFill>
            <w14:solidFill>
              <w14:schemeClr w14:val="tx1"/>
            </w14:solidFill>
          </w14:textFill>
        </w:rPr>
        <w:t>应对法</w:t>
      </w:r>
      <w:r>
        <w:rPr>
          <w:rFonts w:hint="default" w:ascii="Times New Roman" w:hAnsi="Times New Roman" w:eastAsia="宋体" w:cs="Times New Roman"/>
          <w:color w:val="000000" w:themeColor="text1"/>
          <w14:textFill>
            <w14:solidFill>
              <w14:schemeClr w14:val="tx1"/>
            </w14:solidFill>
          </w14:textFill>
        </w:rPr>
        <w:t>》（</w:t>
      </w:r>
      <w:r>
        <w:rPr>
          <w:rFonts w:hint="eastAsia"/>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2007</w:t>
      </w:r>
      <w:r>
        <w:rPr>
          <w:rFonts w:hint="eastAsia" w:ascii="宋体" w:hAnsi="宋体" w:eastAsia="宋体" w:cs="宋体"/>
          <w:color w:val="000000" w:themeColor="text1"/>
          <w14:textFill>
            <w14:solidFill>
              <w14:schemeClr w14:val="tx1"/>
            </w14:solidFill>
          </w14:textFill>
        </w:rPr>
        <w:t>]</w:t>
      </w:r>
      <w:r>
        <w:rPr>
          <w:rFonts w:hint="eastAsia"/>
          <w:color w:val="000000" w:themeColor="text1"/>
          <w14:textFill>
            <w14:solidFill>
              <w14:schemeClr w14:val="tx1"/>
            </w14:solidFill>
          </w14:textFill>
        </w:rPr>
        <w:t>第69号，2024年6月28日发布，2024年11月1日施行</w:t>
      </w:r>
      <w:r>
        <w:rPr>
          <w:rFonts w:hint="default" w:ascii="Times New Roman" w:hAnsi="Times New Roman" w:eastAsia="宋体" w:cs="Times New Roman"/>
          <w:color w:val="000000" w:themeColor="text1"/>
          <w14:textFill>
            <w14:solidFill>
              <w14:schemeClr w14:val="tx1"/>
            </w14:solidFill>
          </w14:textFill>
        </w:rPr>
        <w:t>）</w:t>
      </w:r>
    </w:p>
    <w:p w14:paraId="0056459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2</w:t>
      </w:r>
      <w:r>
        <w:rPr>
          <w:rFonts w:hint="default" w:ascii="Times New Roman" w:hAnsi="Times New Roman" w:eastAsia="宋体" w:cs="Times New Roman"/>
          <w:b/>
          <w:bCs/>
          <w:color w:val="000000" w:themeColor="text1"/>
          <w:lang w:val="en-US" w:eastAsia="zh-CN"/>
          <w14:textFill>
            <w14:solidFill>
              <w14:schemeClr w14:val="tx1"/>
            </w14:solidFill>
          </w14:textFill>
        </w:rPr>
        <w:t>. 行政法规</w:t>
      </w:r>
    </w:p>
    <w:p w14:paraId="17BF533D">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《劳动保障监察条例》</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国务院令（200</w:t>
      </w:r>
      <w:r>
        <w:rPr>
          <w:rFonts w:hint="eastAsia" w:ascii="Times New Roman" w:hAnsi="Times New Roman" w:eastAsia="宋体" w:cs="Times New Roman"/>
          <w:color w:val="000000" w:themeColor="text1"/>
          <w:lang w:val="en-US" w:eastAsia="zh-CN"/>
          <w14:textFill>
            <w14:solidFill>
              <w14:schemeClr w14:val="tx1"/>
            </w14:solidFill>
          </w14:textFill>
        </w:rPr>
        <w:t>4</w:t>
      </w:r>
      <w:r>
        <w:rPr>
          <w:rFonts w:hint="default" w:ascii="Times New Roman" w:hAnsi="Times New Roman" w:eastAsia="宋体" w:cs="Times New Roman"/>
          <w:color w:val="000000" w:themeColor="text1"/>
          <w:lang w:val="en-US" w:eastAsia="zh-CN"/>
          <w14:textFill>
            <w14:solidFill>
              <w14:schemeClr w14:val="tx1"/>
            </w14:solidFill>
          </w14:textFill>
        </w:rPr>
        <w:t>）第</w:t>
      </w:r>
      <w:r>
        <w:rPr>
          <w:rFonts w:hint="eastAsia" w:ascii="Times New Roman" w:hAnsi="Times New Roman" w:eastAsia="宋体" w:cs="Times New Roman"/>
          <w:color w:val="000000" w:themeColor="text1"/>
          <w:lang w:val="en-US" w:eastAsia="zh-CN"/>
          <w14:textFill>
            <w14:solidFill>
              <w14:schemeClr w14:val="tx1"/>
            </w14:solidFill>
          </w14:textFill>
        </w:rPr>
        <w:t>423</w:t>
      </w:r>
      <w:r>
        <w:rPr>
          <w:rFonts w:hint="default" w:ascii="Times New Roman" w:hAnsi="Times New Roman" w:eastAsia="宋体" w:cs="Times New Roman"/>
          <w:color w:val="000000" w:themeColor="text1"/>
          <w:lang w:val="en-US" w:eastAsia="zh-CN"/>
          <w14:textFill>
            <w14:solidFill>
              <w14:schemeClr w14:val="tx1"/>
            </w14:solidFill>
          </w14:textFill>
        </w:rPr>
        <w:t>号，</w:t>
      </w:r>
      <w:r>
        <w:rPr>
          <w:rFonts w:hint="eastAsia" w:ascii="Times New Roman" w:hAnsi="Times New Roman" w:eastAsia="宋体" w:cs="Times New Roman"/>
          <w:color w:val="000000" w:themeColor="text1"/>
          <w:lang w:val="en-US" w:eastAsia="zh-CN"/>
          <w14:textFill>
            <w14:solidFill>
              <w14:schemeClr w14:val="tx1"/>
            </w14:solidFill>
          </w14:textFill>
        </w:rPr>
        <w:t>自2004年12月1日起施行</w:t>
      </w:r>
      <w:r>
        <w:rPr>
          <w:rFonts w:hint="eastAsia" w:cs="Times New Roman"/>
          <w:color w:val="000000" w:themeColor="text1"/>
          <w:lang w:val="en-US" w:eastAsia="zh-CN"/>
          <w14:textFill>
            <w14:solidFill>
              <w14:schemeClr w14:val="tx1"/>
            </w14:solidFill>
          </w14:textFill>
        </w:rPr>
        <w:t>）</w:t>
      </w:r>
    </w:p>
    <w:p w14:paraId="14541278">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《工伤保险条例（2010年修订）》（国务院令（200</w:t>
      </w:r>
      <w:r>
        <w:rPr>
          <w:rFonts w:hint="eastAsia" w:ascii="Times New Roman" w:hAnsi="Times New Roman" w:eastAsia="宋体" w:cs="Times New Roman"/>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lang w:val="en-US" w:eastAsia="zh-CN"/>
          <w14:textFill>
            <w14:solidFill>
              <w14:schemeClr w14:val="tx1"/>
            </w14:solidFill>
          </w14:textFill>
        </w:rPr>
        <w:t>）第375号，自2004年1月1日起施行</w:t>
      </w:r>
      <w:r>
        <w:rPr>
          <w:rFonts w:hint="eastAsia" w:ascii="Times New Roman" w:hAnsi="Times New Roman" w:eastAsia="宋体" w:cs="Times New Roman"/>
          <w:color w:val="000000" w:themeColor="text1"/>
          <w:lang w:val="en-US" w:eastAsia="zh-CN"/>
          <w14:textFill>
            <w14:solidFill>
              <w14:schemeClr w14:val="tx1"/>
            </w14:solidFill>
          </w14:textFill>
        </w:rPr>
        <w:t>，2010年12月20日修订</w:t>
      </w:r>
      <w:r>
        <w:rPr>
          <w:rFonts w:hint="default" w:ascii="Times New Roman" w:hAnsi="Times New Roman" w:eastAsia="宋体" w:cs="Times New Roman"/>
          <w:color w:val="000000" w:themeColor="text1"/>
          <w:lang w:val="en-US" w:eastAsia="zh-CN"/>
          <w14:textFill>
            <w14:solidFill>
              <w14:schemeClr w14:val="tx1"/>
            </w14:solidFill>
          </w14:textFill>
        </w:rPr>
        <w:t>）</w:t>
      </w:r>
    </w:p>
    <w:p w14:paraId="3D9A2F65">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《建设工程安全生产管理条例》（国务院令（200</w:t>
      </w:r>
      <w:r>
        <w:rPr>
          <w:rFonts w:hint="eastAsia" w:ascii="Times New Roman" w:hAnsi="Times New Roman" w:eastAsia="宋体" w:cs="Times New Roman"/>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lang w:val="en-US" w:eastAsia="zh-CN"/>
          <w14:textFill>
            <w14:solidFill>
              <w14:schemeClr w14:val="tx1"/>
            </w14:solidFill>
          </w14:textFill>
        </w:rPr>
        <w:t>）第393号，自2004年2月1日起施行）</w:t>
      </w:r>
    </w:p>
    <w:p w14:paraId="67FAAAEF">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《公路安全保护条例》（国务院令（2011）第593号，自2011年7月1日起施行）</w:t>
      </w:r>
    </w:p>
    <w:p w14:paraId="37FBEDC0">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《生产安全事故报告和调查处理条例》（国务院令（200</w:t>
      </w:r>
      <w:r>
        <w:rPr>
          <w:rFonts w:hint="eastAsia" w:ascii="Times New Roman" w:hAnsi="Times New Roman" w:eastAsia="宋体" w:cs="Times New Roman"/>
          <w:color w:val="000000" w:themeColor="text1"/>
          <w:lang w:val="en-US" w:eastAsia="zh-CN"/>
          <w14:textFill>
            <w14:solidFill>
              <w14:schemeClr w14:val="tx1"/>
            </w14:solidFill>
          </w14:textFill>
        </w:rPr>
        <w:t>7</w:t>
      </w:r>
      <w:r>
        <w:rPr>
          <w:rFonts w:hint="default" w:ascii="Times New Roman" w:hAnsi="Times New Roman" w:eastAsia="宋体" w:cs="Times New Roman"/>
          <w:color w:val="000000" w:themeColor="text1"/>
          <w:lang w:val="en-US" w:eastAsia="zh-CN"/>
          <w14:textFill>
            <w14:solidFill>
              <w14:schemeClr w14:val="tx1"/>
            </w14:solidFill>
          </w14:textFill>
        </w:rPr>
        <w:t>）第493号，自2007年6月1日起施行）</w:t>
      </w:r>
    </w:p>
    <w:p w14:paraId="3F20E45D">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《生产安全事故应急条例》（国务院令（20</w:t>
      </w:r>
      <w:r>
        <w:rPr>
          <w:rFonts w:hint="eastAsia" w:ascii="Times New Roman" w:hAnsi="Times New Roman" w:eastAsia="宋体" w:cs="Times New Roman"/>
          <w:color w:val="000000" w:themeColor="text1"/>
          <w:lang w:val="en-US" w:eastAsia="zh-CN"/>
          <w14:textFill>
            <w14:solidFill>
              <w14:schemeClr w14:val="tx1"/>
            </w14:solidFill>
          </w14:textFill>
        </w:rPr>
        <w:t>19</w:t>
      </w:r>
      <w:r>
        <w:rPr>
          <w:rFonts w:hint="default" w:ascii="Times New Roman" w:hAnsi="Times New Roman" w:eastAsia="宋体" w:cs="Times New Roman"/>
          <w:color w:val="000000" w:themeColor="text1"/>
          <w:lang w:val="en-US" w:eastAsia="zh-CN"/>
          <w14:textFill>
            <w14:solidFill>
              <w14:schemeClr w14:val="tx1"/>
            </w14:solidFill>
          </w14:textFill>
        </w:rPr>
        <w:t>）第708号，自2019年4月1日起施行）</w:t>
      </w:r>
    </w:p>
    <w:p w14:paraId="5E4334B4">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hint="default" w:ascii="Times New Roman" w:hAnsi="Times New Roman" w:eastAsia="宋体" w:cs="Times New Roman"/>
          <w:b/>
          <w:bCs/>
          <w:color w:val="000000" w:themeColor="text1"/>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lang w:val="en-US" w:eastAsia="zh-CN"/>
          <w14:textFill>
            <w14:solidFill>
              <w14:schemeClr w14:val="tx1"/>
            </w14:solidFill>
          </w14:textFill>
        </w:rPr>
        <w:t>地方性法规</w:t>
      </w:r>
    </w:p>
    <w:p w14:paraId="2553962E">
      <w:pPr>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江西省消防条例》（江西省第八届人民代表大会常务委员会第十九次会议通过，自1995年12月20日起施行，2010年9月17日修订；1997年4月18日、1999年6月30日、2001年8月24日、2011年12月1日、2018年7月27日、2020年11月25日修正）</w:t>
      </w:r>
    </w:p>
    <w:p w14:paraId="768E5ACF">
      <w:pPr>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《江西省安全生产条例》（江西省第十届人民代表大会常务委员会第二十八次会议通过，自2007年5月1日起施行，2017年7月26日修订</w:t>
      </w:r>
      <w:r>
        <w:rPr>
          <w:rFonts w:hint="eastAsia" w:cs="Times New Roman"/>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2019年9月28日修正</w:t>
      </w:r>
      <w:r>
        <w:rPr>
          <w:rFonts w:hint="eastAsia" w:cs="Times New Roman"/>
          <w:color w:val="000000" w:themeColor="text1"/>
          <w:lang w:val="en-US"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2023年7月26日修订）</w:t>
      </w:r>
    </w:p>
    <w:p w14:paraId="1CB503F1">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lang w:val="en-US" w:eastAsia="zh-CN"/>
          <w14:textFill>
            <w14:solidFill>
              <w14:schemeClr w14:val="tx1"/>
            </w14:solidFill>
          </w14:textFill>
        </w:rPr>
        <w:t>4</w:t>
      </w:r>
      <w:r>
        <w:rPr>
          <w:rFonts w:hint="default" w:ascii="Times New Roman" w:hAnsi="Times New Roman" w:eastAsia="宋体" w:cs="Times New Roman"/>
          <w:b/>
          <w:bCs/>
          <w:color w:val="000000" w:themeColor="text1"/>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lang w:val="en-US" w:eastAsia="zh-CN"/>
          <w14:textFill>
            <w14:solidFill>
              <w14:schemeClr w14:val="tx1"/>
            </w14:solidFill>
          </w14:textFill>
        </w:rPr>
        <w:t>部门规章</w:t>
      </w:r>
    </w:p>
    <w:p w14:paraId="01EE470C">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《生产经营单位安全培训规定》</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总局令</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2005</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第3号</w:t>
      </w:r>
      <w:r>
        <w:rPr>
          <w:rFonts w:hint="eastAsia" w:cs="Times New Roman"/>
          <w:color w:val="000000" w:themeColor="text1"/>
          <w:lang w:val="en-US" w:eastAsia="zh-CN"/>
          <w14:textFill>
            <w14:solidFill>
              <w14:schemeClr w14:val="tx1"/>
            </w14:solidFill>
          </w14:textFill>
        </w:rPr>
        <w:t>，自2006年3月1日起施行，2013年8月19日、</w:t>
      </w:r>
      <w:r>
        <w:rPr>
          <w:rFonts w:hint="default" w:ascii="Times New Roman" w:hAnsi="Times New Roman" w:eastAsia="宋体" w:cs="Times New Roman"/>
          <w:color w:val="000000" w:themeColor="text1"/>
          <w:lang w:val="en-US" w:eastAsia="zh-CN"/>
          <w14:textFill>
            <w14:solidFill>
              <w14:schemeClr w14:val="tx1"/>
            </w14:solidFill>
          </w14:textFill>
        </w:rPr>
        <w:t>2015年2月26日修正</w:t>
      </w:r>
      <w:r>
        <w:rPr>
          <w:rFonts w:hint="eastAsia" w:cs="Times New Roman"/>
          <w:color w:val="000000" w:themeColor="text1"/>
          <w:lang w:val="en-US" w:eastAsia="zh-CN"/>
          <w14:textFill>
            <w14:solidFill>
              <w14:schemeClr w14:val="tx1"/>
            </w14:solidFill>
          </w14:textFill>
        </w:rPr>
        <w:t>）</w:t>
      </w:r>
    </w:p>
    <w:p w14:paraId="3BD5850C">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《安全生产事故隐患排查治理暂行规定》</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总局令</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2007</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第16号</w:t>
      </w:r>
      <w:r>
        <w:rPr>
          <w:rFonts w:hint="eastAsia" w:cs="Times New Roman"/>
          <w:color w:val="000000" w:themeColor="text1"/>
          <w:lang w:val="en-US" w:eastAsia="zh-CN"/>
          <w14:textFill>
            <w14:solidFill>
              <w14:schemeClr w14:val="tx1"/>
            </w14:solidFill>
          </w14:textFill>
        </w:rPr>
        <w:t>，自</w:t>
      </w:r>
      <w:r>
        <w:rPr>
          <w:rFonts w:hint="default" w:ascii="Times New Roman" w:hAnsi="Times New Roman" w:eastAsia="宋体" w:cs="Times New Roman"/>
          <w:color w:val="000000" w:themeColor="text1"/>
          <w:lang w:val="en-US" w:eastAsia="zh-CN"/>
          <w14:textFill>
            <w14:solidFill>
              <w14:schemeClr w14:val="tx1"/>
            </w14:solidFill>
          </w14:textFill>
        </w:rPr>
        <w:t>2008年2月1日实施</w:t>
      </w:r>
      <w:r>
        <w:rPr>
          <w:rFonts w:hint="eastAsia" w:cs="Times New Roman"/>
          <w:color w:val="000000" w:themeColor="text1"/>
          <w:lang w:val="en-US" w:eastAsia="zh-CN"/>
          <w14:textFill>
            <w14:solidFill>
              <w14:schemeClr w14:val="tx1"/>
            </w14:solidFill>
          </w14:textFill>
        </w:rPr>
        <w:t>）</w:t>
      </w:r>
    </w:p>
    <w:p w14:paraId="78A325D5">
      <w:pPr>
        <w:bidi w:val="0"/>
        <w:rPr>
          <w:rFonts w:hint="default"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《生产安全事故信息报告和处置办法》（总局令</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2009</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第21号</w:t>
      </w:r>
      <w:r>
        <w:rPr>
          <w:rFonts w:hint="eastAsia" w:ascii="Times New Roman" w:hAnsi="Times New Roman" w:eastAsia="宋体"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自2009年7月1日起施行</w:t>
      </w:r>
      <w:r>
        <w:rPr>
          <w:rFonts w:hint="default" w:ascii="Times New Roman" w:hAnsi="Times New Roman" w:eastAsia="宋体" w:cs="Times New Roman"/>
          <w:color w:val="000000" w:themeColor="text1"/>
          <w14:textFill>
            <w14:solidFill>
              <w14:schemeClr w14:val="tx1"/>
            </w14:solidFill>
          </w14:textFill>
        </w:rPr>
        <w:t>）</w:t>
      </w:r>
    </w:p>
    <w:p w14:paraId="4F49B604">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《安全生产培训管理办法》</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总局令</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2012</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第44号</w:t>
      </w:r>
      <w:r>
        <w:rPr>
          <w:rFonts w:hint="eastAsia" w:cs="Times New Roman"/>
          <w:color w:val="000000" w:themeColor="text1"/>
          <w:lang w:val="en-US" w:eastAsia="zh-CN"/>
          <w14:textFill>
            <w14:solidFill>
              <w14:schemeClr w14:val="tx1"/>
            </w14:solidFill>
          </w14:textFill>
        </w:rPr>
        <w:t>，自2012年3月1日起施行，2013年8月29日、</w:t>
      </w:r>
      <w:r>
        <w:rPr>
          <w:rFonts w:hint="default" w:ascii="Times New Roman" w:hAnsi="Times New Roman" w:eastAsia="宋体" w:cs="Times New Roman"/>
          <w:color w:val="000000" w:themeColor="text1"/>
          <w:lang w:val="en-US" w:eastAsia="zh-CN"/>
          <w14:textFill>
            <w14:solidFill>
              <w14:schemeClr w14:val="tx1"/>
            </w14:solidFill>
          </w14:textFill>
        </w:rPr>
        <w:t>2015年5月29日修正</w:t>
      </w:r>
      <w:r>
        <w:rPr>
          <w:rFonts w:hint="eastAsia" w:cs="Times New Roman"/>
          <w:color w:val="000000" w:themeColor="text1"/>
          <w:lang w:val="en-US" w:eastAsia="zh-CN"/>
          <w14:textFill>
            <w14:solidFill>
              <w14:schemeClr w14:val="tx1"/>
            </w14:solidFill>
          </w14:textFill>
        </w:rPr>
        <w:t>）</w:t>
      </w:r>
    </w:p>
    <w:p w14:paraId="0E2E3C62">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《国家安全监管总局关于修改</w:t>
      </w:r>
      <w:r>
        <w:rPr>
          <w:rFonts w:hint="eastAsia" w:ascii="宋体" w:hAnsi="宋体" w:eastAsia="宋体" w:cs="宋体"/>
          <w:color w:val="000000" w:themeColor="text1"/>
          <w:lang w:val="en-US" w:eastAsia="zh-CN"/>
          <w14:textFill>
            <w14:solidFill>
              <w14:schemeClr w14:val="tx1"/>
            </w14:solidFill>
          </w14:textFill>
        </w:rPr>
        <w:t>&lt;</w:t>
      </w:r>
      <w:r>
        <w:rPr>
          <w:rFonts w:hint="default" w:ascii="Times New Roman" w:hAnsi="Times New Roman" w:eastAsia="宋体" w:cs="Times New Roman"/>
          <w:color w:val="000000" w:themeColor="text1"/>
          <w:lang w:val="en-US" w:eastAsia="zh-CN"/>
          <w14:textFill>
            <w14:solidFill>
              <w14:schemeClr w14:val="tx1"/>
            </w14:solidFill>
          </w14:textFill>
        </w:rPr>
        <w:t>生产经营单位安全培训规定</w:t>
      </w:r>
      <w:r>
        <w:rPr>
          <w:rFonts w:hint="eastAsia" w:ascii="宋体" w:hAnsi="宋体" w:eastAsia="宋体" w:cs="宋体"/>
          <w:color w:val="000000" w:themeColor="text1"/>
          <w:lang w:val="en-US" w:eastAsia="zh-CN"/>
          <w14:textFill>
            <w14:solidFill>
              <w14:schemeClr w14:val="tx1"/>
            </w14:solidFill>
          </w14:textFill>
        </w:rPr>
        <w:t>&gt;</w:t>
      </w:r>
      <w:r>
        <w:rPr>
          <w:rFonts w:hint="default" w:ascii="Times New Roman" w:hAnsi="Times New Roman" w:eastAsia="宋体" w:cs="Times New Roman"/>
          <w:color w:val="000000" w:themeColor="text1"/>
          <w:lang w:val="en-US" w:eastAsia="zh-CN"/>
          <w14:textFill>
            <w14:solidFill>
              <w14:schemeClr w14:val="tx1"/>
            </w14:solidFill>
          </w14:textFill>
        </w:rPr>
        <w:t>等11件规章的决定》</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总局令</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2013</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第63号</w:t>
      </w:r>
      <w:r>
        <w:rPr>
          <w:rFonts w:hint="eastAsia" w:cs="Times New Roman"/>
          <w:color w:val="000000" w:themeColor="text1"/>
          <w:lang w:val="en-US" w:eastAsia="zh-CN"/>
          <w14:textFill>
            <w14:solidFill>
              <w14:schemeClr w14:val="tx1"/>
            </w14:solidFill>
          </w14:textFill>
        </w:rPr>
        <w:t>，自</w:t>
      </w:r>
      <w:r>
        <w:rPr>
          <w:rFonts w:hint="default" w:ascii="Times New Roman" w:hAnsi="Times New Roman" w:eastAsia="宋体" w:cs="Times New Roman"/>
          <w:color w:val="000000" w:themeColor="text1"/>
          <w:lang w:val="en-US" w:eastAsia="zh-CN"/>
          <w14:textFill>
            <w14:solidFill>
              <w14:schemeClr w14:val="tx1"/>
            </w14:solidFill>
          </w14:textFill>
        </w:rPr>
        <w:t>2013年8月29日起施行</w:t>
      </w:r>
      <w:r>
        <w:rPr>
          <w:rFonts w:hint="eastAsia" w:cs="Times New Roman"/>
          <w:color w:val="000000" w:themeColor="text1"/>
          <w:lang w:val="en-US" w:eastAsia="zh-CN"/>
          <w14:textFill>
            <w14:solidFill>
              <w14:schemeClr w14:val="tx1"/>
            </w14:solidFill>
          </w14:textFill>
        </w:rPr>
        <w:t>）</w:t>
      </w:r>
    </w:p>
    <w:p w14:paraId="7D394FE6">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《国家安全监管总局关于废止和修改劳动防护用品和安全培训等领域十部规章的决定》</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总局令</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2015</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第80号</w:t>
      </w:r>
      <w:r>
        <w:rPr>
          <w:rFonts w:hint="eastAsia"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自2015年7月1日起施行</w:t>
      </w:r>
      <w:r>
        <w:rPr>
          <w:rFonts w:hint="eastAsia" w:cs="Times New Roman"/>
          <w:color w:val="000000" w:themeColor="text1"/>
          <w:lang w:val="en-US" w:eastAsia="zh-CN"/>
          <w14:textFill>
            <w14:solidFill>
              <w14:schemeClr w14:val="tx1"/>
            </w14:solidFill>
          </w14:textFill>
        </w:rPr>
        <w:t>）</w:t>
      </w:r>
    </w:p>
    <w:p w14:paraId="65005CE8">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《关于开展公路桥梁和隧道工程施工安全风险评估试行工作的通知》（交质监发〔2011〕217号，</w:t>
      </w:r>
      <w:r>
        <w:rPr>
          <w:rFonts w:hint="default" w:ascii="Times New Roman" w:hAnsi="Times New Roman" w:eastAsia="宋体" w:cs="Times New Roman"/>
          <w:color w:val="000000" w:themeColor="text1"/>
          <w:lang w:val="en-US" w:eastAsia="zh-CN"/>
          <w14:textFill>
            <w14:solidFill>
              <w14:schemeClr w14:val="tx1"/>
            </w14:solidFill>
          </w14:textFill>
        </w:rPr>
        <w:t>自</w:t>
      </w:r>
      <w:r>
        <w:rPr>
          <w:rFonts w:hint="eastAsia" w:cs="Times New Roman"/>
          <w:color w:val="000000" w:themeColor="text1"/>
          <w:lang w:val="en-US" w:eastAsia="zh-CN"/>
          <w14:textFill>
            <w14:solidFill>
              <w14:schemeClr w14:val="tx1"/>
            </w14:solidFill>
          </w14:textFill>
        </w:rPr>
        <w:t>2011年5月5日</w:t>
      </w:r>
      <w:r>
        <w:rPr>
          <w:rFonts w:hint="default" w:ascii="Times New Roman" w:hAnsi="Times New Roman" w:eastAsia="宋体" w:cs="Times New Roman"/>
          <w:color w:val="000000" w:themeColor="text1"/>
          <w:lang w:val="en-US" w:eastAsia="zh-CN"/>
          <w14:textFill>
            <w14:solidFill>
              <w14:schemeClr w14:val="tx1"/>
            </w14:solidFill>
          </w14:textFill>
        </w:rPr>
        <w:t>起施行</w:t>
      </w:r>
      <w:r>
        <w:rPr>
          <w:rFonts w:hint="eastAsia" w:cs="Times New Roman"/>
          <w:color w:val="000000" w:themeColor="text1"/>
          <w:lang w:val="en-US" w:eastAsia="zh-CN"/>
          <w14:textFill>
            <w14:solidFill>
              <w14:schemeClr w14:val="tx1"/>
            </w14:solidFill>
          </w14:textFill>
        </w:rPr>
        <w:t>）</w:t>
      </w:r>
    </w:p>
    <w:p w14:paraId="6D0EB5F7">
      <w:pPr>
        <w:pStyle w:val="4"/>
        <w:bidi w:val="0"/>
        <w:rPr>
          <w:rFonts w:hint="eastAsia"/>
          <w:color w:val="000000" w:themeColor="text1"/>
          <w:lang w:val="en-US" w:eastAsia="zh-CN"/>
          <w14:textFill>
            <w14:solidFill>
              <w14:schemeClr w14:val="tx1"/>
            </w14:solidFill>
          </w14:textFill>
        </w:rPr>
      </w:pPr>
      <w:bookmarkStart w:id="22" w:name="_Toc28473"/>
      <w:bookmarkStart w:id="23" w:name="_Toc6263"/>
      <w:bookmarkStart w:id="24" w:name="_Toc4454"/>
      <w:bookmarkStart w:id="25" w:name="_Toc27725"/>
      <w:r>
        <w:rPr>
          <w:rFonts w:hint="eastAsia"/>
          <w:color w:val="000000" w:themeColor="text1"/>
          <w:lang w:val="en-US" w:eastAsia="zh-CN"/>
          <w14:textFill>
            <w14:solidFill>
              <w14:schemeClr w14:val="tx1"/>
            </w14:solidFill>
          </w14:textFill>
        </w:rPr>
        <w:t>1.3.2 标准规范</w:t>
      </w:r>
      <w:bookmarkEnd w:id="22"/>
      <w:bookmarkEnd w:id="23"/>
      <w:bookmarkEnd w:id="24"/>
    </w:p>
    <w:p w14:paraId="4A110917">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《消防安全标志设置要求》                         GB15630-1995</w:t>
      </w:r>
    </w:p>
    <w:p w14:paraId="1EB912D7">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《企业职工伤亡事故分类》                          GB6441-1986</w:t>
      </w:r>
    </w:p>
    <w:p w14:paraId="5DD144CA">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《安全标志及其使用导则》                          GB2894-2008</w:t>
      </w:r>
    </w:p>
    <w:p w14:paraId="40341CA7">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《道路交通标志和标线 第1部分：总则》             GB5768.1-2009</w:t>
      </w:r>
    </w:p>
    <w:p w14:paraId="7743527F">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《消防安全标志 第1部分：标志》                  GB13495.1-2015</w:t>
      </w:r>
    </w:p>
    <w:p w14:paraId="450F3CF5">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《道路交通标志和标线 第4部分：作业区》           GB5768.4-2017</w:t>
      </w:r>
    </w:p>
    <w:p w14:paraId="55BCD076">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《道路交通标志和标线 第5部分:限制速度》         GB5768.5-2017</w:t>
      </w:r>
    </w:p>
    <w:p w14:paraId="785B0781">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《室外给水设计标准》                             GB50013-2018</w:t>
      </w:r>
    </w:p>
    <w:p w14:paraId="17DE988F">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《头部防护 安全帽》                               GB2811-2019</w:t>
      </w:r>
    </w:p>
    <w:p w14:paraId="2EE3C2C8">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《个体防护装备配备规范 第1部分：总则》          GB39800.1-2020</w:t>
      </w:r>
    </w:p>
    <w:p w14:paraId="29C8E798">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《道路交通标志和标线 第2部分：道路交通标志》     GB5768.2-2022</w:t>
      </w:r>
    </w:p>
    <w:p w14:paraId="08A613ED">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《道路交通反光膜》                             GB/T18833-2012</w:t>
      </w:r>
    </w:p>
    <w:p w14:paraId="64E8C21E">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《用电安全导则》                               GB/T13869-2017</w:t>
      </w:r>
    </w:p>
    <w:p w14:paraId="6419634F">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《道路交通标志板及支撑件》                     GB/T23827-2021</w:t>
      </w:r>
    </w:p>
    <w:p w14:paraId="41B7466E">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《道路作业人员安全标志服》                     GB/T25281-2021</w:t>
      </w:r>
    </w:p>
    <w:p w14:paraId="29325EFC">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《公路交通标志和标线设置规范》                   JTG D82-2009</w:t>
      </w:r>
    </w:p>
    <w:p w14:paraId="247C9B54">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《公路工程地质勘察规范》                         JTG C20-2011</w:t>
      </w:r>
    </w:p>
    <w:p w14:paraId="43976C1E">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《公路工程技术标准》                             JTG B01-2014</w:t>
      </w:r>
    </w:p>
    <w:p w14:paraId="5ABC7C71">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《公路养护安全作业规程》                         JTG H30-2015</w:t>
      </w:r>
    </w:p>
    <w:p w14:paraId="664434C1">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《公路项目安全性评估规范》                       JTG B05-2015</w:t>
      </w:r>
    </w:p>
    <w:p w14:paraId="7230AC12">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《公路通信及电力管道设计规范》               JTG/T3383-01-2020</w:t>
      </w:r>
    </w:p>
    <w:p w14:paraId="5ECCA5DA">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《公路隧道施工技术规范》                       JTG/T3660-2020</w:t>
      </w:r>
    </w:p>
    <w:p w14:paraId="09AED5CF">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《给水排水工程顶管技术规程》                     CECS246-2008</w:t>
      </w:r>
    </w:p>
    <w:p w14:paraId="060F3F62">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《给水排水工程微型顶管技术规程》              T/CECS1113-2022</w:t>
      </w:r>
    </w:p>
    <w:p w14:paraId="6C31ECC8">
      <w:pPr>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《顶管法管道工程技术规程》                    T/CSPSTC78-2021</w:t>
      </w:r>
    </w:p>
    <w:p w14:paraId="32105612">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《施工企业安全生产评价标准》                      JGJ/T77-2010</w:t>
      </w:r>
    </w:p>
    <w:p w14:paraId="6CB2C824">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《城乡规划工程地质勘察规范》                        CJJ57-2012</w:t>
      </w:r>
    </w:p>
    <w:p w14:paraId="78E6DB17">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《安全评价通则》                                  AQ8001-2007</w:t>
      </w:r>
    </w:p>
    <w:p w14:paraId="70A0B8FF">
      <w:pPr>
        <w:bidi w:val="0"/>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《安全预评价导则》                                AQ8002-2007</w:t>
      </w:r>
    </w:p>
    <w:p w14:paraId="34F22A94">
      <w:pPr>
        <w:bidi w:val="0"/>
        <w:rPr>
          <w:rFonts w:hint="default"/>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其它相关的国家和行业的标准、规定</w:t>
      </w:r>
    </w:p>
    <w:bookmarkEnd w:id="25"/>
    <w:p w14:paraId="03688BF2">
      <w:pPr>
        <w:pStyle w:val="4"/>
        <w:bidi w:val="0"/>
        <w:rPr>
          <w:rFonts w:hint="eastAsia"/>
          <w:color w:val="000000" w:themeColor="text1"/>
          <w14:textFill>
            <w14:solidFill>
              <w14:schemeClr w14:val="tx1"/>
            </w14:solidFill>
          </w14:textFill>
        </w:rPr>
      </w:pPr>
      <w:bookmarkStart w:id="26" w:name="_Toc21944"/>
      <w:bookmarkStart w:id="27" w:name="_Toc1045"/>
      <w:bookmarkStart w:id="28" w:name="_Toc26245"/>
      <w:bookmarkStart w:id="29" w:name="_Toc26161"/>
      <w:bookmarkStart w:id="30" w:name="_Toc9851"/>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3 建设项目</w:t>
      </w:r>
      <w:r>
        <w:rPr>
          <w:rFonts w:hint="eastAsia"/>
          <w:color w:val="000000" w:themeColor="text1"/>
          <w14:textFill>
            <w14:solidFill>
              <w14:schemeClr w14:val="tx1"/>
            </w14:solidFill>
          </w14:textFill>
        </w:rPr>
        <w:t>技术资料</w:t>
      </w:r>
      <w:bookmarkEnd w:id="26"/>
      <w:bookmarkEnd w:id="27"/>
      <w:bookmarkEnd w:id="28"/>
      <w:bookmarkEnd w:id="29"/>
      <w:bookmarkEnd w:id="30"/>
    </w:p>
    <w:p w14:paraId="72B8471D">
      <w:pP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eastAsia"/>
          <w:color w:val="000000" w:themeColor="text1"/>
          <w:lang w:eastAsia="zh-CN"/>
          <w14:textFill>
            <w14:solidFill>
              <w14:schemeClr w14:val="tx1"/>
            </w14:solidFill>
          </w14:textFill>
        </w:rPr>
        <w:t>建设单位营业执照</w:t>
      </w:r>
    </w:p>
    <w:p w14:paraId="1B33825E">
      <w:pP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 </w:t>
      </w:r>
      <w:r>
        <w:rPr>
          <w:rFonts w:hint="eastAsia"/>
          <w:color w:val="000000" w:themeColor="text1"/>
          <w:lang w:eastAsia="zh-CN"/>
          <w14:textFill>
            <w14:solidFill>
              <w14:schemeClr w14:val="tx1"/>
            </w14:solidFill>
          </w14:textFill>
        </w:rPr>
        <w:t>施工单位营业执照及</w:t>
      </w:r>
      <w:r>
        <w:rPr>
          <w:rFonts w:hint="eastAsia"/>
          <w:color w:val="000000" w:themeColor="text1"/>
          <w:lang w:val="en-US" w:eastAsia="zh-CN"/>
          <w14:textFill>
            <w14:solidFill>
              <w14:schemeClr w14:val="tx1"/>
            </w14:solidFill>
          </w14:textFill>
        </w:rPr>
        <w:t>资质</w:t>
      </w:r>
    </w:p>
    <w:p w14:paraId="3F30D0E8">
      <w:pP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3</w:t>
      </w:r>
      <w:r>
        <w:rPr>
          <w:rFonts w:hint="eastAsia"/>
          <w:color w:val="000000" w:themeColor="text1"/>
          <w:lang w:val="en-US" w:eastAsia="zh-CN"/>
          <w14:textFill>
            <w14:solidFill>
              <w14:schemeClr w14:val="tx1"/>
            </w14:solidFill>
          </w14:textFill>
        </w:rPr>
        <w:t>. 监理</w:t>
      </w:r>
      <w:r>
        <w:rPr>
          <w:rFonts w:hint="eastAsia"/>
          <w:color w:val="000000" w:themeColor="text1"/>
          <w:lang w:eastAsia="zh-CN"/>
          <w14:textFill>
            <w14:solidFill>
              <w14:schemeClr w14:val="tx1"/>
            </w14:solidFill>
          </w14:textFill>
        </w:rPr>
        <w:t>单位营业执照及</w:t>
      </w:r>
      <w:r>
        <w:rPr>
          <w:rFonts w:hint="eastAsia"/>
          <w:color w:val="000000" w:themeColor="text1"/>
          <w:lang w:val="en-US" w:eastAsia="zh-CN"/>
          <w14:textFill>
            <w14:solidFill>
              <w14:schemeClr w14:val="tx1"/>
            </w14:solidFill>
          </w14:textFill>
        </w:rPr>
        <w:t>资质</w:t>
      </w:r>
    </w:p>
    <w:p w14:paraId="6D800B50">
      <w:pP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4</w:t>
      </w:r>
      <w:r>
        <w:rPr>
          <w:rFonts w:hint="eastAsia"/>
          <w:color w:val="000000" w:themeColor="text1"/>
          <w:lang w:val="en-US" w:eastAsia="zh-CN"/>
          <w14:textFill>
            <w14:solidFill>
              <w14:schemeClr w14:val="tx1"/>
            </w14:solidFill>
          </w14:textFill>
        </w:rPr>
        <w:t xml:space="preserve">. </w:t>
      </w:r>
      <w:r>
        <w:rPr>
          <w:rFonts w:hint="eastAsia"/>
          <w:color w:val="000000" w:themeColor="text1"/>
          <w:lang w:eastAsia="zh-CN"/>
          <w14:textFill>
            <w14:solidFill>
              <w14:schemeClr w14:val="tx1"/>
            </w14:solidFill>
          </w14:textFill>
        </w:rPr>
        <w:t>施工方案</w:t>
      </w:r>
    </w:p>
    <w:p w14:paraId="43EA34AA">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 《经开区污水管网完善工程地质勘察报告》（江西核工业工程地质勘察院有限公司，2022年4月）</w:t>
      </w:r>
    </w:p>
    <w:p w14:paraId="0BE421D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 《经开区污水管网完善工程物探成果》（江西核工业工程地质勘察院有限公司，2022年4月）</w:t>
      </w:r>
    </w:p>
    <w:p w14:paraId="22FBCF1C">
      <w:pP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7. 企业提供的</w:t>
      </w:r>
      <w:r>
        <w:rPr>
          <w:rFonts w:hint="eastAsia"/>
          <w:color w:val="000000" w:themeColor="text1"/>
          <w:lang w:eastAsia="zh-CN"/>
          <w14:textFill>
            <w14:solidFill>
              <w14:schemeClr w14:val="tx1"/>
            </w14:solidFill>
          </w14:textFill>
        </w:rPr>
        <w:t>其他资料</w:t>
      </w:r>
    </w:p>
    <w:p w14:paraId="480BCD17">
      <w:pPr>
        <w:pStyle w:val="3"/>
        <w:bidi w:val="0"/>
        <w:rPr>
          <w:rFonts w:hint="eastAsia"/>
          <w:color w:val="000000" w:themeColor="text1"/>
          <w:lang w:val="en-US" w:eastAsia="zh-CN"/>
          <w14:textFill>
            <w14:solidFill>
              <w14:schemeClr w14:val="tx1"/>
            </w14:solidFill>
          </w14:textFill>
        </w:rPr>
      </w:pPr>
      <w:bookmarkStart w:id="31" w:name="_Toc24324"/>
      <w:bookmarkStart w:id="32" w:name="_Toc3758"/>
      <w:bookmarkStart w:id="33" w:name="_Toc26120"/>
      <w:bookmarkStart w:id="34" w:name="_Toc3902"/>
      <w:r>
        <w:rPr>
          <w:rFonts w:hint="eastAsia"/>
          <w:color w:val="000000" w:themeColor="text1"/>
          <w:lang w:val="en-US" w:eastAsia="zh-CN"/>
          <w14:textFill>
            <w14:solidFill>
              <w14:schemeClr w14:val="tx1"/>
            </w14:solidFill>
          </w14:textFill>
        </w:rPr>
        <w:t xml:space="preserve">1.4 </w:t>
      </w:r>
      <w:bookmarkEnd w:id="31"/>
      <w:bookmarkEnd w:id="32"/>
      <w:bookmarkEnd w:id="33"/>
      <w:r>
        <w:rPr>
          <w:rFonts w:hint="eastAsia"/>
          <w:color w:val="000000" w:themeColor="text1"/>
          <w:lang w:val="en-US" w:eastAsia="zh-CN"/>
          <w14:textFill>
            <w14:solidFill>
              <w14:schemeClr w14:val="tx1"/>
            </w14:solidFill>
          </w14:textFill>
        </w:rPr>
        <w:t>评估程序</w:t>
      </w:r>
      <w:bookmarkEnd w:id="34"/>
    </w:p>
    <w:p w14:paraId="31081865">
      <w:pPr>
        <w:bidi w:val="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安全评估程序见图1-1</w:t>
      </w:r>
      <w:r>
        <w:rPr>
          <w:rFonts w:hint="eastAsia"/>
          <w:color w:val="000000" w:themeColor="text1"/>
          <w:lang w:val="en-US" w:eastAsia="zh-CN"/>
          <w14:textFill>
            <w14:solidFill>
              <w14:schemeClr w14:val="tx1"/>
            </w14:solidFill>
          </w14:textFill>
        </w:rPr>
        <w:t>。</w:t>
      </w:r>
    </w:p>
    <w:p w14:paraId="7619D7DD">
      <w:pPr>
        <w:bidi w:val="0"/>
        <w:ind w:left="0" w:leftChars="0" w:firstLine="0" w:firstLineChars="0"/>
        <w:jc w:val="center"/>
        <w:rPr>
          <w:rFonts w:hint="default" w:ascii="Times New Roman" w:hAnsi="Times New Roman" w:eastAsia="宋体" w:cs="Times New Roman"/>
          <w:color w:val="000000" w:themeColor="text1"/>
          <w:kern w:val="0"/>
          <w:sz w:val="22"/>
          <w:szCs w:val="22"/>
          <w14:textFill>
            <w14:solidFill>
              <w14:schemeClr w14:val="tx1"/>
            </w14:solidFill>
          </w14:textFill>
        </w:rPr>
      </w:pPr>
      <w:r>
        <w:rPr>
          <w:rFonts w:ascii="Times New Roman" w:hAnsi="Times New Roman" w:eastAsia="宋体" w:cs="Times New Roman"/>
          <w:b/>
          <w:bCs/>
          <w:color w:val="000000" w:themeColor="text1"/>
          <w:sz w:val="28"/>
          <w:szCs w:val="28"/>
          <w14:textFill>
            <w14:solidFill>
              <w14:schemeClr w14:val="tx1"/>
            </w14:solidFill>
          </w14:textFill>
        </w:rPr>
        <mc:AlternateContent>
          <mc:Choice Requires="wpg">
            <w:drawing>
              <wp:inline distT="0" distB="0" distL="114300" distR="114300">
                <wp:extent cx="1924050" cy="5349240"/>
                <wp:effectExtent l="0" t="0" r="0" b="0"/>
                <wp:docPr id="66" name="组合 66"/>
                <wp:cNvGraphicFramePr/>
                <a:graphic xmlns:a="http://schemas.openxmlformats.org/drawingml/2006/main">
                  <a:graphicData uri="http://schemas.microsoft.com/office/word/2010/wordprocessingGroup">
                    <wpg:wgp>
                      <wpg:cNvGrpSpPr/>
                      <wpg:grpSpPr>
                        <a:xfrm>
                          <a:off x="0" y="0"/>
                          <a:ext cx="1924050" cy="5349240"/>
                          <a:chOff x="4566" y="6790"/>
                          <a:chExt cx="3030" cy="8424"/>
                        </a:xfrm>
                      </wpg:grpSpPr>
                      <wps:wsp>
                        <wps:cNvPr id="51" name="文本框 51"/>
                        <wps:cNvSpPr txBox="1"/>
                        <wps:spPr>
                          <a:xfrm>
                            <a:off x="4566" y="6790"/>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9C88F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wps:txbx>
                        <wps:bodyPr upright="1"/>
                      </wps:wsp>
                      <wps:wsp>
                        <wps:cNvPr id="52" name="文本框 52"/>
                        <wps:cNvSpPr txBox="1"/>
                        <wps:spPr>
                          <a:xfrm>
                            <a:off x="4566" y="7893"/>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6B758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辩识与分析危险、有害因素</w:t>
                              </w:r>
                            </w:p>
                          </w:txbxContent>
                        </wps:txbx>
                        <wps:bodyPr upright="1"/>
                      </wps:wsp>
                      <wps:wsp>
                        <wps:cNvPr id="53" name="文本框 53"/>
                        <wps:cNvSpPr txBox="1"/>
                        <wps:spPr>
                          <a:xfrm>
                            <a:off x="4566" y="9100"/>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D181D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划分评估单元</w:t>
                              </w:r>
                            </w:p>
                          </w:txbxContent>
                        </wps:txbx>
                        <wps:bodyPr upright="1"/>
                      </wps:wsp>
                      <wps:wsp>
                        <wps:cNvPr id="54" name="文本框 54"/>
                        <wps:cNvSpPr txBox="1"/>
                        <wps:spPr>
                          <a:xfrm>
                            <a:off x="4566" y="10204"/>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0FCA09">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选择评估方法</w:t>
                              </w:r>
                            </w:p>
                          </w:txbxContent>
                        </wps:txbx>
                        <wps:bodyPr upright="1"/>
                      </wps:wsp>
                      <wps:wsp>
                        <wps:cNvPr id="55" name="文本框 55"/>
                        <wps:cNvSpPr txBox="1"/>
                        <wps:spPr>
                          <a:xfrm>
                            <a:off x="4566" y="11398"/>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9F97F4">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定性定量评估</w:t>
                              </w:r>
                            </w:p>
                          </w:txbxContent>
                        </wps:txbx>
                        <wps:bodyPr upright="1"/>
                      </wps:wsp>
                      <wps:wsp>
                        <wps:cNvPr id="56" name="文本框 56"/>
                        <wps:cNvSpPr txBox="1"/>
                        <wps:spPr>
                          <a:xfrm>
                            <a:off x="4566" y="12501"/>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DBD19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wps:txbx>
                        <wps:bodyPr upright="1"/>
                      </wps:wsp>
                      <wps:wsp>
                        <wps:cNvPr id="57" name="文本框 57"/>
                        <wps:cNvSpPr txBox="1"/>
                        <wps:spPr>
                          <a:xfrm>
                            <a:off x="4566" y="13708"/>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E4D4D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做出</w:t>
                              </w:r>
                              <w:r>
                                <w:rPr>
                                  <w:rFonts w:hint="eastAsia" w:ascii="Times New Roman" w:hAnsi="Times New Roman" w:eastAsia="宋体" w:cs="Times New Roman"/>
                                  <w:sz w:val="21"/>
                                  <w:lang w:val="en-US" w:eastAsia="zh-CN"/>
                                </w:rPr>
                                <w:t>安全评估</w:t>
                              </w:r>
                              <w:r>
                                <w:rPr>
                                  <w:rFonts w:hint="eastAsia" w:ascii="Times New Roman" w:hAnsi="Times New Roman" w:eastAsia="宋体" w:cs="Times New Roman"/>
                                  <w:sz w:val="21"/>
                                </w:rPr>
                                <w:t>结论</w:t>
                              </w:r>
                            </w:p>
                          </w:txbxContent>
                        </wps:txbx>
                        <wps:bodyPr upright="1"/>
                      </wps:wsp>
                      <wps:wsp>
                        <wps:cNvPr id="58" name="文本框 58"/>
                        <wps:cNvSpPr txBox="1"/>
                        <wps:spPr>
                          <a:xfrm>
                            <a:off x="4566" y="14812"/>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6D301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w:t>
                              </w:r>
                              <w:r>
                                <w:rPr>
                                  <w:rFonts w:hint="eastAsia" w:ascii="Times New Roman" w:hAnsi="Times New Roman" w:eastAsia="宋体" w:cs="Times New Roman"/>
                                  <w:sz w:val="21"/>
                                  <w:lang w:val="en-US" w:eastAsia="zh-CN"/>
                                </w:rPr>
                                <w:t>评估</w:t>
                              </w:r>
                              <w:r>
                                <w:rPr>
                                  <w:rFonts w:hint="eastAsia" w:ascii="Times New Roman" w:hAnsi="Times New Roman" w:eastAsia="宋体" w:cs="Times New Roman"/>
                                  <w:sz w:val="21"/>
                                </w:rPr>
                                <w:t>报告</w:t>
                              </w:r>
                            </w:p>
                          </w:txbxContent>
                        </wps:txbx>
                        <wps:bodyPr upright="1"/>
                      </wps:wsp>
                      <wps:wsp>
                        <wps:cNvPr id="59" name="直接连接符 59"/>
                        <wps:cNvCnPr/>
                        <wps:spPr>
                          <a:xfrm>
                            <a:off x="6066" y="7179"/>
                            <a:ext cx="0" cy="701"/>
                          </a:xfrm>
                          <a:prstGeom prst="line">
                            <a:avLst/>
                          </a:prstGeom>
                          <a:ln w="9525" cap="flat" cmpd="sng">
                            <a:solidFill>
                              <a:srgbClr val="000000"/>
                            </a:solidFill>
                            <a:prstDash val="solid"/>
                            <a:headEnd type="none" w="med" len="med"/>
                            <a:tailEnd type="triangle" w="med" len="med"/>
                          </a:ln>
                        </wps:spPr>
                        <wps:bodyPr upright="1"/>
                      </wps:wsp>
                      <wps:wsp>
                        <wps:cNvPr id="60" name="直接连接符 60"/>
                        <wps:cNvCnPr/>
                        <wps:spPr>
                          <a:xfrm>
                            <a:off x="6066" y="8283"/>
                            <a:ext cx="0" cy="805"/>
                          </a:xfrm>
                          <a:prstGeom prst="line">
                            <a:avLst/>
                          </a:prstGeom>
                          <a:ln w="9525" cap="flat" cmpd="sng">
                            <a:solidFill>
                              <a:srgbClr val="000000"/>
                            </a:solidFill>
                            <a:prstDash val="solid"/>
                            <a:headEnd type="none" w="med" len="med"/>
                            <a:tailEnd type="triangle" w="med" len="med"/>
                          </a:ln>
                        </wps:spPr>
                        <wps:bodyPr upright="1"/>
                      </wps:wsp>
                      <wps:wsp>
                        <wps:cNvPr id="61" name="直接连接符 61"/>
                        <wps:cNvCnPr/>
                        <wps:spPr>
                          <a:xfrm>
                            <a:off x="6080" y="9490"/>
                            <a:ext cx="0" cy="701"/>
                          </a:xfrm>
                          <a:prstGeom prst="line">
                            <a:avLst/>
                          </a:prstGeom>
                          <a:ln w="9525" cap="flat" cmpd="sng">
                            <a:solidFill>
                              <a:srgbClr val="000000"/>
                            </a:solidFill>
                            <a:prstDash val="solid"/>
                            <a:headEnd type="none" w="med" len="med"/>
                            <a:tailEnd type="triangle" w="med" len="med"/>
                          </a:ln>
                        </wps:spPr>
                        <wps:bodyPr upright="1"/>
                      </wps:wsp>
                      <wps:wsp>
                        <wps:cNvPr id="62" name="直接连接符 62"/>
                        <wps:cNvCnPr/>
                        <wps:spPr>
                          <a:xfrm>
                            <a:off x="6080" y="10593"/>
                            <a:ext cx="0" cy="792"/>
                          </a:xfrm>
                          <a:prstGeom prst="line">
                            <a:avLst/>
                          </a:prstGeom>
                          <a:ln w="9525" cap="flat" cmpd="sng">
                            <a:solidFill>
                              <a:srgbClr val="000000"/>
                            </a:solidFill>
                            <a:prstDash val="solid"/>
                            <a:headEnd type="none" w="med" len="med"/>
                            <a:tailEnd type="triangle" w="med" len="med"/>
                          </a:ln>
                        </wps:spPr>
                        <wps:bodyPr upright="1"/>
                      </wps:wsp>
                      <wps:wsp>
                        <wps:cNvPr id="63" name="直接连接符 63"/>
                        <wps:cNvCnPr/>
                        <wps:spPr>
                          <a:xfrm>
                            <a:off x="6080" y="11787"/>
                            <a:ext cx="0" cy="701"/>
                          </a:xfrm>
                          <a:prstGeom prst="line">
                            <a:avLst/>
                          </a:prstGeom>
                          <a:ln w="9525" cap="flat" cmpd="sng">
                            <a:solidFill>
                              <a:srgbClr val="000000"/>
                            </a:solidFill>
                            <a:prstDash val="solid"/>
                            <a:headEnd type="none" w="med" len="med"/>
                            <a:tailEnd type="triangle" w="med" len="med"/>
                          </a:ln>
                        </wps:spPr>
                        <wps:bodyPr upright="1"/>
                      </wps:wsp>
                      <wps:wsp>
                        <wps:cNvPr id="64" name="直接连接符 64"/>
                        <wps:cNvCnPr/>
                        <wps:spPr>
                          <a:xfrm>
                            <a:off x="6066" y="12891"/>
                            <a:ext cx="0" cy="804"/>
                          </a:xfrm>
                          <a:prstGeom prst="line">
                            <a:avLst/>
                          </a:prstGeom>
                          <a:ln w="9525" cap="flat" cmpd="sng">
                            <a:solidFill>
                              <a:srgbClr val="000000"/>
                            </a:solidFill>
                            <a:prstDash val="solid"/>
                            <a:headEnd type="none" w="med" len="med"/>
                            <a:tailEnd type="triangle" w="med" len="med"/>
                          </a:ln>
                        </wps:spPr>
                        <wps:bodyPr upright="1"/>
                      </wps:wsp>
                      <wps:wsp>
                        <wps:cNvPr id="65" name="直接连接符 65"/>
                        <wps:cNvCnPr/>
                        <wps:spPr>
                          <a:xfrm>
                            <a:off x="6066" y="14098"/>
                            <a:ext cx="0" cy="701"/>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421.2pt;width:151.5pt;" coordorigin="4566,6790" coordsize="3030,8424" o:gfxdata="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">
                <o:lock v:ext="edit" aspectratio="f"/>
                <v:shape id="_x0000_s1026" o:spid="_x0000_s1026" o:spt="202" type="#_x0000_t202" style="position:absolute;left:4566;top:6790;height:402;width:3030;" fillcolor="#FFFFFF" filled="t" stroked="t" coordsize="21600,21600" o:gfxdata="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GLDg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E9C88F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v:textbox>
                </v:shape>
                <v:shape id="_x0000_s1026" o:spid="_x0000_s1026" o:spt="202" type="#_x0000_t202" style="position:absolute;left:4566;top:7893;height:403;width:3030;" fillcolor="#FFFFFF" filled="t" stroked="t" coordsize="21600,21600" o:gfxdata="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F31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46B758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辩识与分析危险、有害因素</w:t>
                        </w:r>
                      </w:p>
                    </w:txbxContent>
                  </v:textbox>
                </v:shape>
                <v:shape id="_x0000_s1026" o:spid="_x0000_s1026" o:spt="202" type="#_x0000_t202" style="position:absolute;left:4566;top:9100;height:403;width:3030;" fillcolor="#FFFFFF" filled="t" stroked="t" coordsize="21600,21600" o:gfxdata="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Ph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1D181D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划分评估单元</w:t>
                        </w:r>
                      </w:p>
                    </w:txbxContent>
                  </v:textbox>
                </v:shape>
                <v:shape id="_x0000_s1026" o:spid="_x0000_s1026" o:spt="202" type="#_x0000_t202" style="position:absolute;left:4566;top:10204;height:402;width:3030;" fillcolor="#FFFFFF" filled="t" stroked="t" coordsize="21600,21600" o:gfxdata="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BVgG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D0FCA09">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选择评估方法</w:t>
                        </w:r>
                      </w:p>
                    </w:txbxContent>
                  </v:textbox>
                </v:shape>
                <v:shape id="_x0000_s1026" o:spid="_x0000_s1026" o:spt="202" type="#_x0000_t202" style="position:absolute;left:4566;top:11398;height:402;width:3030;" fillcolor="#FFFFFF" filled="t" stroked="t" coordsize="21600,21600" o:gfxdata="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nFg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E9F97F4">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定性定量评估</w:t>
                        </w:r>
                      </w:p>
                    </w:txbxContent>
                  </v:textbox>
                </v:shape>
                <v:shape id="_x0000_s1026" o:spid="_x0000_s1026" o:spt="202" type="#_x0000_t202" style="position:absolute;left:4566;top:12501;height:403;width:3030;" fillcolor="#FFFFFF" filled="t" stroked="t" coordsize="21600,21600" o:gfxdata="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4tb9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BDBD19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v:textbox>
                </v:shape>
                <v:shape id="_x0000_s1026" o:spid="_x0000_s1026" o:spt="202" type="#_x0000_t202" style="position:absolute;left:4566;top:13708;height:403;width:3030;" fillcolor="#FFFFFF" filled="t" stroked="t" coordsize="21600,21600" o:gfxdata="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x/5t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FE4D4D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做出</w:t>
                        </w:r>
                        <w:r>
                          <w:rPr>
                            <w:rFonts w:hint="eastAsia" w:ascii="Times New Roman" w:hAnsi="Times New Roman" w:eastAsia="宋体" w:cs="Times New Roman"/>
                            <w:sz w:val="21"/>
                            <w:lang w:val="en-US" w:eastAsia="zh-CN"/>
                          </w:rPr>
                          <w:t>安全评估</w:t>
                        </w:r>
                        <w:r>
                          <w:rPr>
                            <w:rFonts w:hint="eastAsia" w:ascii="Times New Roman" w:hAnsi="Times New Roman" w:eastAsia="宋体" w:cs="Times New Roman"/>
                            <w:sz w:val="21"/>
                          </w:rPr>
                          <w:t>结论</w:t>
                        </w:r>
                      </w:p>
                    </w:txbxContent>
                  </v:textbox>
                </v:shape>
                <v:shape id="_x0000_s1026" o:spid="_x0000_s1026" o:spt="202" type="#_x0000_t202" style="position:absolute;left:4566;top:14812;height:402;width:3030;" fillcolor="#FFFFFF" filled="t" stroked="t" coordsize="21600,21600" o:gfxdata="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WGof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36D301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w:t>
                        </w:r>
                        <w:r>
                          <w:rPr>
                            <w:rFonts w:hint="eastAsia" w:ascii="Times New Roman" w:hAnsi="Times New Roman" w:eastAsia="宋体" w:cs="Times New Roman"/>
                            <w:sz w:val="21"/>
                            <w:lang w:val="en-US" w:eastAsia="zh-CN"/>
                          </w:rPr>
                          <w:t>评估</w:t>
                        </w:r>
                        <w:r>
                          <w:rPr>
                            <w:rFonts w:hint="eastAsia" w:ascii="Times New Roman" w:hAnsi="Times New Roman" w:eastAsia="宋体" w:cs="Times New Roman"/>
                            <w:sz w:val="21"/>
                          </w:rPr>
                          <w:t>报告</w:t>
                        </w:r>
                      </w:p>
                    </w:txbxContent>
                  </v:textbox>
                </v:shape>
                <v:line id="_x0000_s1026" o:spid="_x0000_s1026" o:spt="20" style="position:absolute;left:6066;top:7179;height:701;width:0;" filled="f" stroked="t" coordsize="21600,21600" o:gfxdata="UEsDBAoAAAAAAIdO4kAAAAAAAAAAAAAAAAAEAAAAZHJzL1BLAwQUAAAACACHTuJAbvns9r8AAADb&#10;AAAADwAAAGRycy9kb3ducmV2LnhtbEWPT2vCQBTE7wW/w/KE3uomQku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757Pa/&#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66;top:8283;height:805;width:0;" filled="f" stroked="t" coordsize="21600,21600" o:gfxdata="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a+P1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6080;top:9490;height:701;width:0;" filled="f" stroked="t" coordsize="21600,21600" o:gfxdata="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ypN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6080;top:10593;height:792;width:0;" filled="f" stroked="t" coordsize="21600,21600" o:gfxdata="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jG0O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6080;top:11787;height:701;width:0;" filled="f" stroked="t" coordsize="21600,21600" o:gfxdata="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9Ea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66;top:12891;height:804;width:0;" filled="f" stroked="t" coordsize="21600,21600" o:gfxdata="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6Uid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66;top:14098;height:701;width:0;" filled="f" stroked="t" coordsize="21600,21600" o:gfxdata="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HYLE6/&#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w10:wrap type="none"/>
                <w10:anchorlock/>
              </v:group>
            </w:pict>
          </mc:Fallback>
        </mc:AlternateContent>
      </w:r>
    </w:p>
    <w:p w14:paraId="309A55DF">
      <w:pPr>
        <w:bidi w:val="0"/>
        <w:ind w:left="0" w:leftChars="0"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图1-1 评估程序框图</w:t>
      </w:r>
    </w:p>
    <w:p w14:paraId="606810DD">
      <w:pPr>
        <w:bidi w:val="0"/>
        <w:ind w:left="0" w:leftChars="0" w:firstLine="0" w:firstLineChars="0"/>
        <w:rPr>
          <w:rFonts w:hint="default"/>
          <w:color w:val="000000" w:themeColor="text1"/>
          <w:lang w:val="en-US" w:eastAsia="zh-CN"/>
          <w14:textFill>
            <w14:solidFill>
              <w14:schemeClr w14:val="tx1"/>
            </w14:solidFill>
          </w14:textFill>
        </w:rPr>
      </w:pPr>
    </w:p>
    <w:p w14:paraId="62FEF239">
      <w:pPr>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color w:val="000000" w:themeColor="text1"/>
          <w:lang w:val="en-US" w:eastAsia="zh-CN"/>
          <w14:textFill>
            <w14:solidFill>
              <w14:schemeClr w14:val="tx1"/>
            </w14:solidFill>
          </w14:textFill>
        </w:rPr>
        <w:sectPr>
          <w:footerReference r:id="rId9" w:type="default"/>
          <w:pgSz w:w="11906" w:h="16839"/>
          <w:pgMar w:top="1417" w:right="1417" w:bottom="1417" w:left="1417" w:header="850" w:footer="992" w:gutter="0"/>
          <w:pgBorders>
            <w:top w:val="none" w:sz="0" w:space="0"/>
            <w:left w:val="none" w:sz="0" w:space="0"/>
            <w:bottom w:val="none" w:sz="0" w:space="0"/>
            <w:right w:val="none" w:sz="0" w:space="0"/>
          </w:pgBorders>
          <w:pgNumType w:fmt="decimal" w:start="1"/>
          <w:cols w:space="720" w:num="1"/>
          <w:rtlGutter w:val="0"/>
          <w:docGrid w:linePitch="312" w:charSpace="0"/>
        </w:sectPr>
      </w:pPr>
    </w:p>
    <w:p w14:paraId="0DC81484">
      <w:pPr>
        <w:pStyle w:val="2"/>
        <w:numPr>
          <w:ilvl w:val="0"/>
          <w:numId w:val="2"/>
        </w:numPr>
        <w:bidi w:val="0"/>
        <w:ind w:left="0" w:leftChars="0" w:firstLine="0" w:firstLineChars="0"/>
        <w:rPr>
          <w:rFonts w:hint="eastAsia"/>
          <w:color w:val="000000" w:themeColor="text1"/>
          <w:lang w:val="en-US" w:eastAsia="zh-CN"/>
          <w14:textFill>
            <w14:solidFill>
              <w14:schemeClr w14:val="tx1"/>
            </w14:solidFill>
          </w14:textFill>
        </w:rPr>
      </w:pPr>
      <w:bookmarkStart w:id="35" w:name="_Toc14437"/>
      <w:r>
        <w:rPr>
          <w:rFonts w:hint="eastAsia"/>
          <w:color w:val="000000" w:themeColor="text1"/>
          <w:lang w:val="en-US" w:eastAsia="zh-CN"/>
          <w14:textFill>
            <w14:solidFill>
              <w14:schemeClr w14:val="tx1"/>
            </w14:solidFill>
          </w14:textFill>
        </w:rPr>
        <w:t>评估项目情况</w:t>
      </w:r>
      <w:bookmarkEnd w:id="35"/>
    </w:p>
    <w:p w14:paraId="06F74604">
      <w:pPr>
        <w:pStyle w:val="3"/>
        <w:bidi w:val="0"/>
        <w:rPr>
          <w:rFonts w:hint="eastAsia"/>
          <w:color w:val="000000" w:themeColor="text1"/>
          <w:lang w:val="en-US" w:eastAsia="zh-CN"/>
          <w14:textFill>
            <w14:solidFill>
              <w14:schemeClr w14:val="tx1"/>
            </w14:solidFill>
          </w14:textFill>
        </w:rPr>
      </w:pPr>
      <w:bookmarkStart w:id="36" w:name="_Toc27016"/>
      <w:bookmarkStart w:id="37" w:name="_Toc12777"/>
      <w:bookmarkStart w:id="38" w:name="_Toc16465"/>
      <w:r>
        <w:rPr>
          <w:rFonts w:hint="eastAsia"/>
          <w:color w:val="000000" w:themeColor="text1"/>
          <w:lang w:val="en-US" w:eastAsia="zh-CN"/>
          <w14:textFill>
            <w14:solidFill>
              <w14:schemeClr w14:val="tx1"/>
            </w14:solidFill>
          </w14:textFill>
        </w:rPr>
        <w:t xml:space="preserve">2.1 </w:t>
      </w:r>
      <w:bookmarkEnd w:id="36"/>
      <w:bookmarkEnd w:id="37"/>
      <w:r>
        <w:rPr>
          <w:rFonts w:hint="eastAsia"/>
          <w:color w:val="000000" w:themeColor="text1"/>
          <w:lang w:val="en-US" w:eastAsia="zh-CN"/>
          <w14:textFill>
            <w14:solidFill>
              <w14:schemeClr w14:val="tx1"/>
            </w14:solidFill>
          </w14:textFill>
        </w:rPr>
        <w:t>工程概况</w:t>
      </w:r>
      <w:bookmarkEnd w:id="38"/>
    </w:p>
    <w:p w14:paraId="7AFAEEA4">
      <w:pPr>
        <w:pStyle w:val="4"/>
        <w:bidi w:val="0"/>
        <w:rPr>
          <w:rFonts w:hint="default"/>
          <w:color w:val="000000" w:themeColor="text1"/>
          <w:lang w:val="en-US" w:eastAsia="zh-CN"/>
          <w14:textFill>
            <w14:solidFill>
              <w14:schemeClr w14:val="tx1"/>
            </w14:solidFill>
          </w14:textFill>
        </w:rPr>
      </w:pPr>
      <w:bookmarkStart w:id="39" w:name="_Toc21850"/>
      <w:r>
        <w:rPr>
          <w:rFonts w:hint="default"/>
          <w:color w:val="000000" w:themeColor="text1"/>
          <w:lang w:val="en-US" w:eastAsia="zh-CN"/>
          <w14:textFill>
            <w14:solidFill>
              <w14:schemeClr w14:val="tx1"/>
            </w14:solidFill>
          </w14:textFill>
        </w:rPr>
        <w:t>2.1.1 建设</w:t>
      </w:r>
      <w:r>
        <w:rPr>
          <w:rFonts w:hint="eastAsia"/>
          <w:color w:val="000000" w:themeColor="text1"/>
          <w:lang w:val="en-US" w:eastAsia="zh-CN"/>
          <w14:textFill>
            <w14:solidFill>
              <w14:schemeClr w14:val="tx1"/>
            </w14:solidFill>
          </w14:textFill>
        </w:rPr>
        <w:t>工程相关方</w:t>
      </w:r>
      <w:bookmarkEnd w:id="39"/>
    </w:p>
    <w:p w14:paraId="3EFFFFC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建设单位</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赣州市污水处理有限公司</w:t>
      </w:r>
    </w:p>
    <w:p w14:paraId="3AB92F4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设计单位</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中国市政工程华北设计研究总院有限公司</w:t>
      </w:r>
    </w:p>
    <w:p w14:paraId="22FC4F0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施工单位：江西省新宇建设工程有限公司</w:t>
      </w:r>
    </w:p>
    <w:p w14:paraId="0F6DEF2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监理单位</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湖南雁城建设咨询有限公司</w:t>
      </w:r>
    </w:p>
    <w:p w14:paraId="3FC41330">
      <w:pPr>
        <w:pStyle w:val="4"/>
        <w:bidi w:val="0"/>
        <w:rPr>
          <w:rFonts w:hint="default"/>
          <w:color w:val="000000" w:themeColor="text1"/>
          <w:lang w:val="en-US" w:eastAsia="zh-CN"/>
          <w14:textFill>
            <w14:solidFill>
              <w14:schemeClr w14:val="tx1"/>
            </w14:solidFill>
          </w14:textFill>
        </w:rPr>
      </w:pPr>
      <w:bookmarkStart w:id="40" w:name="_Toc11014"/>
      <w:r>
        <w:rPr>
          <w:rFonts w:hint="default"/>
          <w:color w:val="000000" w:themeColor="text1"/>
          <w:lang w:val="en-US" w:eastAsia="zh-CN"/>
          <w14:textFill>
            <w14:solidFill>
              <w14:schemeClr w14:val="tx1"/>
            </w14:solidFill>
          </w14:textFill>
        </w:rPr>
        <w:t>2.1.2 建设内容概况</w:t>
      </w:r>
      <w:bookmarkEnd w:id="40"/>
    </w:p>
    <w:p w14:paraId="7887FBF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为经开区污水管道完善工程，主要针对现状西城区组团分流制区域的宝福路、金岭中路、迎宾大道、华鑫路、华坚路、华裕路、金岭西路、赣丰路、工业一路、工业二路、工业三路、谷雨路、车头路、金星路、金坪路等现状道路下没有污水管道的区域补充完善污水管道，同时为两侧地块预留地块支管，将地块与上游相交道路污水管纳入城市污水排水体系。本工程新建污水管网共计约18481</w:t>
      </w:r>
      <w:r>
        <w:rPr>
          <w:rFonts w:hint="eastAsia"/>
          <w:color w:val="000000" w:themeColor="text1"/>
          <w:lang w:val="en-US" w:eastAsia="zh-CN"/>
          <w14:textFill>
            <w14:solidFill>
              <w14:schemeClr w14:val="tx1"/>
            </w14:solidFill>
          </w14:textFill>
        </w:rPr>
        <w:t>m</w:t>
      </w:r>
      <w:r>
        <w:rPr>
          <w:rFonts w:hint="default"/>
          <w:color w:val="000000" w:themeColor="text1"/>
          <w:lang w:val="en-US" w:eastAsia="zh-CN"/>
          <w14:textFill>
            <w14:solidFill>
              <w14:schemeClr w14:val="tx1"/>
            </w14:solidFill>
          </w14:textFill>
        </w:rPr>
        <w:t>，其中车头路新建污水管网103</w:t>
      </w:r>
      <w:r>
        <w:rPr>
          <w:rFonts w:hint="eastAsia"/>
          <w:color w:val="000000" w:themeColor="text1"/>
          <w:lang w:val="en-US" w:eastAsia="zh-CN"/>
          <w14:textFill>
            <w14:solidFill>
              <w14:schemeClr w14:val="tx1"/>
            </w14:solidFill>
          </w14:textFill>
        </w:rPr>
        <w:t>m</w:t>
      </w:r>
      <w:r>
        <w:rPr>
          <w:rFonts w:hint="default"/>
          <w:color w:val="000000" w:themeColor="text1"/>
          <w:lang w:val="en-US" w:eastAsia="zh-CN"/>
          <w14:textFill>
            <w14:solidFill>
              <w14:schemeClr w14:val="tx1"/>
            </w14:solidFill>
          </w14:textFill>
        </w:rPr>
        <w:t>。</w:t>
      </w:r>
    </w:p>
    <w:p w14:paraId="7BC6B8E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顶拉管施工采用胀锁密封连接聚乙烯实壁排水管</w:t>
      </w:r>
      <w:r>
        <w:rPr>
          <w:rFonts w:hint="eastAsia"/>
          <w:color w:val="000000" w:themeColor="text1"/>
          <w:lang w:val="en-US" w:eastAsia="zh-CN"/>
          <w14:textFill>
            <w14:solidFill>
              <w14:schemeClr w14:val="tx1"/>
            </w14:solidFill>
          </w14:textFill>
        </w:rPr>
        <w:t>DN</w:t>
      </w:r>
      <w:r>
        <w:rPr>
          <w:rFonts w:hint="default"/>
          <w:color w:val="000000" w:themeColor="text1"/>
          <w:lang w:val="en-US" w:eastAsia="zh-CN"/>
          <w14:textFill>
            <w14:solidFill>
              <w14:schemeClr w14:val="tx1"/>
            </w14:solidFill>
          </w14:textFill>
        </w:rPr>
        <w:t>500、长度约67.4</w:t>
      </w:r>
      <w:r>
        <w:rPr>
          <w:rFonts w:hint="eastAsia"/>
          <w:color w:val="000000" w:themeColor="text1"/>
          <w:lang w:val="en-US" w:eastAsia="zh-CN"/>
          <w14:textFill>
            <w14:solidFill>
              <w14:schemeClr w14:val="tx1"/>
            </w14:solidFill>
          </w14:textFill>
        </w:rPr>
        <w:t>m</w:t>
      </w:r>
      <w:r>
        <w:rPr>
          <w:rFonts w:hint="default"/>
          <w:color w:val="000000" w:themeColor="text1"/>
          <w:lang w:val="en-US" w:eastAsia="zh-CN"/>
          <w14:textFill>
            <w14:solidFill>
              <w14:schemeClr w14:val="tx1"/>
            </w14:solidFill>
          </w14:textFill>
        </w:rPr>
        <w:t>、管材环刚度不低于20k</w:t>
      </w:r>
      <w:r>
        <w:rPr>
          <w:rFonts w:hint="eastAsia"/>
          <w:color w:val="000000" w:themeColor="text1"/>
          <w:lang w:val="en-US" w:eastAsia="zh-CN"/>
          <w14:textFill>
            <w14:solidFill>
              <w14:schemeClr w14:val="tx1"/>
            </w14:solidFill>
          </w14:textFill>
        </w:rPr>
        <w:t>N</w:t>
      </w:r>
      <w:r>
        <w:rPr>
          <w:rFonts w:hint="default"/>
          <w:color w:val="000000" w:themeColor="text1"/>
          <w:lang w:val="en-US" w:eastAsia="zh-CN"/>
          <w14:textFill>
            <w14:solidFill>
              <w14:schemeClr w14:val="tx1"/>
            </w14:solidFill>
          </w14:textFill>
        </w:rPr>
        <w:t>/m</w:t>
      </w:r>
      <w:r>
        <w:rPr>
          <w:rFonts w:hint="default"/>
          <w:color w:val="000000" w:themeColor="text1"/>
          <w:vertAlign w:val="superscript"/>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，1.5米/节，允许顶力不小于600k</w:t>
      </w:r>
      <w:r>
        <w:rPr>
          <w:rFonts w:hint="eastAsia"/>
          <w:color w:val="000000" w:themeColor="text1"/>
          <w:lang w:val="en-US" w:eastAsia="zh-CN"/>
          <w14:textFill>
            <w14:solidFill>
              <w14:schemeClr w14:val="tx1"/>
            </w14:solidFill>
          </w14:textFill>
        </w:rPr>
        <w:t>N</w:t>
      </w:r>
      <w:r>
        <w:rPr>
          <w:rFonts w:hint="default"/>
          <w:color w:val="000000" w:themeColor="text1"/>
          <w:lang w:val="en-US" w:eastAsia="zh-CN"/>
          <w14:textFill>
            <w14:solidFill>
              <w14:schemeClr w14:val="tx1"/>
            </w14:solidFill>
          </w14:textFill>
        </w:rPr>
        <w:t>含钻孔、扩孔、回拖、顶进及泥浆等施工应严格按顶拉管施工工艺进行。</w:t>
      </w:r>
    </w:p>
    <w:p w14:paraId="6B04D2D8">
      <w:pPr>
        <w:ind w:left="0" w:lef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854575" cy="2531745"/>
            <wp:effectExtent l="0" t="0" r="0" b="0"/>
            <wp:docPr id="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
                    <pic:cNvPicPr>
                      <a:picLocks noChangeAspect="1"/>
                    </pic:cNvPicPr>
                  </pic:nvPicPr>
                  <pic:blipFill>
                    <a:blip r:embed="rId11"/>
                    <a:srcRect r="15711"/>
                    <a:stretch>
                      <a:fillRect/>
                    </a:stretch>
                  </pic:blipFill>
                  <pic:spPr>
                    <a:xfrm>
                      <a:off x="0" y="0"/>
                      <a:ext cx="4854575" cy="2531745"/>
                    </a:xfrm>
                    <a:prstGeom prst="rect">
                      <a:avLst/>
                    </a:prstGeom>
                    <a:noFill/>
                    <a:ln>
                      <a:noFill/>
                    </a:ln>
                  </pic:spPr>
                </pic:pic>
              </a:graphicData>
            </a:graphic>
          </wp:inline>
        </w:drawing>
      </w:r>
    </w:p>
    <w:p w14:paraId="695FA555">
      <w:pPr>
        <w:ind w:left="0" w:lef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图2-1 </w:t>
      </w:r>
      <w:r>
        <w:rPr>
          <w:rFonts w:hint="default"/>
          <w:color w:val="000000" w:themeColor="text1"/>
          <w:lang w:val="en-US" w:eastAsia="zh-CN"/>
          <w14:textFill>
            <w14:solidFill>
              <w14:schemeClr w14:val="tx1"/>
            </w14:solidFill>
          </w14:textFill>
        </w:rPr>
        <w:t>车头路顶管施工平面图</w:t>
      </w:r>
    </w:p>
    <w:p w14:paraId="45DD0EF8">
      <w:pPr>
        <w:pStyle w:val="3"/>
        <w:bidi w:val="0"/>
        <w:rPr>
          <w:rFonts w:hint="default"/>
          <w:color w:val="000000" w:themeColor="text1"/>
          <w:lang w:val="en-US" w:eastAsia="zh-CN"/>
          <w14:textFill>
            <w14:solidFill>
              <w14:schemeClr w14:val="tx1"/>
            </w14:solidFill>
          </w14:textFill>
        </w:rPr>
      </w:pPr>
      <w:bookmarkStart w:id="41" w:name="_Toc23063"/>
      <w:r>
        <w:rPr>
          <w:rFonts w:hint="default"/>
          <w:color w:val="000000" w:themeColor="text1"/>
          <w:lang w:val="en-US" w:eastAsia="zh-CN"/>
          <w14:textFill>
            <w14:solidFill>
              <w14:schemeClr w14:val="tx1"/>
            </w14:solidFill>
          </w14:textFill>
        </w:rPr>
        <w:t>2.2 穿越概况</w:t>
      </w:r>
      <w:bookmarkEnd w:id="41"/>
    </w:p>
    <w:p w14:paraId="34225E86">
      <w:pPr>
        <w:pStyle w:val="4"/>
        <w:bidi w:val="0"/>
        <w:rPr>
          <w:rFonts w:hint="eastAsia"/>
          <w:color w:val="000000" w:themeColor="text1"/>
          <w:lang w:val="en-US" w:eastAsia="zh-CN"/>
          <w14:textFill>
            <w14:solidFill>
              <w14:schemeClr w14:val="tx1"/>
            </w14:solidFill>
          </w14:textFill>
        </w:rPr>
      </w:pPr>
      <w:bookmarkStart w:id="42" w:name="_Toc12629"/>
      <w:r>
        <w:rPr>
          <w:rFonts w:hint="eastAsia"/>
          <w:color w:val="000000" w:themeColor="text1"/>
          <w:lang w:val="en-US" w:eastAsia="zh-CN"/>
          <w14:textFill>
            <w14:solidFill>
              <w14:schemeClr w14:val="tx1"/>
            </w14:solidFill>
          </w14:textFill>
        </w:rPr>
        <w:t>2.2.1 周边情况</w:t>
      </w:r>
      <w:bookmarkEnd w:id="42"/>
    </w:p>
    <w:p w14:paraId="6E9BEE6B">
      <w:pPr>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根据现场勘察情况，本工程场地较</w:t>
      </w:r>
      <w:r>
        <w:rPr>
          <w:rFonts w:hint="eastAsia"/>
          <w:color w:val="000000" w:themeColor="text1"/>
          <w:lang w:val="en-US" w:eastAsia="zh-CN"/>
          <w14:textFill>
            <w14:solidFill>
              <w14:schemeClr w14:val="tx1"/>
            </w14:solidFill>
          </w14:textFill>
        </w:rPr>
        <w:t>为</w:t>
      </w:r>
      <w:r>
        <w:rPr>
          <w:rFonts w:hint="default"/>
          <w:color w:val="000000" w:themeColor="text1"/>
          <w:lang w:val="en-US" w:eastAsia="zh-CN"/>
          <w14:textFill>
            <w14:solidFill>
              <w14:schemeClr w14:val="tx1"/>
            </w14:solidFill>
          </w14:textFill>
        </w:rPr>
        <w:t>开阔，地形平坦</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交通便利。</w:t>
      </w:r>
      <w:r>
        <w:rPr>
          <w:rFonts w:hint="eastAsia"/>
          <w:color w:val="000000" w:themeColor="text1"/>
          <w:lang w:val="en-US" w:eastAsia="zh-CN"/>
          <w14:textFill>
            <w14:solidFill>
              <w14:schemeClr w14:val="tx1"/>
            </w14:solidFill>
          </w14:textFill>
        </w:rPr>
        <w:t>以W2-1为基准点，北侧为村民农地，西侧为改线105国道，南侧为中阳建设集团施工工地，东侧为中国建筑一局（集团）有限公司项目部</w:t>
      </w:r>
      <w:r>
        <w:rPr>
          <w:rFonts w:hint="default"/>
          <w:color w:val="000000" w:themeColor="text1"/>
          <w:lang w:val="en-US" w:eastAsia="zh-CN"/>
          <w14:textFill>
            <w14:solidFill>
              <w14:schemeClr w14:val="tx1"/>
            </w14:solidFill>
          </w14:textFill>
        </w:rPr>
        <w:t>。该工程环境情况</w:t>
      </w:r>
      <w:r>
        <w:rPr>
          <w:rFonts w:hint="eastAsia"/>
          <w:color w:val="000000" w:themeColor="text1"/>
          <w:lang w:val="en-US" w:eastAsia="zh-CN"/>
          <w14:textFill>
            <w14:solidFill>
              <w14:schemeClr w14:val="tx1"/>
            </w14:solidFill>
          </w14:textFill>
        </w:rPr>
        <w:t>非常简单</w:t>
      </w:r>
      <w:r>
        <w:rPr>
          <w:rFonts w:hint="default"/>
          <w:color w:val="000000" w:themeColor="text1"/>
          <w:lang w:val="en-US" w:eastAsia="zh-CN"/>
          <w14:textFill>
            <w14:solidFill>
              <w14:schemeClr w14:val="tx1"/>
            </w14:solidFill>
          </w14:textFill>
        </w:rPr>
        <w:t>，根据江西核工业工程地质勘察院有限公司提供《经开区污水管网完善工程物探成果》</w:t>
      </w:r>
      <w:r>
        <w:rPr>
          <w:rFonts w:hint="eastAsia"/>
          <w:color w:val="000000" w:themeColor="text1"/>
          <w:lang w:val="en-US" w:eastAsia="zh-CN"/>
          <w14:textFill>
            <w14:solidFill>
              <w14:schemeClr w14:val="tx1"/>
            </w14:solidFill>
          </w14:textFill>
        </w:rPr>
        <w:t>的</w:t>
      </w:r>
      <w:r>
        <w:rPr>
          <w:rFonts w:hint="default"/>
          <w:color w:val="000000" w:themeColor="text1"/>
          <w:lang w:val="en-US" w:eastAsia="zh-CN"/>
          <w14:textFill>
            <w14:solidFill>
              <w14:schemeClr w14:val="tx1"/>
            </w14:solidFill>
          </w14:textFill>
        </w:rPr>
        <w:t>资料，本工程</w:t>
      </w:r>
      <w:r>
        <w:rPr>
          <w:rFonts w:hint="eastAsia"/>
          <w:color w:val="000000" w:themeColor="text1"/>
          <w:lang w:val="en-US" w:eastAsia="zh-CN"/>
          <w14:textFill>
            <w14:solidFill>
              <w14:schemeClr w14:val="tx1"/>
            </w14:solidFill>
          </w14:textFill>
        </w:rPr>
        <w:t>污水</w:t>
      </w:r>
      <w:r>
        <w:rPr>
          <w:rFonts w:hint="default"/>
          <w:color w:val="000000" w:themeColor="text1"/>
          <w:lang w:val="en-US" w:eastAsia="zh-CN"/>
          <w14:textFill>
            <w14:solidFill>
              <w14:schemeClr w14:val="tx1"/>
            </w14:solidFill>
          </w14:textFill>
        </w:rPr>
        <w:t>管道</w:t>
      </w:r>
      <w:r>
        <w:rPr>
          <w:rFonts w:hint="eastAsia"/>
          <w:color w:val="000000" w:themeColor="text1"/>
          <w:lang w:val="en-US" w:eastAsia="zh-CN"/>
          <w14:textFill>
            <w14:solidFill>
              <w14:schemeClr w14:val="tx1"/>
            </w14:solidFill>
          </w14:textFill>
        </w:rPr>
        <w:t>周边无其他管线交叉。</w:t>
      </w:r>
    </w:p>
    <w:p w14:paraId="19A35345">
      <w:pPr>
        <w:ind w:left="0" w:leftChars="0"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drawing>
          <wp:inline distT="0" distB="0" distL="114300" distR="114300">
            <wp:extent cx="5039995" cy="3780155"/>
            <wp:effectExtent l="0" t="0" r="8255" b="10795"/>
            <wp:docPr id="2" name="图片 2" descr="7393cc2810fd091a6788eb1c71615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393cc2810fd091a6788eb1c716154e"/>
                    <pic:cNvPicPr>
                      <a:picLocks noChangeAspect="1"/>
                    </pic:cNvPicPr>
                  </pic:nvPicPr>
                  <pic:blipFill>
                    <a:blip r:embed="rId12"/>
                    <a:stretch>
                      <a:fillRect/>
                    </a:stretch>
                  </pic:blipFill>
                  <pic:spPr>
                    <a:xfrm>
                      <a:off x="0" y="0"/>
                      <a:ext cx="5039995" cy="3780155"/>
                    </a:xfrm>
                    <a:prstGeom prst="rect">
                      <a:avLst/>
                    </a:prstGeom>
                  </pic:spPr>
                </pic:pic>
              </a:graphicData>
            </a:graphic>
          </wp:inline>
        </w:drawing>
      </w:r>
    </w:p>
    <w:p w14:paraId="5C104518">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a.北侧</w:t>
      </w:r>
    </w:p>
    <w:p w14:paraId="7488B4B3">
      <w:pPr>
        <w:ind w:left="0" w:leftChars="0"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drawing>
          <wp:inline distT="0" distB="0" distL="114300" distR="114300">
            <wp:extent cx="5039995" cy="3780155"/>
            <wp:effectExtent l="0" t="0" r="8255" b="10795"/>
            <wp:docPr id="3" name="图片 3" descr="31feeb9a2ce1073880e5a40f847d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1feeb9a2ce1073880e5a40f847d881"/>
                    <pic:cNvPicPr>
                      <a:picLocks noChangeAspect="1"/>
                    </pic:cNvPicPr>
                  </pic:nvPicPr>
                  <pic:blipFill>
                    <a:blip r:embed="rId13"/>
                    <a:stretch>
                      <a:fillRect/>
                    </a:stretch>
                  </pic:blipFill>
                  <pic:spPr>
                    <a:xfrm>
                      <a:off x="0" y="0"/>
                      <a:ext cx="5039995" cy="3780155"/>
                    </a:xfrm>
                    <a:prstGeom prst="rect">
                      <a:avLst/>
                    </a:prstGeom>
                  </pic:spPr>
                </pic:pic>
              </a:graphicData>
            </a:graphic>
          </wp:inline>
        </w:drawing>
      </w:r>
    </w:p>
    <w:p w14:paraId="7998A00C">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b.西侧</w:t>
      </w:r>
    </w:p>
    <w:p w14:paraId="3A36702A">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5039995" cy="3780155"/>
            <wp:effectExtent l="0" t="0" r="8255" b="10795"/>
            <wp:docPr id="4" name="图片 4" descr="3c253a920547a65b44b9fb056e8ce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c253a920547a65b44b9fb056e8ce6f"/>
                    <pic:cNvPicPr>
                      <a:picLocks noChangeAspect="1"/>
                    </pic:cNvPicPr>
                  </pic:nvPicPr>
                  <pic:blipFill>
                    <a:blip r:embed="rId14"/>
                    <a:stretch>
                      <a:fillRect/>
                    </a:stretch>
                  </pic:blipFill>
                  <pic:spPr>
                    <a:xfrm>
                      <a:off x="0" y="0"/>
                      <a:ext cx="5039995" cy="3780155"/>
                    </a:xfrm>
                    <a:prstGeom prst="rect">
                      <a:avLst/>
                    </a:prstGeom>
                  </pic:spPr>
                </pic:pic>
              </a:graphicData>
            </a:graphic>
          </wp:inline>
        </w:drawing>
      </w:r>
    </w:p>
    <w:p w14:paraId="36536034">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c.南侧</w:t>
      </w:r>
    </w:p>
    <w:p w14:paraId="563FFB51">
      <w:pPr>
        <w:ind w:left="0" w:leftChars="0"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drawing>
          <wp:inline distT="0" distB="0" distL="114300" distR="114300">
            <wp:extent cx="5039995" cy="3780155"/>
            <wp:effectExtent l="0" t="0" r="8255" b="10795"/>
            <wp:docPr id="5" name="图片 5" descr="747e91ba5b75bfb94a78c1c58717e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47e91ba5b75bfb94a78c1c58717e55"/>
                    <pic:cNvPicPr>
                      <a:picLocks noChangeAspect="1"/>
                    </pic:cNvPicPr>
                  </pic:nvPicPr>
                  <pic:blipFill>
                    <a:blip r:embed="rId15"/>
                    <a:stretch>
                      <a:fillRect/>
                    </a:stretch>
                  </pic:blipFill>
                  <pic:spPr>
                    <a:xfrm>
                      <a:off x="0" y="0"/>
                      <a:ext cx="5039995" cy="3780155"/>
                    </a:xfrm>
                    <a:prstGeom prst="rect">
                      <a:avLst/>
                    </a:prstGeom>
                  </pic:spPr>
                </pic:pic>
              </a:graphicData>
            </a:graphic>
          </wp:inline>
        </w:drawing>
      </w:r>
    </w:p>
    <w:p w14:paraId="56529069">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d.东侧</w:t>
      </w:r>
    </w:p>
    <w:p w14:paraId="43C92ECF">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图2-2 周边环境图</w:t>
      </w:r>
    </w:p>
    <w:p w14:paraId="7A4223CC">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5039995" cy="3563620"/>
            <wp:effectExtent l="0" t="0" r="8255" b="17780"/>
            <wp:docPr id="7" name="图片 7" descr="经开区车头路污水管网完善工程地勘及物探)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经开区车头路污水管网完善工程地勘及物探)_00"/>
                    <pic:cNvPicPr>
                      <a:picLocks noChangeAspect="1"/>
                    </pic:cNvPicPr>
                  </pic:nvPicPr>
                  <pic:blipFill>
                    <a:blip r:embed="rId16"/>
                    <a:stretch>
                      <a:fillRect/>
                    </a:stretch>
                  </pic:blipFill>
                  <pic:spPr>
                    <a:xfrm>
                      <a:off x="0" y="0"/>
                      <a:ext cx="5039995" cy="3563620"/>
                    </a:xfrm>
                    <a:prstGeom prst="rect">
                      <a:avLst/>
                    </a:prstGeom>
                  </pic:spPr>
                </pic:pic>
              </a:graphicData>
            </a:graphic>
          </wp:inline>
        </w:drawing>
      </w:r>
    </w:p>
    <w:p w14:paraId="6CD18D14">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图2-3 周边管线图</w:t>
      </w:r>
    </w:p>
    <w:p w14:paraId="5CC05396">
      <w:pPr>
        <w:bidi w:val="0"/>
        <w:rPr>
          <w:rFonts w:hint="default"/>
          <w:color w:val="000000" w:themeColor="text1"/>
          <w:lang w:val="en-US" w:eastAsia="zh-CN"/>
          <w14:textFill>
            <w14:solidFill>
              <w14:schemeClr w14:val="tx1"/>
            </w14:solidFill>
          </w14:textFill>
        </w:rPr>
      </w:pPr>
    </w:p>
    <w:p w14:paraId="1915F01C">
      <w:pPr>
        <w:pStyle w:val="4"/>
        <w:bidi w:val="0"/>
        <w:rPr>
          <w:rFonts w:hint="eastAsia"/>
          <w:color w:val="000000" w:themeColor="text1"/>
          <w:lang w:val="en-US" w:eastAsia="zh-CN"/>
          <w14:textFill>
            <w14:solidFill>
              <w14:schemeClr w14:val="tx1"/>
            </w14:solidFill>
          </w14:textFill>
        </w:rPr>
      </w:pPr>
      <w:bookmarkStart w:id="43" w:name="_Toc24635"/>
      <w:r>
        <w:rPr>
          <w:rFonts w:hint="eastAsia"/>
          <w:color w:val="000000" w:themeColor="text1"/>
          <w:lang w:val="en-US" w:eastAsia="zh-CN"/>
          <w14:textFill>
            <w14:solidFill>
              <w14:schemeClr w14:val="tx1"/>
            </w14:solidFill>
          </w14:textFill>
        </w:rPr>
        <w:t>2.2.2 地质概况</w:t>
      </w:r>
      <w:bookmarkEnd w:id="43"/>
    </w:p>
    <w:p w14:paraId="2BBAFA1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以下资料节选自《经开区污水管网完善工程地质勘察报告》（江西核工业工程地质勘察院有限公司，2022年4月）。</w:t>
      </w:r>
    </w:p>
    <w:p w14:paraId="4F50BC0C">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 车头路</w:t>
      </w:r>
      <w:r>
        <w:rPr>
          <w:rFonts w:hint="default"/>
          <w:color w:val="000000" w:themeColor="text1"/>
          <w:lang w:val="en-US" w:eastAsia="zh-CN"/>
          <w14:textFill>
            <w14:solidFill>
              <w14:schemeClr w14:val="tx1"/>
            </w14:solidFill>
          </w14:textFill>
        </w:rPr>
        <w:t>工程地质条件</w:t>
      </w:r>
    </w:p>
    <w:p w14:paraId="1C515F62">
      <w:pPr>
        <w:bidi w:val="0"/>
        <w:rPr>
          <w:rFonts w:hint="eastAsia" w:ascii="宋体" w:hAnsi="宋体" w:eastAsia="宋体" w:cs="宋体"/>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（1）区</w:t>
      </w:r>
      <w:r>
        <w:rPr>
          <w:rFonts w:hint="eastAsia" w:ascii="宋体" w:hAnsi="宋体" w:eastAsia="宋体" w:cs="宋体"/>
          <w:color w:val="000000" w:themeColor="text1"/>
          <w:lang w:val="en-US" w:eastAsia="zh-CN"/>
          <w14:textFill>
            <w14:solidFill>
              <w14:schemeClr w14:val="tx1"/>
            </w14:solidFill>
          </w14:textFill>
        </w:rPr>
        <w:t>域构造</w:t>
      </w:r>
    </w:p>
    <w:p w14:paraId="3C69342C">
      <w:pPr>
        <w:bidi w:val="0"/>
        <w:rPr>
          <w:rFonts w:hint="default" w:ascii="宋体" w:hAnsi="宋体" w:eastAsia="宋体" w:cs="宋体"/>
          <w:color w:val="000000" w:themeColor="text1"/>
          <w:lang w:val="en-US" w:eastAsia="zh-CN"/>
          <w14:textFill>
            <w14:solidFill>
              <w14:schemeClr w14:val="tx1"/>
            </w14:solidFill>
          </w14:textFill>
        </w:rPr>
      </w:pPr>
      <w:r>
        <w:rPr>
          <w:rFonts w:hint="default" w:ascii="宋体" w:hAnsi="宋体" w:eastAsia="宋体" w:cs="宋体"/>
          <w:color w:val="000000" w:themeColor="text1"/>
          <w:lang w:val="en-US" w:eastAsia="zh-CN"/>
          <w14:textFill>
            <w14:solidFill>
              <w14:schemeClr w14:val="tx1"/>
            </w14:solidFill>
          </w14:textFill>
        </w:rPr>
        <w:t>拟建场区处于华南褶皱系赣中南褶隆赣西南（赣州</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default" w:ascii="宋体" w:hAnsi="宋体" w:eastAsia="宋体" w:cs="宋体"/>
          <w:color w:val="000000" w:themeColor="text1"/>
          <w:lang w:val="en-US" w:eastAsia="zh-CN"/>
          <w14:textFill>
            <w14:solidFill>
              <w14:schemeClr w14:val="tx1"/>
            </w14:solidFill>
          </w14:textFill>
        </w:rPr>
        <w:t>吉安</w:t>
      </w:r>
      <w:r>
        <w:rPr>
          <w:rFonts w:hint="eastAsia" w:ascii="宋体" w:hAnsi="宋体" w:eastAsia="宋体" w:cs="宋体"/>
          <w:color w:val="000000" w:themeColor="text1"/>
          <w:lang w:val="en-US" w:eastAsia="zh-CN"/>
          <w14:textFill>
            <w14:solidFill>
              <w14:schemeClr w14:val="tx1"/>
            </w14:solidFill>
          </w14:textFill>
        </w:rPr>
        <w:t>）</w:t>
      </w:r>
      <w:r>
        <w:rPr>
          <w:rFonts w:hint="default" w:ascii="宋体" w:hAnsi="宋体" w:eastAsia="宋体" w:cs="宋体"/>
          <w:color w:val="000000" w:themeColor="text1"/>
          <w:lang w:val="en-US" w:eastAsia="zh-CN"/>
          <w14:textFill>
            <w14:solidFill>
              <w14:schemeClr w14:val="tx1"/>
            </w14:solidFill>
          </w14:textFill>
        </w:rPr>
        <w:t>拗陷隆大湖山</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hint="default" w:ascii="宋体" w:hAnsi="宋体" w:eastAsia="宋体" w:cs="宋体"/>
          <w:color w:val="000000" w:themeColor="text1"/>
          <w:lang w:val="en-US" w:eastAsia="zh-CN"/>
          <w14:textFill>
            <w14:solidFill>
              <w14:schemeClr w14:val="tx1"/>
            </w14:solidFill>
          </w14:textFill>
        </w:rPr>
        <w:t>芙蓉山隆断束</w:t>
      </w:r>
      <w:r>
        <w:rPr>
          <w:rFonts w:hint="eastAsia" w:ascii="宋体" w:hAnsi="宋体" w:eastAsia="宋体" w:cs="宋体"/>
          <w:color w:val="000000" w:themeColor="text1"/>
          <w:lang w:val="en-US" w:eastAsia="zh-CN"/>
          <w14:textFill>
            <w14:solidFill>
              <w14:schemeClr w14:val="tx1"/>
            </w14:solidFill>
          </w14:textFill>
        </w:rPr>
        <w:t>；</w:t>
      </w:r>
      <w:r>
        <w:rPr>
          <w:rFonts w:hint="default" w:ascii="宋体" w:hAnsi="宋体" w:eastAsia="宋体" w:cs="宋体"/>
          <w:color w:val="000000" w:themeColor="text1"/>
          <w:lang w:val="en-US" w:eastAsia="zh-CN"/>
          <w14:textFill>
            <w14:solidFill>
              <w14:schemeClr w14:val="tx1"/>
            </w14:solidFill>
          </w14:textFill>
        </w:rPr>
        <w:t>厚度大，分布稳定</w:t>
      </w:r>
      <w:r>
        <w:rPr>
          <w:rFonts w:hint="eastAsia" w:ascii="宋体" w:hAnsi="宋体" w:eastAsia="宋体" w:cs="宋体"/>
          <w:color w:val="000000" w:themeColor="text1"/>
          <w:lang w:val="en-US" w:eastAsia="zh-CN"/>
          <w14:textFill>
            <w14:solidFill>
              <w14:schemeClr w14:val="tx1"/>
            </w14:solidFill>
          </w14:textFill>
        </w:rPr>
        <w:t>；</w:t>
      </w:r>
      <w:r>
        <w:rPr>
          <w:rFonts w:hint="default" w:ascii="宋体" w:hAnsi="宋体" w:eastAsia="宋体" w:cs="宋体"/>
          <w:color w:val="000000" w:themeColor="text1"/>
          <w:lang w:val="en-US" w:eastAsia="zh-CN"/>
          <w14:textFill>
            <w14:solidFill>
              <w14:schemeClr w14:val="tx1"/>
            </w14:solidFill>
          </w14:textFill>
        </w:rPr>
        <w:t>地质构造表现为不规则向斜盖层构造，场区附近无活动性深大断层，区域地质构造工作基本稳定。</w:t>
      </w:r>
    </w:p>
    <w:p w14:paraId="322CF115">
      <w:pPr>
        <w:bidi w:val="0"/>
        <w:rPr>
          <w:rFonts w:hint="default" w:ascii="宋体" w:hAnsi="宋体" w:eastAsia="宋体" w:cs="宋体"/>
          <w:color w:val="000000" w:themeColor="text1"/>
          <w:lang w:val="en-US" w:eastAsia="zh-CN"/>
          <w14:textFill>
            <w14:solidFill>
              <w14:schemeClr w14:val="tx1"/>
            </w14:solidFill>
          </w14:textFill>
        </w:rPr>
      </w:pPr>
      <w:r>
        <w:rPr>
          <w:rFonts w:hint="default" w:ascii="宋体" w:hAnsi="宋体" w:eastAsia="宋体" w:cs="宋体"/>
          <w:color w:val="000000" w:themeColor="text1"/>
          <w:lang w:val="en-US" w:eastAsia="zh-CN"/>
          <w14:textFill>
            <w14:solidFill>
              <w14:schemeClr w14:val="tx1"/>
            </w14:solidFill>
          </w14:textFill>
        </w:rPr>
        <w:t>根据区域地质资料结合现场地质调绘，该地形总体起伏较大，无明显隆起或塌陷，未发现大型地质构造痕迹，钻探也未揭露断层、褶皱等地质构造，场地未揭露到对工程建设有影响的地质构造运动。中生代以来是一个较稳定的隆起区。新构造以间歇性上升运动为主，其幅度小，没有形成明显的新构造断裂。</w:t>
      </w:r>
    </w:p>
    <w:p w14:paraId="7660E54E">
      <w:pPr>
        <w:bidi w:val="0"/>
        <w:rPr>
          <w:rFonts w:hint="default" w:ascii="宋体" w:hAnsi="宋体" w:eastAsia="宋体" w:cs="宋体"/>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（2）</w:t>
      </w:r>
      <w:r>
        <w:rPr>
          <w:rFonts w:hint="default" w:ascii="Times New Roman" w:hAnsi="Times New Roman" w:eastAsia="宋体" w:cs="Times New Roman"/>
          <w:color w:val="000000" w:themeColor="text1"/>
          <w:lang w:val="en-US" w:eastAsia="zh-CN"/>
          <w14:textFill>
            <w14:solidFill>
              <w14:schemeClr w14:val="tx1"/>
            </w14:solidFill>
          </w14:textFill>
        </w:rPr>
        <w:t>沿</w:t>
      </w:r>
      <w:r>
        <w:rPr>
          <w:rFonts w:hint="default" w:ascii="宋体" w:hAnsi="宋体" w:eastAsia="宋体" w:cs="宋体"/>
          <w:color w:val="000000" w:themeColor="text1"/>
          <w:lang w:val="en-US" w:eastAsia="zh-CN"/>
          <w14:textFill>
            <w14:solidFill>
              <w14:schemeClr w14:val="tx1"/>
            </w14:solidFill>
          </w14:textFill>
        </w:rPr>
        <w:t>线地形地貌</w:t>
      </w:r>
    </w:p>
    <w:p w14:paraId="4E2AC54C">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拟线路地处赣抚冲积平原区，场地较平坦，略有起伏，勘察期间测得勘探点孔口高程介于</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103.59～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114.29m之间，各个管道区域高差0.55～2.73m。场地内无水沟、水池等。</w:t>
      </w:r>
    </w:p>
    <w:p w14:paraId="778C69AE">
      <w:pPr>
        <w:bidi w:val="0"/>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lang w:val="en-US" w:eastAsia="zh-CN"/>
          <w14:textFill>
            <w14:solidFill>
              <w14:schemeClr w14:val="tx1"/>
            </w14:solidFill>
          </w14:textFill>
        </w:rPr>
        <w:t>地</w:t>
      </w:r>
      <w:r>
        <w:rPr>
          <w:rFonts w:hint="default"/>
          <w:color w:val="000000" w:themeColor="text1"/>
          <w:lang w:val="en-US" w:eastAsia="zh-CN"/>
          <w14:textFill>
            <w14:solidFill>
              <w14:schemeClr w14:val="tx1"/>
            </w14:solidFill>
          </w14:textFill>
        </w:rPr>
        <w:t>层岩性特征</w:t>
      </w:r>
    </w:p>
    <w:p w14:paraId="2E14CEA8">
      <w:pPr>
        <w:bidi w:val="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本次勘察揭露地层最大深度为20m，按照地层沉积年代、成因类型、地层岩性及其物理力学性质，地层共划分为</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个大层，具体各土层岩性及分布特征概述如下</w:t>
      </w:r>
      <w:r>
        <w:rPr>
          <w:rFonts w:hint="eastAsia"/>
          <w:color w:val="000000" w:themeColor="text1"/>
          <w:lang w:val="en-US" w:eastAsia="zh-CN"/>
          <w14:textFill>
            <w14:solidFill>
              <w14:schemeClr w14:val="tx1"/>
            </w14:solidFill>
          </w14:textFill>
        </w:rPr>
        <w:t>：</w:t>
      </w:r>
    </w:p>
    <w:p w14:paraId="39F24CF4">
      <w:pPr>
        <w:bidi w:val="0"/>
        <w:rPr>
          <w:rFonts w:hint="default"/>
          <w:b/>
          <w:bCs/>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t>第四系全新统人工杂填土（Q</w:t>
      </w:r>
      <w:r>
        <w:rPr>
          <w:rFonts w:hint="default"/>
          <w:b/>
          <w:bCs/>
          <w:color w:val="000000" w:themeColor="text1"/>
          <w:vertAlign w:val="subscript"/>
          <w:lang w:val="en-US" w:eastAsia="zh-CN"/>
          <w14:textFill>
            <w14:solidFill>
              <w14:schemeClr w14:val="tx1"/>
            </w14:solidFill>
          </w14:textFill>
        </w:rPr>
        <w:t>4</w:t>
      </w:r>
      <w:r>
        <w:rPr>
          <w:rFonts w:hint="default"/>
          <w:b/>
          <w:bCs/>
          <w:color w:val="000000" w:themeColor="text1"/>
          <w:vertAlign w:val="superscript"/>
          <w:lang w:val="en-US" w:eastAsia="zh-CN"/>
          <w14:textFill>
            <w14:solidFill>
              <w14:schemeClr w14:val="tx1"/>
            </w14:solidFill>
          </w14:textFill>
        </w:rPr>
        <w:t>ml</w:t>
      </w:r>
      <w:r>
        <w:rPr>
          <w:rFonts w:hint="default"/>
          <w:b/>
          <w:bCs/>
          <w:color w:val="000000" w:themeColor="text1"/>
          <w:lang w:val="en-US" w:eastAsia="zh-CN"/>
          <w14:textFill>
            <w14:solidFill>
              <w14:schemeClr w14:val="tx1"/>
            </w14:solidFill>
          </w14:textFill>
        </w:rPr>
        <w:t>）</w:t>
      </w:r>
    </w:p>
    <w:p w14:paraId="625912FD">
      <w:pPr>
        <w:bidi w:val="0"/>
        <w:rPr>
          <w:rFonts w:hint="default"/>
          <w:b w:val="0"/>
          <w:bCs w:val="0"/>
          <w:color w:val="000000" w:themeColor="text1"/>
          <w:lang w:val="en-US" w:eastAsia="zh-CN"/>
          <w14:textFill>
            <w14:solidFill>
              <w14:schemeClr w14:val="tx1"/>
            </w14:solidFill>
          </w14:textFill>
        </w:rPr>
      </w:pPr>
      <w:r>
        <w:rPr>
          <w:rFonts w:hint="default"/>
          <w:b w:val="0"/>
          <w:bCs w:val="0"/>
          <w:color w:val="000000" w:themeColor="text1"/>
          <w:lang w:val="en-US" w:eastAsia="zh-CN"/>
          <w14:textFill>
            <w14:solidFill>
              <w14:schemeClr w14:val="tx1"/>
            </w14:solidFill>
          </w14:textFill>
        </w:rPr>
        <w:t>①杂填土层：杂色，松散，稍湿～饱和，主要由粘性土、碎石组成，局部含有建筑垃圾，为近期堆填，堆填年限少于五年。动探击数3～4击，平均击数3.5击；</w:t>
      </w:r>
    </w:p>
    <w:p w14:paraId="3B77FD21">
      <w:pPr>
        <w:bidi w:val="0"/>
        <w:rPr>
          <w:rFonts w:hint="default"/>
          <w:b w:val="0"/>
          <w:bCs w:val="0"/>
          <w:color w:val="000000" w:themeColor="text1"/>
          <w:lang w:val="en-US" w:eastAsia="zh-CN"/>
          <w14:textFill>
            <w14:solidFill>
              <w14:schemeClr w14:val="tx1"/>
            </w14:solidFill>
          </w14:textFill>
        </w:rPr>
      </w:pPr>
      <w:r>
        <w:rPr>
          <w:rFonts w:hint="default"/>
          <w:b w:val="0"/>
          <w:bCs w:val="0"/>
          <w:color w:val="000000" w:themeColor="text1"/>
          <w:lang w:val="en-US" w:eastAsia="zh-CN"/>
          <w14:textFill>
            <w14:solidFill>
              <w14:schemeClr w14:val="tx1"/>
            </w14:solidFill>
          </w14:textFill>
        </w:rPr>
        <w:t>该层全场分布，层厚0.60～2.60m，层顶高程</w:t>
      </w:r>
      <w:r>
        <w:rPr>
          <w:rFonts w:hint="eastAsia"/>
          <w:b w:val="0"/>
          <w:bCs w:val="0"/>
          <w:color w:val="000000" w:themeColor="text1"/>
          <w:lang w:val="en-US" w:eastAsia="zh-CN"/>
          <w14:textFill>
            <w14:solidFill>
              <w14:schemeClr w14:val="tx1"/>
            </w14:solidFill>
          </w14:textFill>
        </w:rPr>
        <w:t>+</w:t>
      </w:r>
      <w:r>
        <w:rPr>
          <w:rFonts w:hint="default"/>
          <w:b w:val="0"/>
          <w:bCs w:val="0"/>
          <w:color w:val="000000" w:themeColor="text1"/>
          <w:lang w:val="en-US" w:eastAsia="zh-CN"/>
          <w14:textFill>
            <w14:solidFill>
              <w14:schemeClr w14:val="tx1"/>
            </w14:solidFill>
          </w14:textFill>
        </w:rPr>
        <w:t>106.29～</w:t>
      </w:r>
      <w:r>
        <w:rPr>
          <w:rFonts w:hint="eastAsia"/>
          <w:b w:val="0"/>
          <w:bCs w:val="0"/>
          <w:color w:val="000000" w:themeColor="text1"/>
          <w:lang w:val="en-US" w:eastAsia="zh-CN"/>
          <w14:textFill>
            <w14:solidFill>
              <w14:schemeClr w14:val="tx1"/>
            </w14:solidFill>
          </w14:textFill>
        </w:rPr>
        <w:t>+</w:t>
      </w:r>
      <w:r>
        <w:rPr>
          <w:rFonts w:hint="default"/>
          <w:b w:val="0"/>
          <w:bCs w:val="0"/>
          <w:color w:val="000000" w:themeColor="text1"/>
          <w:lang w:val="en-US" w:eastAsia="zh-CN"/>
          <w14:textFill>
            <w14:solidFill>
              <w14:schemeClr w14:val="tx1"/>
            </w14:solidFill>
          </w14:textFill>
        </w:rPr>
        <w:t>143.12m，层底高程</w:t>
      </w:r>
      <w:r>
        <w:rPr>
          <w:rFonts w:hint="eastAsia"/>
          <w:b w:val="0"/>
          <w:bCs w:val="0"/>
          <w:color w:val="000000" w:themeColor="text1"/>
          <w:lang w:val="en-US" w:eastAsia="zh-CN"/>
          <w14:textFill>
            <w14:solidFill>
              <w14:schemeClr w14:val="tx1"/>
            </w14:solidFill>
          </w14:textFill>
        </w:rPr>
        <w:t>+</w:t>
      </w:r>
      <w:r>
        <w:rPr>
          <w:rFonts w:hint="default"/>
          <w:b w:val="0"/>
          <w:bCs w:val="0"/>
          <w:color w:val="000000" w:themeColor="text1"/>
          <w:lang w:val="en-US" w:eastAsia="zh-CN"/>
          <w14:textFill>
            <w14:solidFill>
              <w14:schemeClr w14:val="tx1"/>
            </w14:solidFill>
          </w14:textFill>
        </w:rPr>
        <w:t>104.79～</w:t>
      </w:r>
      <w:r>
        <w:rPr>
          <w:rFonts w:hint="eastAsia"/>
          <w:b w:val="0"/>
          <w:bCs w:val="0"/>
          <w:color w:val="000000" w:themeColor="text1"/>
          <w:lang w:val="en-US" w:eastAsia="zh-CN"/>
          <w14:textFill>
            <w14:solidFill>
              <w14:schemeClr w14:val="tx1"/>
            </w14:solidFill>
          </w14:textFill>
        </w:rPr>
        <w:t>+</w:t>
      </w:r>
      <w:r>
        <w:rPr>
          <w:rFonts w:hint="default"/>
          <w:b w:val="0"/>
          <w:bCs w:val="0"/>
          <w:color w:val="000000" w:themeColor="text1"/>
          <w:lang w:val="en-US" w:eastAsia="zh-CN"/>
          <w14:textFill>
            <w14:solidFill>
              <w14:schemeClr w14:val="tx1"/>
            </w14:solidFill>
          </w14:textFill>
        </w:rPr>
        <w:t>142.52m，层顶埋深0.00～0.00m。</w:t>
      </w:r>
    </w:p>
    <w:p w14:paraId="21EF378D">
      <w:pPr>
        <w:bidi w:val="0"/>
        <w:rPr>
          <w:rFonts w:hint="default"/>
          <w:b/>
          <w:bCs/>
          <w:color w:val="000000" w:themeColor="text1"/>
          <w:vertAlign w:val="subscript"/>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t>全新统Q</w:t>
      </w:r>
      <w:r>
        <w:rPr>
          <w:rFonts w:hint="default"/>
          <w:b/>
          <w:bCs/>
          <w:color w:val="000000" w:themeColor="text1"/>
          <w:vertAlign w:val="subscript"/>
          <w:lang w:val="en-US" w:eastAsia="zh-CN"/>
          <w14:textFill>
            <w14:solidFill>
              <w14:schemeClr w14:val="tx1"/>
            </w14:solidFill>
          </w14:textFill>
        </w:rPr>
        <w:t>4</w:t>
      </w:r>
    </w:p>
    <w:p w14:paraId="2320C597">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②粘土（Q</w:t>
      </w:r>
      <w:r>
        <w:rPr>
          <w:rFonts w:hint="default"/>
          <w:color w:val="000000" w:themeColor="text1"/>
          <w:vertAlign w:val="subscript"/>
          <w:lang w:val="en-US" w:eastAsia="zh-CN"/>
          <w14:textFill>
            <w14:solidFill>
              <w14:schemeClr w14:val="tx1"/>
            </w14:solidFill>
          </w14:textFill>
        </w:rPr>
        <w:t>4</w:t>
      </w:r>
      <w:r>
        <w:rPr>
          <w:rFonts w:hint="default"/>
          <w:color w:val="000000" w:themeColor="text1"/>
          <w:vertAlign w:val="superscript"/>
          <w:lang w:val="en-US" w:eastAsia="zh-CN"/>
          <w14:textFill>
            <w14:solidFill>
              <w14:schemeClr w14:val="tx1"/>
            </w14:solidFill>
          </w14:textFill>
        </w:rPr>
        <w:t>al</w:t>
      </w:r>
      <w:r>
        <w:rPr>
          <w:rFonts w:hint="default"/>
          <w:color w:val="000000" w:themeColor="text1"/>
          <w:lang w:val="en-US" w:eastAsia="zh-CN"/>
          <w14:textFill>
            <w14:solidFill>
              <w14:schemeClr w14:val="tx1"/>
            </w14:solidFill>
          </w14:textFill>
        </w:rPr>
        <w:t>）：灰褐-黄褐色，可塑，稍有光泽，韧性中等，干强度中等，无摇震反应。压缩模量Es＝3.5～6.3MPa，中等压缩性。标贯击数11～14击，平均击数12击；</w:t>
      </w:r>
    </w:p>
    <w:p w14:paraId="2396FEC6">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该层全场分布，层厚0.70～2.4m，层顶高程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104.79～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142.52m，层底高程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103.49～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141.52m，层顶埋深0.60～2.60m。</w:t>
      </w:r>
    </w:p>
    <w:p w14:paraId="77B0582F">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③强风化泥质砂岩（K</w:t>
      </w:r>
      <w:r>
        <w:rPr>
          <w:rFonts w:hint="default"/>
          <w:color w:val="000000" w:themeColor="text1"/>
          <w:vertAlign w:val="subscript"/>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）：紫红-红棕色，泥质结构，中厚层构造，风化节理裂隙发育，岩芯表面粗糙，呈碎裂、散体块状，局部短柱状，锤击易散。岩体破碎，属极软岩，岩体质量等级为</w:t>
      </w:r>
      <w:r>
        <w:rPr>
          <w:rFonts w:hint="eastAsia" w:ascii="宋体" w:hAnsi="宋体" w:eastAsia="宋体" w:cs="宋体"/>
          <w:color w:val="000000" w:themeColor="text1"/>
          <w:lang w:val="en-US" w:eastAsia="zh-CN"/>
          <w14:textFill>
            <w14:solidFill>
              <w14:schemeClr w14:val="tx1"/>
            </w14:solidFill>
          </w14:textFill>
        </w:rPr>
        <w:t>Ⅴ</w:t>
      </w:r>
      <w:r>
        <w:rPr>
          <w:rFonts w:hint="default"/>
          <w:color w:val="000000" w:themeColor="text1"/>
          <w:lang w:val="en-US" w:eastAsia="zh-CN"/>
          <w14:textFill>
            <w14:solidFill>
              <w14:schemeClr w14:val="tx1"/>
            </w14:solidFill>
          </w14:textFill>
        </w:rPr>
        <w:t>级，未见洞穴、临空面、破碎带、软弱夹层。</w:t>
      </w:r>
    </w:p>
    <w:p w14:paraId="36A6D70C">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该层全场分布，层厚1.30～5.40m，层顶高程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103.49～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141.52m，层底高程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99.29～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136.62m，层顶埋深1.50～4.70m。</w:t>
      </w:r>
    </w:p>
    <w:p w14:paraId="3CBA419D">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④中风化泥质砂岩（K</w:t>
      </w:r>
      <w:r>
        <w:rPr>
          <w:rFonts w:hint="default"/>
          <w:color w:val="000000" w:themeColor="text1"/>
          <w:vertAlign w:val="subscript"/>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）：紫红-红棕色，泥质结构，中厚层构造，风化节理裂隙较发育，岩芯较完整多呈长柱状，少量短柱状或块状。岩体较完整，TCR约为90%~92%，RQD约为82%~86%，属软岩，岩体质量等级为</w:t>
      </w:r>
      <w:r>
        <w:rPr>
          <w:rFonts w:hint="eastAsia" w:ascii="宋体" w:hAnsi="宋体" w:eastAsia="宋体" w:cs="宋体"/>
          <w:color w:val="000000" w:themeColor="text1"/>
          <w:lang w:val="en-US" w:eastAsia="zh-CN"/>
          <w14:textFill>
            <w14:solidFill>
              <w14:schemeClr w14:val="tx1"/>
            </w14:solidFill>
          </w14:textFill>
        </w:rPr>
        <w:t>IV</w:t>
      </w:r>
      <w:r>
        <w:rPr>
          <w:rFonts w:hint="default"/>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V</w:t>
      </w:r>
      <w:r>
        <w:rPr>
          <w:rFonts w:hint="default"/>
          <w:color w:val="000000" w:themeColor="text1"/>
          <w:lang w:val="en-US" w:eastAsia="zh-CN"/>
          <w14:textFill>
            <w14:solidFill>
              <w14:schemeClr w14:val="tx1"/>
            </w14:solidFill>
          </w14:textFill>
        </w:rPr>
        <w:t>级，未见洞穴、临空面、破碎带、软弱夹层。单轴饱和抗压强度为5.95~8.07MPa。</w:t>
      </w:r>
    </w:p>
    <w:p w14:paraId="313269DF">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该层全场分布，揭露厚度0.50～6.30m，层顶高程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99.29～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136.62m，层底高程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96.29～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133.82m，层顶埋深3.70～8.80m。</w:t>
      </w:r>
    </w:p>
    <w:p w14:paraId="4E4A9994">
      <w:pPr>
        <w:numPr>
          <w:ilvl w:val="0"/>
          <w:numId w:val="3"/>
        </w:num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土的腐蚀性评价</w:t>
      </w:r>
    </w:p>
    <w:p w14:paraId="2CBD92FA">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本次勘察共采取地下水位以上的2组土样（地下水位以上）进行了土的易溶盐分析试验。根据试验结果，依据行业标准《公路工程地质勘察规范》（JTGC20-2011）相关条款判断：环境类型属于</w:t>
      </w:r>
      <w:r>
        <w:rPr>
          <w:rFonts w:hint="eastAsia" w:ascii="宋体" w:hAnsi="宋体" w:eastAsia="宋体" w:cs="宋体"/>
          <w:color w:val="000000" w:themeColor="text1"/>
          <w:lang w:val="en-US" w:eastAsia="zh-CN"/>
          <w14:textFill>
            <w14:solidFill>
              <w14:schemeClr w14:val="tx1"/>
            </w14:solidFill>
          </w14:textFill>
        </w:rPr>
        <w:t>Ⅱ</w:t>
      </w:r>
      <w:r>
        <w:rPr>
          <w:rFonts w:hint="default"/>
          <w:color w:val="000000" w:themeColor="text1"/>
          <w:lang w:val="en-US" w:eastAsia="zh-CN"/>
          <w14:textFill>
            <w14:solidFill>
              <w14:schemeClr w14:val="tx1"/>
            </w14:solidFill>
          </w14:textFill>
        </w:rPr>
        <w:t>类，本场地浅部土层对混凝土结构具微腐蚀性，对钢筋混凝土结构中的钢筋具微腐蚀性。具体分析及结果见表</w:t>
      </w:r>
      <w:r>
        <w:rPr>
          <w:rFonts w:hint="eastAsia"/>
          <w:color w:val="000000" w:themeColor="text1"/>
          <w:lang w:val="en-US" w:eastAsia="zh-CN"/>
          <w14:textFill>
            <w14:solidFill>
              <w14:schemeClr w14:val="tx1"/>
            </w14:solidFill>
          </w14:textFill>
        </w:rPr>
        <w:t>2-1</w:t>
      </w:r>
      <w:r>
        <w:rPr>
          <w:rFonts w:hint="default"/>
          <w:color w:val="000000" w:themeColor="text1"/>
          <w:lang w:val="en-US" w:eastAsia="zh-CN"/>
          <w14:textFill>
            <w14:solidFill>
              <w14:schemeClr w14:val="tx1"/>
            </w14:solidFill>
          </w14:textFill>
        </w:rPr>
        <w:t>：</w:t>
      </w:r>
    </w:p>
    <w:p w14:paraId="71059CBC">
      <w:pPr>
        <w:bidi w:val="0"/>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表2-1 土的腐蚀性评价表</w:t>
      </w:r>
    </w:p>
    <w:tbl>
      <w:tblPr>
        <w:tblStyle w:val="31"/>
        <w:tblW w:w="940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2"/>
        <w:gridCol w:w="1289"/>
        <w:gridCol w:w="865"/>
        <w:gridCol w:w="1055"/>
        <w:gridCol w:w="749"/>
        <w:gridCol w:w="794"/>
        <w:gridCol w:w="794"/>
        <w:gridCol w:w="751"/>
        <w:gridCol w:w="751"/>
        <w:gridCol w:w="668"/>
        <w:gridCol w:w="1082"/>
      </w:tblGrid>
      <w:tr w14:paraId="7E5299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3" w:hRule="atLeast"/>
          <w:jc w:val="center"/>
        </w:trPr>
        <w:tc>
          <w:tcPr>
            <w:tcW w:w="602" w:type="dxa"/>
            <w:vMerge w:val="restart"/>
            <w:tcBorders>
              <w:left w:val="nil"/>
              <w:bottom w:val="nil"/>
            </w:tcBorders>
            <w:textDirection w:val="tbRlV"/>
            <w:vAlign w:val="center"/>
          </w:tcPr>
          <w:p w14:paraId="41F9189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层</w:t>
            </w:r>
            <w:r>
              <w:rPr>
                <w:rFonts w:hint="default" w:ascii="Times New Roman" w:hAnsi="Times New Roman" w:eastAsia="宋体" w:cs="Times New Roman"/>
                <w:b w:val="0"/>
                <w:bCs w:val="0"/>
                <w:snapToGrid w:val="0"/>
                <w:color w:val="000000" w:themeColor="text1"/>
                <w:spacing w:val="-48"/>
                <w:kern w:val="0"/>
                <w:sz w:val="21"/>
                <w:szCs w:val="21"/>
                <w:lang w:val="en-US" w:eastAsia="en-US" w:bidi="ar-SA"/>
                <w14:textFill>
                  <w14:solidFill>
                    <w14:schemeClr w14:val="tx1"/>
                  </w14:solidFill>
                </w14:textFill>
              </w:rPr>
              <w:t xml:space="preserve"> </w:t>
            </w: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号</w:t>
            </w:r>
          </w:p>
        </w:tc>
        <w:tc>
          <w:tcPr>
            <w:tcW w:w="1289" w:type="dxa"/>
            <w:vMerge w:val="restart"/>
            <w:tcBorders>
              <w:bottom w:val="nil"/>
            </w:tcBorders>
            <w:vAlign w:val="center"/>
          </w:tcPr>
          <w:p w14:paraId="15924E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岩性名称</w:t>
            </w:r>
          </w:p>
        </w:tc>
        <w:tc>
          <w:tcPr>
            <w:tcW w:w="865" w:type="dxa"/>
            <w:vMerge w:val="restart"/>
            <w:tcBorders>
              <w:bottom w:val="nil"/>
            </w:tcBorders>
            <w:vAlign w:val="center"/>
          </w:tcPr>
          <w:p w14:paraId="67C650B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8"/>
                <w:kern w:val="0"/>
                <w:sz w:val="21"/>
                <w:szCs w:val="21"/>
                <w:lang w:val="en-US" w:eastAsia="en-US" w:bidi="ar-SA"/>
                <w14:textFill>
                  <w14:solidFill>
                    <w14:schemeClr w14:val="tx1"/>
                  </w14:solidFill>
                </w14:textFill>
              </w:rPr>
              <w:t>钻孔</w:t>
            </w:r>
            <w:r>
              <w:rPr>
                <w:rFonts w:hint="default" w:ascii="Times New Roman" w:hAnsi="Times New Roman" w:eastAsia="宋体" w:cs="Times New Roman"/>
                <w:b w:val="0"/>
                <w:bCs w:val="0"/>
                <w:snapToGrid w:val="0"/>
                <w:color w:val="000000" w:themeColor="text1"/>
                <w:spacing w:val="-9"/>
                <w:kern w:val="0"/>
                <w:sz w:val="21"/>
                <w:szCs w:val="21"/>
                <w:lang w:val="en-US" w:eastAsia="en-US" w:bidi="ar-SA"/>
                <w14:textFill>
                  <w14:solidFill>
                    <w14:schemeClr w14:val="tx1"/>
                  </w14:solidFill>
                </w14:textFill>
              </w:rPr>
              <w:t>编号</w:t>
            </w:r>
          </w:p>
        </w:tc>
        <w:tc>
          <w:tcPr>
            <w:tcW w:w="1055" w:type="dxa"/>
            <w:vMerge w:val="restart"/>
            <w:tcBorders>
              <w:bottom w:val="nil"/>
            </w:tcBorders>
            <w:vAlign w:val="center"/>
          </w:tcPr>
          <w:p w14:paraId="6221A16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7"/>
                <w:kern w:val="0"/>
                <w:sz w:val="21"/>
                <w:szCs w:val="21"/>
                <w:lang w:val="en-US" w:eastAsia="en-US" w:bidi="ar-SA"/>
                <w14:textFill>
                  <w14:solidFill>
                    <w14:schemeClr w14:val="tx1"/>
                  </w14:solidFill>
                </w14:textFill>
              </w:rPr>
              <w:t>取样深</w:t>
            </w: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度</w:t>
            </w:r>
          </w:p>
          <w:p w14:paraId="22D026A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b w:val="0"/>
                <w:bCs w:val="0"/>
                <w:snapToGrid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snapToGrid w:val="0"/>
                <w:color w:val="000000" w:themeColor="text1"/>
                <w:spacing w:val="-5"/>
                <w:kern w:val="0"/>
                <w:sz w:val="21"/>
                <w:szCs w:val="21"/>
                <w:lang w:val="en-US" w:eastAsia="zh-CN" w:bidi="ar-SA"/>
                <w14:textFill>
                  <w14:solidFill>
                    <w14:schemeClr w14:val="tx1"/>
                  </w14:solidFill>
                </w14:textFill>
              </w:rPr>
              <w:t>（</w:t>
            </w: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m</w:t>
            </w:r>
            <w:r>
              <w:rPr>
                <w:rFonts w:hint="eastAsia" w:ascii="Times New Roman" w:hAnsi="Times New Roman" w:eastAsia="宋体" w:cs="Times New Roman"/>
                <w:b w:val="0"/>
                <w:bCs w:val="0"/>
                <w:snapToGrid w:val="0"/>
                <w:color w:val="000000" w:themeColor="text1"/>
                <w:spacing w:val="-5"/>
                <w:kern w:val="0"/>
                <w:sz w:val="21"/>
                <w:szCs w:val="21"/>
                <w:lang w:val="en-US" w:eastAsia="zh-CN" w:bidi="ar-SA"/>
                <w14:textFill>
                  <w14:solidFill>
                    <w14:schemeClr w14:val="tx1"/>
                  </w14:solidFill>
                </w14:textFill>
              </w:rPr>
              <w:t>）</w:t>
            </w:r>
          </w:p>
        </w:tc>
        <w:tc>
          <w:tcPr>
            <w:tcW w:w="749" w:type="dxa"/>
            <w:vAlign w:val="center"/>
          </w:tcPr>
          <w:p w14:paraId="1ABA2C1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8"/>
                <w:kern w:val="0"/>
                <w:sz w:val="21"/>
                <w:szCs w:val="21"/>
                <w:lang w:val="en-US" w:eastAsia="en-US" w:bidi="ar-SA"/>
                <w14:textFill>
                  <w14:solidFill>
                    <w14:schemeClr w14:val="tx1"/>
                  </w14:solidFill>
                </w14:textFill>
              </w:rPr>
              <w:t>地层</w:t>
            </w:r>
          </w:p>
          <w:p w14:paraId="28CF7C9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8"/>
                <w:kern w:val="0"/>
                <w:sz w:val="21"/>
                <w:szCs w:val="21"/>
                <w:lang w:val="en-US" w:eastAsia="en-US" w:bidi="ar-SA"/>
                <w14:textFill>
                  <w14:solidFill>
                    <w14:schemeClr w14:val="tx1"/>
                  </w14:solidFill>
                </w14:textFill>
              </w:rPr>
              <w:t>渗透</w:t>
            </w:r>
          </w:p>
          <w:p w14:paraId="6DE745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性</w:t>
            </w:r>
          </w:p>
        </w:tc>
        <w:tc>
          <w:tcPr>
            <w:tcW w:w="1588" w:type="dxa"/>
            <w:gridSpan w:val="2"/>
            <w:vAlign w:val="center"/>
          </w:tcPr>
          <w:p w14:paraId="3526C8D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按环境类型</w:t>
            </w:r>
          </w:p>
        </w:tc>
        <w:tc>
          <w:tcPr>
            <w:tcW w:w="751" w:type="dxa"/>
            <w:vAlign w:val="center"/>
          </w:tcPr>
          <w:p w14:paraId="3CA510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9"/>
                <w:kern w:val="0"/>
                <w:sz w:val="21"/>
                <w:szCs w:val="21"/>
                <w:lang w:val="en-US" w:eastAsia="en-US" w:bidi="ar-SA"/>
                <w14:textFill>
                  <w14:solidFill>
                    <w14:schemeClr w14:val="tx1"/>
                  </w14:solidFill>
                </w14:textFill>
              </w:rPr>
              <w:t>按地</w:t>
            </w:r>
            <w:r>
              <w:rPr>
                <w:rFonts w:hint="default" w:ascii="Times New Roman" w:hAnsi="Times New Roman" w:eastAsia="宋体" w:cs="Times New Roman"/>
                <w:b w:val="0"/>
                <w:bCs w:val="0"/>
                <w:snapToGrid w:val="0"/>
                <w:color w:val="000000" w:themeColor="text1"/>
                <w:spacing w:val="-7"/>
                <w:kern w:val="0"/>
                <w:sz w:val="21"/>
                <w:szCs w:val="21"/>
                <w:lang w:val="en-US" w:eastAsia="en-US" w:bidi="ar-SA"/>
                <w14:textFill>
                  <w14:solidFill>
                    <w14:schemeClr w14:val="tx1"/>
                  </w14:solidFill>
                </w14:textFill>
              </w:rPr>
              <w:t>层渗透性</w:t>
            </w:r>
          </w:p>
        </w:tc>
        <w:tc>
          <w:tcPr>
            <w:tcW w:w="751" w:type="dxa"/>
            <w:vMerge w:val="restart"/>
            <w:tcBorders>
              <w:bottom w:val="nil"/>
            </w:tcBorders>
            <w:vAlign w:val="center"/>
          </w:tcPr>
          <w:p w14:paraId="6962907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Cl</w:t>
            </w:r>
            <w:r>
              <w:rPr>
                <w:rFonts w:hint="default" w:ascii="Times New Roman" w:hAnsi="Times New Roman" w:eastAsia="宋体" w:cs="Times New Roman"/>
                <w:b w:val="0"/>
                <w:bCs w:val="0"/>
                <w:snapToGrid w:val="0"/>
                <w:color w:val="000000" w:themeColor="text1"/>
                <w:spacing w:val="-5"/>
                <w:kern w:val="0"/>
                <w:position w:val="12"/>
                <w:sz w:val="21"/>
                <w:szCs w:val="21"/>
                <w:lang w:val="en-US" w:eastAsia="en-US" w:bidi="ar-SA"/>
                <w14:textFill>
                  <w14:solidFill>
                    <w14:schemeClr w14:val="tx1"/>
                  </w14:solidFill>
                </w14:textFill>
              </w:rPr>
              <w:t>-</w:t>
            </w:r>
          </w:p>
        </w:tc>
        <w:tc>
          <w:tcPr>
            <w:tcW w:w="1750" w:type="dxa"/>
            <w:gridSpan w:val="2"/>
            <w:tcBorders>
              <w:right w:val="nil"/>
            </w:tcBorders>
            <w:vAlign w:val="center"/>
          </w:tcPr>
          <w:p w14:paraId="42BBBF8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对建筑材料的腐蚀性评价</w:t>
            </w:r>
          </w:p>
        </w:tc>
      </w:tr>
      <w:tr w14:paraId="4F93FB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jc w:val="center"/>
        </w:trPr>
        <w:tc>
          <w:tcPr>
            <w:tcW w:w="602" w:type="dxa"/>
            <w:vMerge w:val="continue"/>
            <w:tcBorders>
              <w:top w:val="nil"/>
              <w:left w:val="nil"/>
              <w:bottom w:val="nil"/>
            </w:tcBorders>
            <w:textDirection w:val="tbRlV"/>
            <w:vAlign w:val="center"/>
          </w:tcPr>
          <w:p w14:paraId="51FFAF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1289" w:type="dxa"/>
            <w:vMerge w:val="continue"/>
            <w:tcBorders>
              <w:top w:val="nil"/>
              <w:bottom w:val="nil"/>
            </w:tcBorders>
            <w:vAlign w:val="center"/>
          </w:tcPr>
          <w:p w14:paraId="68FF26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865" w:type="dxa"/>
            <w:vMerge w:val="continue"/>
            <w:tcBorders>
              <w:top w:val="nil"/>
              <w:bottom w:val="nil"/>
            </w:tcBorders>
            <w:vAlign w:val="center"/>
          </w:tcPr>
          <w:p w14:paraId="1B7F82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1055" w:type="dxa"/>
            <w:vMerge w:val="continue"/>
            <w:tcBorders>
              <w:top w:val="nil"/>
              <w:bottom w:val="nil"/>
            </w:tcBorders>
            <w:vAlign w:val="center"/>
          </w:tcPr>
          <w:p w14:paraId="55675B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749" w:type="dxa"/>
            <w:vMerge w:val="restart"/>
            <w:tcBorders>
              <w:bottom w:val="nil"/>
            </w:tcBorders>
            <w:vAlign w:val="center"/>
          </w:tcPr>
          <w:p w14:paraId="678EF8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p w14:paraId="3D2A60B8">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强</w:t>
            </w:r>
          </w:p>
          <w:p w14:paraId="5B69FFAD">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240" w:lineRule="auto"/>
              <w:ind w:leftChars="0" w:right="0" w:rightChars="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B-弱</w:t>
            </w:r>
          </w:p>
        </w:tc>
        <w:tc>
          <w:tcPr>
            <w:tcW w:w="794" w:type="dxa"/>
            <w:vAlign w:val="center"/>
          </w:tcPr>
          <w:p w14:paraId="529896A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SO</w:t>
            </w:r>
            <w:r>
              <w:rPr>
                <w:rFonts w:hint="default" w:ascii="Times New Roman" w:hAnsi="Times New Roman" w:eastAsia="宋体" w:cs="Times New Roman"/>
                <w:b w:val="0"/>
                <w:bCs w:val="0"/>
                <w:snapToGrid w:val="0"/>
                <w:color w:val="000000" w:themeColor="text1"/>
                <w:spacing w:val="-4"/>
                <w:kern w:val="0"/>
                <w:position w:val="-4"/>
                <w:sz w:val="21"/>
                <w:szCs w:val="21"/>
                <w:lang w:val="en-US" w:eastAsia="en-US" w:bidi="ar-SA"/>
                <w14:textFill>
                  <w14:solidFill>
                    <w14:schemeClr w14:val="tx1"/>
                  </w14:solidFill>
                </w14:textFill>
              </w:rPr>
              <w:t>4</w:t>
            </w:r>
            <w:r>
              <w:rPr>
                <w:rFonts w:hint="default" w:ascii="Times New Roman" w:hAnsi="Times New Roman" w:eastAsia="宋体" w:cs="Times New Roman"/>
                <w:b w:val="0"/>
                <w:bCs w:val="0"/>
                <w:snapToGrid w:val="0"/>
                <w:color w:val="000000" w:themeColor="text1"/>
                <w:spacing w:val="-4"/>
                <w:kern w:val="0"/>
                <w:position w:val="11"/>
                <w:sz w:val="21"/>
                <w:szCs w:val="21"/>
                <w:lang w:val="en-US" w:eastAsia="en-US" w:bidi="ar-SA"/>
                <w14:textFill>
                  <w14:solidFill>
                    <w14:schemeClr w14:val="tx1"/>
                  </w14:solidFill>
                </w14:textFill>
              </w:rPr>
              <w:t>2-</w:t>
            </w:r>
          </w:p>
        </w:tc>
        <w:tc>
          <w:tcPr>
            <w:tcW w:w="794" w:type="dxa"/>
            <w:vAlign w:val="center"/>
          </w:tcPr>
          <w:p w14:paraId="5702D06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position w:val="-3"/>
                <w:sz w:val="21"/>
                <w:szCs w:val="21"/>
                <w:lang w:val="en-US" w:eastAsia="en-US" w:bidi="ar-SA"/>
                <w14:textFill>
                  <w14:solidFill>
                    <w14:schemeClr w14:val="tx1"/>
                  </w14:solidFill>
                </w14:textFill>
              </w:rPr>
              <w:t>Mg</w:t>
            </w:r>
            <w:r>
              <w:rPr>
                <w:rFonts w:hint="default" w:ascii="Times New Roman" w:hAnsi="Times New Roman" w:eastAsia="宋体" w:cs="Times New Roman"/>
                <w:b w:val="0"/>
                <w:bCs w:val="0"/>
                <w:snapToGrid w:val="0"/>
                <w:color w:val="000000" w:themeColor="text1"/>
                <w:spacing w:val="-3"/>
                <w:kern w:val="0"/>
                <w:position w:val="8"/>
                <w:sz w:val="21"/>
                <w:szCs w:val="21"/>
                <w:lang w:val="en-US" w:eastAsia="en-US" w:bidi="ar-SA"/>
                <w14:textFill>
                  <w14:solidFill>
                    <w14:schemeClr w14:val="tx1"/>
                  </w14:solidFill>
                </w14:textFill>
              </w:rPr>
              <w:t>2+</w:t>
            </w:r>
          </w:p>
        </w:tc>
        <w:tc>
          <w:tcPr>
            <w:tcW w:w="751" w:type="dxa"/>
            <w:vMerge w:val="restart"/>
            <w:tcBorders>
              <w:bottom w:val="nil"/>
            </w:tcBorders>
            <w:vAlign w:val="center"/>
          </w:tcPr>
          <w:p w14:paraId="35EA7D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p w14:paraId="1AA89E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p w14:paraId="5E8AC9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6"/>
                <w:kern w:val="0"/>
                <w:sz w:val="21"/>
                <w:szCs w:val="21"/>
                <w:lang w:val="en-US" w:eastAsia="en-US" w:bidi="ar-SA"/>
                <w14:textFill>
                  <w14:solidFill>
                    <w14:schemeClr w14:val="tx1"/>
                  </w14:solidFill>
                </w14:textFill>
              </w:rPr>
              <w:t>pH</w:t>
            </w:r>
          </w:p>
        </w:tc>
        <w:tc>
          <w:tcPr>
            <w:tcW w:w="751" w:type="dxa"/>
            <w:vMerge w:val="continue"/>
            <w:tcBorders>
              <w:top w:val="nil"/>
            </w:tcBorders>
            <w:vAlign w:val="center"/>
          </w:tcPr>
          <w:p w14:paraId="0BE02F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668" w:type="dxa"/>
            <w:vMerge w:val="restart"/>
            <w:tcBorders>
              <w:bottom w:val="nil"/>
            </w:tcBorders>
            <w:textDirection w:val="tbRlV"/>
            <w:vAlign w:val="center"/>
          </w:tcPr>
          <w:p w14:paraId="538A03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54"/>
                <w:kern w:val="0"/>
                <w:sz w:val="21"/>
                <w:szCs w:val="21"/>
                <w:lang w:val="en-US" w:eastAsia="en-US" w:bidi="ar-SA"/>
                <w14:textFill>
                  <w14:solidFill>
                    <w14:schemeClr w14:val="tx1"/>
                  </w14:solidFill>
                </w14:textFill>
              </w:rPr>
              <w:t>混凝土结构</w:t>
            </w:r>
          </w:p>
        </w:tc>
        <w:tc>
          <w:tcPr>
            <w:tcW w:w="1082" w:type="dxa"/>
            <w:vMerge w:val="restart"/>
            <w:tcBorders>
              <w:bottom w:val="nil"/>
              <w:right w:val="nil"/>
            </w:tcBorders>
            <w:vAlign w:val="center"/>
          </w:tcPr>
          <w:p w14:paraId="03D4A18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spacing w:val="-13"/>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6"/>
                <w:kern w:val="0"/>
                <w:sz w:val="21"/>
                <w:szCs w:val="21"/>
                <w:lang w:val="en-US" w:eastAsia="en-US" w:bidi="ar-SA"/>
                <w14:textFill>
                  <w14:solidFill>
                    <w14:schemeClr w14:val="tx1"/>
                  </w14:solidFill>
                </w14:textFill>
              </w:rPr>
              <w:t>钢筋混</w:t>
            </w:r>
            <w:r>
              <w:rPr>
                <w:rFonts w:hint="default" w:ascii="Times New Roman" w:hAnsi="Times New Roman" w:eastAsia="宋体" w:cs="Times New Roman"/>
                <w:b w:val="0"/>
                <w:bCs w:val="0"/>
                <w:snapToGrid w:val="0"/>
                <w:color w:val="000000" w:themeColor="text1"/>
                <w:spacing w:val="-7"/>
                <w:kern w:val="0"/>
                <w:sz w:val="21"/>
                <w:szCs w:val="21"/>
                <w:lang w:val="en-US" w:eastAsia="en-US" w:bidi="ar-SA"/>
                <w14:textFill>
                  <w14:solidFill>
                    <w14:schemeClr w14:val="tx1"/>
                  </w14:solidFill>
                </w14:textFill>
              </w:rPr>
              <w:t>凝土</w:t>
            </w:r>
            <w:r>
              <w:rPr>
                <w:rFonts w:hint="default" w:ascii="Times New Roman" w:hAnsi="Times New Roman" w:eastAsia="宋体" w:cs="Times New Roman"/>
                <w:b w:val="0"/>
                <w:bCs w:val="0"/>
                <w:snapToGrid w:val="0"/>
                <w:color w:val="000000" w:themeColor="text1"/>
                <w:spacing w:val="-8"/>
                <w:kern w:val="0"/>
                <w:sz w:val="21"/>
                <w:szCs w:val="21"/>
                <w:lang w:val="en-US" w:eastAsia="en-US" w:bidi="ar-SA"/>
                <w14:textFill>
                  <w14:solidFill>
                    <w14:schemeClr w14:val="tx1"/>
                  </w14:solidFill>
                </w14:textFill>
              </w:rPr>
              <w:t>结构中</w:t>
            </w:r>
            <w:r>
              <w:rPr>
                <w:rFonts w:hint="default" w:ascii="Times New Roman" w:hAnsi="Times New Roman" w:eastAsia="宋体" w:cs="Times New Roman"/>
                <w:b w:val="0"/>
                <w:bCs w:val="0"/>
                <w:snapToGrid w:val="0"/>
                <w:color w:val="000000" w:themeColor="text1"/>
                <w:spacing w:val="-13"/>
                <w:kern w:val="0"/>
                <w:sz w:val="21"/>
                <w:szCs w:val="21"/>
                <w:lang w:val="en-US" w:eastAsia="en-US" w:bidi="ar-SA"/>
                <w14:textFill>
                  <w14:solidFill>
                    <w14:schemeClr w14:val="tx1"/>
                  </w14:solidFill>
                </w14:textFill>
              </w:rPr>
              <w:t>的</w:t>
            </w:r>
          </w:p>
          <w:p w14:paraId="4ACF02F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13"/>
                <w:kern w:val="0"/>
                <w:sz w:val="21"/>
                <w:szCs w:val="21"/>
                <w:lang w:val="en-US" w:eastAsia="en-US" w:bidi="ar-SA"/>
                <w14:textFill>
                  <w14:solidFill>
                    <w14:schemeClr w14:val="tx1"/>
                  </w14:solidFill>
                </w14:textFill>
              </w:rPr>
              <w:t>钢筋</w:t>
            </w:r>
          </w:p>
        </w:tc>
      </w:tr>
      <w:tr w14:paraId="696095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9" w:hRule="atLeast"/>
          <w:jc w:val="center"/>
        </w:trPr>
        <w:tc>
          <w:tcPr>
            <w:tcW w:w="602" w:type="dxa"/>
            <w:vMerge w:val="continue"/>
            <w:tcBorders>
              <w:top w:val="nil"/>
              <w:left w:val="nil"/>
            </w:tcBorders>
            <w:textDirection w:val="tbRlV"/>
            <w:vAlign w:val="center"/>
          </w:tcPr>
          <w:p w14:paraId="1359C3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1289" w:type="dxa"/>
            <w:vMerge w:val="continue"/>
            <w:tcBorders>
              <w:top w:val="nil"/>
            </w:tcBorders>
            <w:vAlign w:val="center"/>
          </w:tcPr>
          <w:p w14:paraId="5866B0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865" w:type="dxa"/>
            <w:vMerge w:val="continue"/>
            <w:tcBorders>
              <w:top w:val="nil"/>
            </w:tcBorders>
            <w:vAlign w:val="center"/>
          </w:tcPr>
          <w:p w14:paraId="608F7D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1055" w:type="dxa"/>
            <w:vMerge w:val="continue"/>
            <w:tcBorders>
              <w:top w:val="nil"/>
            </w:tcBorders>
            <w:vAlign w:val="center"/>
          </w:tcPr>
          <w:p w14:paraId="38CBD5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749" w:type="dxa"/>
            <w:vMerge w:val="continue"/>
            <w:tcBorders>
              <w:top w:val="nil"/>
            </w:tcBorders>
            <w:vAlign w:val="center"/>
          </w:tcPr>
          <w:p w14:paraId="4EC678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794" w:type="dxa"/>
            <w:vAlign w:val="center"/>
          </w:tcPr>
          <w:p w14:paraId="0C37068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mg/k</w:t>
            </w: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g</w:t>
            </w:r>
          </w:p>
        </w:tc>
        <w:tc>
          <w:tcPr>
            <w:tcW w:w="794" w:type="dxa"/>
            <w:vAlign w:val="center"/>
          </w:tcPr>
          <w:p w14:paraId="7DF3A13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mg/kg</w:t>
            </w:r>
          </w:p>
        </w:tc>
        <w:tc>
          <w:tcPr>
            <w:tcW w:w="751" w:type="dxa"/>
            <w:vMerge w:val="continue"/>
            <w:tcBorders>
              <w:top w:val="nil"/>
            </w:tcBorders>
            <w:vAlign w:val="center"/>
          </w:tcPr>
          <w:p w14:paraId="1FBB1E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751" w:type="dxa"/>
            <w:vAlign w:val="center"/>
          </w:tcPr>
          <w:p w14:paraId="0C7A917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mg/kg</w:t>
            </w:r>
          </w:p>
        </w:tc>
        <w:tc>
          <w:tcPr>
            <w:tcW w:w="668" w:type="dxa"/>
            <w:vMerge w:val="continue"/>
            <w:tcBorders>
              <w:top w:val="nil"/>
            </w:tcBorders>
            <w:textDirection w:val="tbRlV"/>
            <w:vAlign w:val="center"/>
          </w:tcPr>
          <w:p w14:paraId="1AF581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1082" w:type="dxa"/>
            <w:vMerge w:val="continue"/>
            <w:tcBorders>
              <w:top w:val="nil"/>
              <w:right w:val="nil"/>
            </w:tcBorders>
            <w:vAlign w:val="center"/>
          </w:tcPr>
          <w:p w14:paraId="22122D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r>
      <w:tr w14:paraId="7B137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602" w:type="dxa"/>
            <w:vMerge w:val="restart"/>
            <w:tcBorders>
              <w:left w:val="nil"/>
              <w:bottom w:val="nil"/>
            </w:tcBorders>
            <w:vAlign w:val="center"/>
          </w:tcPr>
          <w:p w14:paraId="7C08BC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p w14:paraId="4B9D4D0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②</w:t>
            </w:r>
          </w:p>
        </w:tc>
        <w:tc>
          <w:tcPr>
            <w:tcW w:w="1289" w:type="dxa"/>
            <w:vMerge w:val="restart"/>
            <w:tcBorders>
              <w:bottom w:val="nil"/>
            </w:tcBorders>
            <w:vAlign w:val="center"/>
          </w:tcPr>
          <w:p w14:paraId="6472B9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p w14:paraId="5CE915E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粘土</w:t>
            </w:r>
          </w:p>
        </w:tc>
        <w:tc>
          <w:tcPr>
            <w:tcW w:w="865" w:type="dxa"/>
            <w:vAlign w:val="center"/>
          </w:tcPr>
          <w:p w14:paraId="7450884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ZK30</w:t>
            </w:r>
          </w:p>
        </w:tc>
        <w:tc>
          <w:tcPr>
            <w:tcW w:w="1055" w:type="dxa"/>
            <w:vAlign w:val="center"/>
          </w:tcPr>
          <w:p w14:paraId="318C955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18"/>
                <w:kern w:val="0"/>
                <w:sz w:val="21"/>
                <w:szCs w:val="21"/>
                <w:lang w:val="en-US" w:eastAsia="en-US" w:bidi="ar-SA"/>
                <w14:textFill>
                  <w14:solidFill>
                    <w14:schemeClr w14:val="tx1"/>
                  </w14:solidFill>
                </w14:textFill>
              </w:rPr>
              <w:t>1.5~</w:t>
            </w:r>
            <w:r>
              <w:rPr>
                <w:rFonts w:hint="default" w:ascii="Times New Roman" w:hAnsi="Times New Roman" w:eastAsia="宋体" w:cs="Times New Roman"/>
                <w:b w:val="0"/>
                <w:bCs w:val="0"/>
                <w:snapToGrid w:val="0"/>
                <w:color w:val="000000" w:themeColor="text1"/>
                <w:spacing w:val="-10"/>
                <w:kern w:val="0"/>
                <w:sz w:val="21"/>
                <w:szCs w:val="21"/>
                <w:lang w:val="en-US" w:eastAsia="en-US" w:bidi="ar-SA"/>
                <w14:textFill>
                  <w14:solidFill>
                    <w14:schemeClr w14:val="tx1"/>
                  </w14:solidFill>
                </w14:textFill>
              </w:rPr>
              <w:t>1.7</w:t>
            </w:r>
          </w:p>
        </w:tc>
        <w:tc>
          <w:tcPr>
            <w:tcW w:w="749" w:type="dxa"/>
            <w:vMerge w:val="restart"/>
            <w:tcBorders>
              <w:bottom w:val="nil"/>
            </w:tcBorders>
            <w:vAlign w:val="center"/>
          </w:tcPr>
          <w:p w14:paraId="09C6E8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p w14:paraId="4CC5DDD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B</w:t>
            </w:r>
          </w:p>
        </w:tc>
        <w:tc>
          <w:tcPr>
            <w:tcW w:w="794" w:type="dxa"/>
            <w:vAlign w:val="center"/>
          </w:tcPr>
          <w:p w14:paraId="33B09C2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34.0</w:t>
            </w: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8</w:t>
            </w:r>
          </w:p>
        </w:tc>
        <w:tc>
          <w:tcPr>
            <w:tcW w:w="794" w:type="dxa"/>
            <w:vAlign w:val="center"/>
          </w:tcPr>
          <w:p w14:paraId="2DDED32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7"/>
                <w:kern w:val="0"/>
                <w:sz w:val="21"/>
                <w:szCs w:val="21"/>
                <w:lang w:val="en-US" w:eastAsia="en-US" w:bidi="ar-SA"/>
                <w14:textFill>
                  <w14:solidFill>
                    <w14:schemeClr w14:val="tx1"/>
                  </w14:solidFill>
                </w14:textFill>
              </w:rPr>
              <w:t>10.2</w:t>
            </w: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4</w:t>
            </w:r>
          </w:p>
        </w:tc>
        <w:tc>
          <w:tcPr>
            <w:tcW w:w="751" w:type="dxa"/>
            <w:vAlign w:val="center"/>
          </w:tcPr>
          <w:p w14:paraId="6E7B0CC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6.62</w:t>
            </w:r>
          </w:p>
        </w:tc>
        <w:tc>
          <w:tcPr>
            <w:tcW w:w="751" w:type="dxa"/>
            <w:vAlign w:val="center"/>
          </w:tcPr>
          <w:p w14:paraId="2AE764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8.94</w:t>
            </w:r>
          </w:p>
        </w:tc>
        <w:tc>
          <w:tcPr>
            <w:tcW w:w="668" w:type="dxa"/>
            <w:vAlign w:val="center"/>
          </w:tcPr>
          <w:p w14:paraId="4C2206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微</w:t>
            </w:r>
          </w:p>
        </w:tc>
        <w:tc>
          <w:tcPr>
            <w:tcW w:w="1082" w:type="dxa"/>
            <w:tcBorders>
              <w:right w:val="nil"/>
            </w:tcBorders>
            <w:vAlign w:val="center"/>
          </w:tcPr>
          <w:p w14:paraId="6AD9318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微</w:t>
            </w:r>
          </w:p>
        </w:tc>
      </w:tr>
      <w:tr w14:paraId="21DDC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jc w:val="center"/>
        </w:trPr>
        <w:tc>
          <w:tcPr>
            <w:tcW w:w="602" w:type="dxa"/>
            <w:vMerge w:val="continue"/>
            <w:tcBorders>
              <w:top w:val="nil"/>
              <w:left w:val="nil"/>
            </w:tcBorders>
            <w:vAlign w:val="center"/>
          </w:tcPr>
          <w:p w14:paraId="1D0808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1289" w:type="dxa"/>
            <w:vMerge w:val="continue"/>
            <w:tcBorders>
              <w:top w:val="nil"/>
            </w:tcBorders>
            <w:vAlign w:val="center"/>
          </w:tcPr>
          <w:p w14:paraId="76B22D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865" w:type="dxa"/>
            <w:vAlign w:val="center"/>
          </w:tcPr>
          <w:p w14:paraId="6A4559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2"/>
                <w:kern w:val="0"/>
                <w:sz w:val="21"/>
                <w:szCs w:val="21"/>
                <w:lang w:val="en-US" w:eastAsia="en-US" w:bidi="ar-SA"/>
                <w14:textFill>
                  <w14:solidFill>
                    <w14:schemeClr w14:val="tx1"/>
                  </w14:solidFill>
                </w14:textFill>
              </w:rPr>
              <w:t>ZK181</w:t>
            </w:r>
          </w:p>
        </w:tc>
        <w:tc>
          <w:tcPr>
            <w:tcW w:w="1055" w:type="dxa"/>
            <w:vAlign w:val="center"/>
          </w:tcPr>
          <w:p w14:paraId="1A48FE0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22"/>
                <w:kern w:val="0"/>
                <w:sz w:val="21"/>
                <w:szCs w:val="21"/>
                <w:lang w:val="en-US" w:eastAsia="en-US" w:bidi="ar-SA"/>
                <w14:textFill>
                  <w14:solidFill>
                    <w14:schemeClr w14:val="tx1"/>
                  </w14:solidFill>
                </w14:textFill>
              </w:rPr>
              <w:t>2.0~</w:t>
            </w: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2.2</w:t>
            </w:r>
          </w:p>
        </w:tc>
        <w:tc>
          <w:tcPr>
            <w:tcW w:w="749" w:type="dxa"/>
            <w:vMerge w:val="continue"/>
            <w:tcBorders>
              <w:top w:val="nil"/>
            </w:tcBorders>
            <w:vAlign w:val="center"/>
          </w:tcPr>
          <w:p w14:paraId="0FDBEB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eastAsia="en-US"/>
                <w14:textFill>
                  <w14:solidFill>
                    <w14:schemeClr w14:val="tx1"/>
                  </w14:solidFill>
                </w14:textFill>
              </w:rPr>
            </w:pPr>
          </w:p>
        </w:tc>
        <w:tc>
          <w:tcPr>
            <w:tcW w:w="794" w:type="dxa"/>
            <w:vAlign w:val="center"/>
          </w:tcPr>
          <w:p w14:paraId="6212A97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34.0</w:t>
            </w: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5</w:t>
            </w:r>
          </w:p>
        </w:tc>
        <w:tc>
          <w:tcPr>
            <w:tcW w:w="794" w:type="dxa"/>
            <w:vAlign w:val="center"/>
          </w:tcPr>
          <w:p w14:paraId="0D7B596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8.35</w:t>
            </w:r>
          </w:p>
        </w:tc>
        <w:tc>
          <w:tcPr>
            <w:tcW w:w="751" w:type="dxa"/>
            <w:vAlign w:val="center"/>
          </w:tcPr>
          <w:p w14:paraId="5B39479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3"/>
                <w:kern w:val="0"/>
                <w:sz w:val="21"/>
                <w:szCs w:val="21"/>
                <w:lang w:val="en-US" w:eastAsia="en-US" w:bidi="ar-SA"/>
                <w14:textFill>
                  <w14:solidFill>
                    <w14:schemeClr w14:val="tx1"/>
                  </w14:solidFill>
                </w14:textFill>
              </w:rPr>
              <w:t>6.57</w:t>
            </w:r>
          </w:p>
        </w:tc>
        <w:tc>
          <w:tcPr>
            <w:tcW w:w="751" w:type="dxa"/>
            <w:vAlign w:val="center"/>
          </w:tcPr>
          <w:p w14:paraId="61A549F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7.91</w:t>
            </w:r>
          </w:p>
        </w:tc>
        <w:tc>
          <w:tcPr>
            <w:tcW w:w="668" w:type="dxa"/>
            <w:vAlign w:val="center"/>
          </w:tcPr>
          <w:p w14:paraId="551C8EF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微</w:t>
            </w:r>
          </w:p>
        </w:tc>
        <w:tc>
          <w:tcPr>
            <w:tcW w:w="1082" w:type="dxa"/>
            <w:tcBorders>
              <w:right w:val="nil"/>
            </w:tcBorders>
            <w:vAlign w:val="center"/>
          </w:tcPr>
          <w:p w14:paraId="0CA2710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t>微</w:t>
            </w:r>
          </w:p>
        </w:tc>
      </w:tr>
    </w:tbl>
    <w:p w14:paraId="1DED4314">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2. </w:t>
      </w:r>
      <w:r>
        <w:rPr>
          <w:rFonts w:hint="default"/>
          <w:color w:val="000000" w:themeColor="text1"/>
          <w:lang w:val="en-US" w:eastAsia="zh-CN"/>
          <w14:textFill>
            <w14:solidFill>
              <w14:schemeClr w14:val="tx1"/>
            </w14:solidFill>
          </w14:textFill>
        </w:rPr>
        <w:t>场地水文地质条件</w:t>
      </w:r>
    </w:p>
    <w:p w14:paraId="58745E32">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拟建场区地表水情况</w:t>
      </w:r>
    </w:p>
    <w:p w14:paraId="361423DE">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赣州市经济技术开发区地处赣江流域，境内河流分布有赣江流域的章水水系，遂川水系和桃江水系。全区土地总面积中，94%的面积集中分布在章水水系，5%的面积分布在境北部的遂川江水系，1%的面积分布在境南部的桃江水系。境内河系发育较好，集水面积在10平方公里以上大小河流共计51条</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其中社溪河是龙华江干流的分段命名河流</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，河流总长754.4公里，平均河网密度0.41公里/平方公里。</w:t>
      </w:r>
    </w:p>
    <w:p w14:paraId="0AB66398">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入境河流众多，集水面积大。集水面积大于10方公里的入境河流共计13条。其中，境外集水面积10平方公里的入境河流共计6条</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境外入境河流集水面积之和为5696平方公里</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入境河流中，尤其以上犹江及其支流在南康境外的集水面13732平方公里为最大。</w:t>
      </w:r>
    </w:p>
    <w:p w14:paraId="41340AFF">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赣州市经济技术开发区多年平均降水量1446.1毫米，平均年降水总量26.68亿立方米。年内丰、枯水季节变化明显，丰、枯水年降水量相差悬殊，在很大程度上影响了农业生产的发展。</w:t>
      </w:r>
    </w:p>
    <w:p w14:paraId="2AFE8CD9">
      <w:pPr>
        <w:numPr>
          <w:ilvl w:val="0"/>
          <w:numId w:val="0"/>
        </w:numPr>
        <w:bidi w:val="0"/>
        <w:ind w:firstLine="560" w:firstLineChars="200"/>
        <w:rPr>
          <w:rFonts w:hint="eastAsia"/>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（2）</w:t>
      </w:r>
      <w:r>
        <w:rPr>
          <w:rFonts w:hint="eastAsia"/>
          <w:color w:val="000000" w:themeColor="text1"/>
          <w:lang w:val="en-US" w:eastAsia="zh-CN"/>
          <w14:textFill>
            <w14:solidFill>
              <w14:schemeClr w14:val="tx1"/>
            </w14:solidFill>
          </w14:textFill>
        </w:rPr>
        <w:t>地下水的类型及赋存条件</w:t>
      </w:r>
    </w:p>
    <w:p w14:paraId="610BEE02">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勘察期间，勘察深度范围内，场地内未见地下水（潜水）。</w:t>
      </w:r>
    </w:p>
    <w:p w14:paraId="66E6B926">
      <w:pPr>
        <w:numPr>
          <w:ilvl w:val="0"/>
          <w:numId w:val="0"/>
        </w:numPr>
        <w:bidi w:val="0"/>
        <w:ind w:left="0" w:leftChars="0" w:firstLine="560" w:firstLineChars="200"/>
        <w:rPr>
          <w:rFonts w:hint="eastAsia"/>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（3）</w:t>
      </w:r>
      <w:r>
        <w:rPr>
          <w:rFonts w:hint="eastAsia"/>
          <w:color w:val="000000" w:themeColor="text1"/>
          <w:lang w:val="en-US" w:eastAsia="zh-CN"/>
          <w14:textFill>
            <w14:solidFill>
              <w14:schemeClr w14:val="tx1"/>
            </w14:solidFill>
          </w14:textFill>
        </w:rPr>
        <w:t>地表水及地下水腐蚀性评价</w:t>
      </w:r>
    </w:p>
    <w:p w14:paraId="2893D635">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拟建场地周边未发现污染源。</w:t>
      </w:r>
    </w:p>
    <w:p w14:paraId="265FF725">
      <w:pPr>
        <w:bidi w:val="0"/>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4</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default"/>
          <w:color w:val="000000" w:themeColor="text1"/>
          <w:lang w:val="en-US" w:eastAsia="zh-CN"/>
          <w14:textFill>
            <w14:solidFill>
              <w14:schemeClr w14:val="tx1"/>
            </w14:solidFill>
          </w14:textFill>
        </w:rPr>
        <w:t>地表水及地下水对管道持力层稳定性的影响</w:t>
      </w:r>
    </w:p>
    <w:p w14:paraId="2D50BE2E">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拟建场地内无水沟、水池、积水低洼处，未见明显地表水。地下水上涨会引起管道持力层泡水而软化对持力层稳定性有一定影响。建议对持力层采取相应挡水或换填的措施保证持力层的稳定性。</w:t>
      </w:r>
    </w:p>
    <w:p w14:paraId="68C5391D">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 工程地质评价</w:t>
      </w:r>
    </w:p>
    <w:p w14:paraId="0AB46F66">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（1）不良地质作用</w:t>
      </w:r>
    </w:p>
    <w:p w14:paraId="6280A861">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区域地质资料，拟建场地内无区域性大断裂通过，未发现断层、构造破碎带、滑波及塌陷等影响场地稳定性的不良地质作用。场地未发现埋藏的河道、沟浜、墓穴、防空洞、孤石等对工程不利埋藏物。场内未发现滑坡、坍塌、泥石流等不良地质现象，未发现岩溶洞穴。除道路沿线局部①杂填土较软，工程性质较差外，其余各岩土层工程性质相对较好。</w:t>
      </w:r>
    </w:p>
    <w:p w14:paraId="4EE8DD20">
      <w:pPr>
        <w:numPr>
          <w:ilvl w:val="0"/>
          <w:numId w:val="0"/>
        </w:numPr>
        <w:bidi w:val="0"/>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（2）</w:t>
      </w:r>
      <w:r>
        <w:rPr>
          <w:rFonts w:hint="default"/>
          <w:color w:val="000000" w:themeColor="text1"/>
          <w:lang w:val="en-US" w:eastAsia="zh-CN"/>
          <w14:textFill>
            <w14:solidFill>
              <w14:schemeClr w14:val="tx1"/>
            </w14:solidFill>
          </w14:textFill>
        </w:rPr>
        <w:t>填土</w:t>
      </w:r>
    </w:p>
    <w:p w14:paraId="7DBD2F78">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拟建场地管道持力层主要位于①杂填土。其中杂填土主要由粘土、砾石、全风化泥质粉砂岩等组成，层厚0.60～2.60m，层顶高程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106.29～143.12m，层底高程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104.79～142.52m；杂填土一般呈可塑状，压缩性中等，不宜直接作为管道持力层。</w:t>
      </w:r>
    </w:p>
    <w:p w14:paraId="659196B0">
      <w:pPr>
        <w:bidi w:val="0"/>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表2-2 填土的分布范围</w:t>
      </w:r>
    </w:p>
    <w:tbl>
      <w:tblPr>
        <w:tblStyle w:val="31"/>
        <w:tblW w:w="863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539"/>
        <w:gridCol w:w="2837"/>
        <w:gridCol w:w="3261"/>
      </w:tblGrid>
      <w:tr w14:paraId="6A0FE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jc w:val="center"/>
        </w:trPr>
        <w:tc>
          <w:tcPr>
            <w:tcW w:w="2539" w:type="dxa"/>
            <w:tcBorders>
              <w:left w:val="nil"/>
            </w:tcBorders>
            <w:vAlign w:val="center"/>
          </w:tcPr>
          <w:p w14:paraId="2B080E1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5"/>
                <w:kern w:val="0"/>
                <w:sz w:val="21"/>
                <w:szCs w:val="21"/>
                <w:lang w:val="en-US" w:eastAsia="en-US" w:bidi="ar-SA"/>
                <w14:textFill>
                  <w14:solidFill>
                    <w14:schemeClr w14:val="tx1"/>
                  </w14:solidFill>
                </w14:textFill>
              </w:rPr>
              <w:t>特殊性土</w:t>
            </w:r>
          </w:p>
        </w:tc>
        <w:tc>
          <w:tcPr>
            <w:tcW w:w="2837" w:type="dxa"/>
            <w:vAlign w:val="center"/>
          </w:tcPr>
          <w:p w14:paraId="66322E1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11"/>
                <w:kern w:val="0"/>
                <w:sz w:val="21"/>
                <w:szCs w:val="21"/>
                <w:lang w:val="en-US" w:eastAsia="en-US" w:bidi="ar-SA"/>
                <w14:textFill>
                  <w14:solidFill>
                    <w14:schemeClr w14:val="tx1"/>
                  </w14:solidFill>
                </w14:textFill>
              </w:rPr>
              <w:t>范围</w:t>
            </w:r>
          </w:p>
        </w:tc>
        <w:tc>
          <w:tcPr>
            <w:tcW w:w="3261" w:type="dxa"/>
            <w:tcBorders>
              <w:right w:val="nil"/>
            </w:tcBorders>
            <w:vAlign w:val="center"/>
          </w:tcPr>
          <w:p w14:paraId="0B8E741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7"/>
                <w:kern w:val="0"/>
                <w:sz w:val="21"/>
                <w:szCs w:val="21"/>
                <w:lang w:val="en-US" w:eastAsia="en-US" w:bidi="ar-SA"/>
                <w14:textFill>
                  <w14:solidFill>
                    <w14:schemeClr w14:val="tx1"/>
                  </w14:solidFill>
                </w14:textFill>
              </w:rPr>
              <w:t>处理措施</w:t>
            </w:r>
          </w:p>
        </w:tc>
      </w:tr>
      <w:tr w14:paraId="2081B4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jc w:val="center"/>
        </w:trPr>
        <w:tc>
          <w:tcPr>
            <w:tcW w:w="2539" w:type="dxa"/>
            <w:tcBorders>
              <w:left w:val="nil"/>
            </w:tcBorders>
            <w:vAlign w:val="center"/>
          </w:tcPr>
          <w:p w14:paraId="3F2F53E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杂填土</w:t>
            </w:r>
          </w:p>
        </w:tc>
        <w:tc>
          <w:tcPr>
            <w:tcW w:w="2837" w:type="dxa"/>
            <w:vAlign w:val="center"/>
          </w:tcPr>
          <w:p w14:paraId="081FA16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4"/>
                <w:kern w:val="0"/>
                <w:sz w:val="21"/>
                <w:szCs w:val="21"/>
                <w:lang w:val="en-US" w:eastAsia="en-US" w:bidi="ar-SA"/>
                <w14:textFill>
                  <w14:solidFill>
                    <w14:schemeClr w14:val="tx1"/>
                  </w14:solidFill>
                </w14:textFill>
              </w:rPr>
              <w:t>管道全线</w:t>
            </w:r>
          </w:p>
        </w:tc>
        <w:tc>
          <w:tcPr>
            <w:tcW w:w="3261" w:type="dxa"/>
            <w:tcBorders>
              <w:right w:val="nil"/>
            </w:tcBorders>
            <w:vAlign w:val="center"/>
          </w:tcPr>
          <w:p w14:paraId="28E4D03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b w:val="0"/>
                <w:bCs w:val="0"/>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b w:val="0"/>
                <w:bCs w:val="0"/>
                <w:snapToGrid w:val="0"/>
                <w:color w:val="000000" w:themeColor="text1"/>
                <w:spacing w:val="-6"/>
                <w:kern w:val="0"/>
                <w:sz w:val="21"/>
                <w:szCs w:val="21"/>
                <w:lang w:val="en-US" w:eastAsia="en-US" w:bidi="ar-SA"/>
                <w14:textFill>
                  <w14:solidFill>
                    <w14:schemeClr w14:val="tx1"/>
                  </w14:solidFill>
                </w14:textFill>
              </w:rPr>
              <w:t>夯实</w:t>
            </w:r>
          </w:p>
        </w:tc>
      </w:tr>
    </w:tbl>
    <w:p w14:paraId="07A50A68">
      <w:pPr>
        <w:numPr>
          <w:ilvl w:val="0"/>
          <w:numId w:val="0"/>
        </w:numPr>
        <w:bidi w:val="0"/>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（3）</w:t>
      </w:r>
      <w:r>
        <w:rPr>
          <w:rFonts w:hint="default"/>
          <w:color w:val="000000" w:themeColor="text1"/>
          <w:lang w:val="en-US" w:eastAsia="zh-CN"/>
          <w14:textFill>
            <w14:solidFill>
              <w14:schemeClr w14:val="tx1"/>
            </w14:solidFill>
          </w14:textFill>
        </w:rPr>
        <w:t>场地稳定性与适宜性评价</w:t>
      </w:r>
    </w:p>
    <w:p w14:paraId="4D1706BC">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城乡规划工程地质勘察规范》（CJJ57-2012）8.2.1条，本次勘察结果为：未发现全新活动断裂带；工程场地为一般地段；不良地质作用不发育（无崩塌、滑坡、泥石流等），无地质灾害危险性。综合评定本场地为基本稳定场地。（详细判定参见表</w:t>
      </w:r>
      <w:r>
        <w:rPr>
          <w:rFonts w:hint="eastAsia"/>
          <w:color w:val="000000" w:themeColor="text1"/>
          <w:lang w:val="en-US" w:eastAsia="zh-CN"/>
          <w14:textFill>
            <w14:solidFill>
              <w14:schemeClr w14:val="tx1"/>
            </w14:solidFill>
          </w14:textFill>
        </w:rPr>
        <w:t>2-3</w:t>
      </w:r>
      <w:r>
        <w:rPr>
          <w:rFonts w:hint="default"/>
          <w:color w:val="000000" w:themeColor="text1"/>
          <w:lang w:val="en-US" w:eastAsia="zh-CN"/>
          <w14:textFill>
            <w14:solidFill>
              <w14:schemeClr w14:val="tx1"/>
            </w14:solidFill>
          </w14:textFill>
        </w:rPr>
        <w:t>）。</w:t>
      </w:r>
    </w:p>
    <w:p w14:paraId="79D5832E">
      <w:pPr>
        <w:bidi w:val="0"/>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表2-3 场地稳定性评价表</w:t>
      </w:r>
    </w:p>
    <w:tbl>
      <w:tblPr>
        <w:tblStyle w:val="31"/>
        <w:tblW w:w="85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720"/>
        <w:gridCol w:w="1980"/>
        <w:gridCol w:w="1639"/>
        <w:gridCol w:w="1240"/>
      </w:tblGrid>
      <w:tr w14:paraId="501619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jc w:val="center"/>
        </w:trPr>
        <w:tc>
          <w:tcPr>
            <w:tcW w:w="3720" w:type="dxa"/>
            <w:tcBorders>
              <w:left w:val="nil"/>
            </w:tcBorders>
            <w:vAlign w:val="center"/>
          </w:tcPr>
          <w:p w14:paraId="4E40BF8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分级项目</w:t>
            </w:r>
          </w:p>
        </w:tc>
        <w:tc>
          <w:tcPr>
            <w:tcW w:w="1980" w:type="dxa"/>
            <w:vAlign w:val="center"/>
          </w:tcPr>
          <w:p w14:paraId="5E91E00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5"/>
                <w:kern w:val="0"/>
                <w:sz w:val="21"/>
                <w:szCs w:val="21"/>
                <w:lang w:val="en-US" w:eastAsia="en-US" w:bidi="ar-SA"/>
                <w14:textFill>
                  <w14:solidFill>
                    <w14:schemeClr w14:val="tx1"/>
                  </w14:solidFill>
                </w14:textFill>
              </w:rPr>
              <w:t>分级说明</w:t>
            </w:r>
          </w:p>
        </w:tc>
        <w:tc>
          <w:tcPr>
            <w:tcW w:w="1639" w:type="dxa"/>
            <w:vAlign w:val="center"/>
          </w:tcPr>
          <w:p w14:paraId="0FA6BEB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等级确定</w:t>
            </w:r>
          </w:p>
        </w:tc>
        <w:tc>
          <w:tcPr>
            <w:tcW w:w="1240" w:type="dxa"/>
            <w:tcBorders>
              <w:right w:val="nil"/>
            </w:tcBorders>
            <w:vAlign w:val="center"/>
          </w:tcPr>
          <w:p w14:paraId="6B8B1CF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5"/>
                <w:kern w:val="0"/>
                <w:sz w:val="21"/>
                <w:szCs w:val="21"/>
                <w:lang w:val="en-US" w:eastAsia="en-US" w:bidi="ar-SA"/>
                <w14:textFill>
                  <w14:solidFill>
                    <w14:schemeClr w14:val="tx1"/>
                  </w14:solidFill>
                </w14:textFill>
              </w:rPr>
              <w:t>稳定性评</w:t>
            </w:r>
          </w:p>
        </w:tc>
      </w:tr>
      <w:tr w14:paraId="13A119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jc w:val="center"/>
        </w:trPr>
        <w:tc>
          <w:tcPr>
            <w:tcW w:w="3720" w:type="dxa"/>
            <w:tcBorders>
              <w:left w:val="nil"/>
            </w:tcBorders>
            <w:vAlign w:val="center"/>
          </w:tcPr>
          <w:p w14:paraId="194AB0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3"/>
                <w:kern w:val="0"/>
                <w:sz w:val="21"/>
                <w:szCs w:val="21"/>
                <w:lang w:val="en-US" w:eastAsia="en-US" w:bidi="ar-SA"/>
                <w14:textFill>
                  <w14:solidFill>
                    <w14:schemeClr w14:val="tx1"/>
                  </w14:solidFill>
                </w14:textFill>
              </w:rPr>
              <w:t>活动断裂带</w:t>
            </w:r>
          </w:p>
        </w:tc>
        <w:tc>
          <w:tcPr>
            <w:tcW w:w="1980" w:type="dxa"/>
            <w:vAlign w:val="center"/>
          </w:tcPr>
          <w:p w14:paraId="3BFFCFB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t>无</w:t>
            </w:r>
          </w:p>
        </w:tc>
        <w:tc>
          <w:tcPr>
            <w:tcW w:w="1639" w:type="dxa"/>
            <w:vAlign w:val="center"/>
          </w:tcPr>
          <w:p w14:paraId="08AB3E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稳定</w:t>
            </w:r>
          </w:p>
        </w:tc>
        <w:tc>
          <w:tcPr>
            <w:tcW w:w="1240" w:type="dxa"/>
            <w:vMerge w:val="restart"/>
            <w:tcBorders>
              <w:bottom w:val="nil"/>
              <w:right w:val="nil"/>
            </w:tcBorders>
            <w:vAlign w:val="center"/>
          </w:tcPr>
          <w:p w14:paraId="466E422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稳定</w:t>
            </w:r>
          </w:p>
        </w:tc>
      </w:tr>
      <w:tr w14:paraId="3D593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3720" w:type="dxa"/>
            <w:tcBorders>
              <w:left w:val="nil"/>
            </w:tcBorders>
            <w:vAlign w:val="center"/>
          </w:tcPr>
          <w:p w14:paraId="30C2CFD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2"/>
                <w:kern w:val="0"/>
                <w:sz w:val="21"/>
                <w:szCs w:val="21"/>
                <w:lang w:val="en-US" w:eastAsia="en-US" w:bidi="ar-SA"/>
                <w14:textFill>
                  <w14:solidFill>
                    <w14:schemeClr w14:val="tx1"/>
                  </w14:solidFill>
                </w14:textFill>
              </w:rPr>
              <w:t>抗震地段类别</w:t>
            </w:r>
          </w:p>
        </w:tc>
        <w:tc>
          <w:tcPr>
            <w:tcW w:w="1980" w:type="dxa"/>
            <w:vAlign w:val="center"/>
          </w:tcPr>
          <w:p w14:paraId="1F72DD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7"/>
                <w:kern w:val="0"/>
                <w:sz w:val="21"/>
                <w:szCs w:val="21"/>
                <w:lang w:val="en-US" w:eastAsia="en-US" w:bidi="ar-SA"/>
                <w14:textFill>
                  <w14:solidFill>
                    <w14:schemeClr w14:val="tx1"/>
                  </w14:solidFill>
                </w14:textFill>
              </w:rPr>
              <w:t>一般</w:t>
            </w:r>
          </w:p>
        </w:tc>
        <w:tc>
          <w:tcPr>
            <w:tcW w:w="1639" w:type="dxa"/>
            <w:vAlign w:val="center"/>
          </w:tcPr>
          <w:p w14:paraId="2DF997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5"/>
                <w:kern w:val="0"/>
                <w:sz w:val="21"/>
                <w:szCs w:val="21"/>
                <w:lang w:val="en-US" w:eastAsia="en-US" w:bidi="ar-SA"/>
                <w14:textFill>
                  <w14:solidFill>
                    <w14:schemeClr w14:val="tx1"/>
                  </w14:solidFill>
                </w14:textFill>
              </w:rPr>
              <w:t>基本</w:t>
            </w:r>
          </w:p>
        </w:tc>
        <w:tc>
          <w:tcPr>
            <w:tcW w:w="1240" w:type="dxa"/>
            <w:vMerge w:val="continue"/>
            <w:tcBorders>
              <w:top w:val="nil"/>
              <w:bottom w:val="nil"/>
              <w:right w:val="nil"/>
            </w:tcBorders>
            <w:vAlign w:val="center"/>
          </w:tcPr>
          <w:p w14:paraId="2B6F97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eastAsia="en-US"/>
                <w14:textFill>
                  <w14:solidFill>
                    <w14:schemeClr w14:val="tx1"/>
                  </w14:solidFill>
                </w14:textFill>
              </w:rPr>
            </w:pPr>
          </w:p>
        </w:tc>
      </w:tr>
      <w:tr w14:paraId="29BBA3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3720" w:type="dxa"/>
            <w:tcBorders>
              <w:left w:val="nil"/>
            </w:tcBorders>
            <w:vAlign w:val="center"/>
          </w:tcPr>
          <w:p w14:paraId="7C1BA4E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8"/>
                <w:kern w:val="0"/>
                <w:sz w:val="21"/>
                <w:szCs w:val="21"/>
                <w:lang w:val="en-US" w:eastAsia="en-US" w:bidi="ar-SA"/>
                <w14:textFill>
                  <w14:solidFill>
                    <w14:schemeClr w14:val="tx1"/>
                  </w14:solidFill>
                </w14:textFill>
              </w:rPr>
              <w:t>不良地质作用发育，地质灾害危险</w:t>
            </w:r>
            <w:r>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t>性</w:t>
            </w:r>
          </w:p>
        </w:tc>
        <w:tc>
          <w:tcPr>
            <w:tcW w:w="1980" w:type="dxa"/>
            <w:vAlign w:val="center"/>
          </w:tcPr>
          <w:p w14:paraId="291D7A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5"/>
                <w:kern w:val="0"/>
                <w:sz w:val="21"/>
                <w:szCs w:val="21"/>
                <w:lang w:val="en-US" w:eastAsia="en-US" w:bidi="ar-SA"/>
                <w14:textFill>
                  <w14:solidFill>
                    <w14:schemeClr w14:val="tx1"/>
                  </w14:solidFill>
                </w14:textFill>
              </w:rPr>
              <w:t>不发育</w:t>
            </w:r>
          </w:p>
        </w:tc>
        <w:tc>
          <w:tcPr>
            <w:tcW w:w="1639" w:type="dxa"/>
            <w:vAlign w:val="center"/>
          </w:tcPr>
          <w:p w14:paraId="237330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稳定</w:t>
            </w:r>
          </w:p>
        </w:tc>
        <w:tc>
          <w:tcPr>
            <w:tcW w:w="1240" w:type="dxa"/>
            <w:vMerge w:val="continue"/>
            <w:tcBorders>
              <w:top w:val="nil"/>
              <w:right w:val="nil"/>
            </w:tcBorders>
            <w:vAlign w:val="center"/>
          </w:tcPr>
          <w:p w14:paraId="039AEA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b w:val="0"/>
                <w:bCs w:val="0"/>
                <w:snapToGrid w:val="0"/>
                <w:color w:val="000000" w:themeColor="text1"/>
                <w:kern w:val="0"/>
                <w:sz w:val="21"/>
                <w:szCs w:val="21"/>
                <w:lang w:eastAsia="en-US"/>
                <w14:textFill>
                  <w14:solidFill>
                    <w14:schemeClr w14:val="tx1"/>
                  </w14:solidFill>
                </w14:textFill>
              </w:rPr>
            </w:pPr>
          </w:p>
        </w:tc>
      </w:tr>
    </w:tbl>
    <w:p w14:paraId="591BAE0B">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根据《城乡规划工程地质勘察规范》（CJJ57-2012）8.3节及附录C，本次勘察结果为：场地基本稳定；地形略有起伏，地面坡度＜10%；岩土种类较多，分布较均匀，工程性质一般；地表排水条件尚可，地下水对工程建设影响较小；地下无待开采的矿藏资源。综合评定本工程建设适宜性为较适宜。（详细判定参见表2-4）。</w:t>
      </w:r>
    </w:p>
    <w:p w14:paraId="033126B9">
      <w:pPr>
        <w:bidi w:val="0"/>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表2-4 场地适应性评价表</w:t>
      </w:r>
    </w:p>
    <w:tbl>
      <w:tblPr>
        <w:tblStyle w:val="31"/>
        <w:tblW w:w="8997" w:type="dxa"/>
        <w:tblInd w:w="3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73"/>
        <w:gridCol w:w="3785"/>
        <w:gridCol w:w="1219"/>
        <w:gridCol w:w="1320"/>
      </w:tblGrid>
      <w:tr w14:paraId="4F9ACE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2673" w:type="dxa"/>
            <w:tcBorders>
              <w:left w:val="nil"/>
            </w:tcBorders>
            <w:vAlign w:val="center"/>
          </w:tcPr>
          <w:p w14:paraId="403405F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分级项目</w:t>
            </w:r>
          </w:p>
        </w:tc>
        <w:tc>
          <w:tcPr>
            <w:tcW w:w="3785" w:type="dxa"/>
            <w:vAlign w:val="center"/>
          </w:tcPr>
          <w:p w14:paraId="17E6E9F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分级说明</w:t>
            </w:r>
          </w:p>
        </w:tc>
        <w:tc>
          <w:tcPr>
            <w:tcW w:w="1219" w:type="dxa"/>
            <w:vAlign w:val="center"/>
          </w:tcPr>
          <w:p w14:paraId="1D33142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等级确定</w:t>
            </w:r>
          </w:p>
        </w:tc>
        <w:tc>
          <w:tcPr>
            <w:tcW w:w="1320" w:type="dxa"/>
            <w:tcBorders>
              <w:right w:val="nil"/>
            </w:tcBorders>
            <w:vAlign w:val="center"/>
          </w:tcPr>
          <w:p w14:paraId="61874D3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适宜性评</w:t>
            </w:r>
          </w:p>
        </w:tc>
      </w:tr>
      <w:tr w14:paraId="4B67CB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2673" w:type="dxa"/>
            <w:tcBorders>
              <w:left w:val="nil"/>
            </w:tcBorders>
            <w:vAlign w:val="center"/>
          </w:tcPr>
          <w:p w14:paraId="4390227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场地稳定性</w:t>
            </w:r>
          </w:p>
        </w:tc>
        <w:tc>
          <w:tcPr>
            <w:tcW w:w="3785" w:type="dxa"/>
            <w:vAlign w:val="center"/>
          </w:tcPr>
          <w:p w14:paraId="2DCEF0C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基本稳定</w:t>
            </w:r>
          </w:p>
        </w:tc>
        <w:tc>
          <w:tcPr>
            <w:tcW w:w="1219" w:type="dxa"/>
            <w:vAlign w:val="center"/>
          </w:tcPr>
          <w:p w14:paraId="7D30A1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较适宜</w:t>
            </w:r>
          </w:p>
        </w:tc>
        <w:tc>
          <w:tcPr>
            <w:tcW w:w="1320" w:type="dxa"/>
            <w:vMerge w:val="restart"/>
            <w:tcBorders>
              <w:bottom w:val="nil"/>
              <w:right w:val="nil"/>
            </w:tcBorders>
            <w:vAlign w:val="center"/>
          </w:tcPr>
          <w:p w14:paraId="2DDAE06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较适宜</w:t>
            </w:r>
          </w:p>
        </w:tc>
      </w:tr>
      <w:tr w14:paraId="5946B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2673" w:type="dxa"/>
            <w:tcBorders>
              <w:left w:val="nil"/>
            </w:tcBorders>
            <w:vAlign w:val="center"/>
          </w:tcPr>
          <w:p w14:paraId="6AC4BDD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地形起伏，地面坡度</w:t>
            </w:r>
          </w:p>
        </w:tc>
        <w:tc>
          <w:tcPr>
            <w:tcW w:w="3785" w:type="dxa"/>
            <w:vAlign w:val="center"/>
          </w:tcPr>
          <w:p w14:paraId="3F1A3B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略有起伏，坡度</w:t>
            </w:r>
            <w:r>
              <w:rPr>
                <w:rFonts w:hint="default" w:ascii="Times New Roman" w:hAnsi="Times New Roman" w:eastAsia="宋体" w:cs="Times New Roman"/>
                <w:b w:val="0"/>
                <w:bCs w:val="0"/>
                <w:snapToGrid w:val="0"/>
                <w:color w:val="000000" w:themeColor="text1"/>
                <w:spacing w:val="-6"/>
                <w:kern w:val="0"/>
                <w:sz w:val="21"/>
                <w:szCs w:val="21"/>
                <w:lang w:val="en-US" w:eastAsia="en-US" w:bidi="ar-SA"/>
                <w14:textFill>
                  <w14:solidFill>
                    <w14:schemeClr w14:val="tx1"/>
                  </w14:solidFill>
                </w14:textFill>
              </w:rPr>
              <w:t>＜10%</w:t>
            </w:r>
          </w:p>
        </w:tc>
        <w:tc>
          <w:tcPr>
            <w:tcW w:w="1219" w:type="dxa"/>
            <w:vAlign w:val="center"/>
          </w:tcPr>
          <w:p w14:paraId="0CCF8AE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较适宜</w:t>
            </w:r>
          </w:p>
        </w:tc>
        <w:tc>
          <w:tcPr>
            <w:tcW w:w="1320" w:type="dxa"/>
            <w:vMerge w:val="continue"/>
            <w:tcBorders>
              <w:top w:val="nil"/>
              <w:bottom w:val="nil"/>
              <w:right w:val="nil"/>
            </w:tcBorders>
            <w:vAlign w:val="top"/>
          </w:tcPr>
          <w:p w14:paraId="212861FE">
            <w:pPr>
              <w:widowControl/>
              <w:kinsoku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themeColor="text1"/>
                <w:kern w:val="0"/>
                <w:sz w:val="21"/>
                <w:szCs w:val="21"/>
                <w:lang w:eastAsia="en-US"/>
                <w14:textFill>
                  <w14:solidFill>
                    <w14:schemeClr w14:val="tx1"/>
                  </w14:solidFill>
                </w14:textFill>
              </w:rPr>
            </w:pPr>
          </w:p>
        </w:tc>
      </w:tr>
      <w:tr w14:paraId="77AC34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2673" w:type="dxa"/>
            <w:tcBorders>
              <w:left w:val="nil"/>
            </w:tcBorders>
            <w:vAlign w:val="center"/>
          </w:tcPr>
          <w:p w14:paraId="793FBF7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岩土种类及其工程性质</w:t>
            </w:r>
          </w:p>
        </w:tc>
        <w:tc>
          <w:tcPr>
            <w:tcW w:w="3785" w:type="dxa"/>
            <w:vAlign w:val="center"/>
          </w:tcPr>
          <w:p w14:paraId="719797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种类较多，分布较均匀，性质一般</w:t>
            </w:r>
          </w:p>
        </w:tc>
        <w:tc>
          <w:tcPr>
            <w:tcW w:w="1219" w:type="dxa"/>
            <w:vAlign w:val="center"/>
          </w:tcPr>
          <w:p w14:paraId="00DB98F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较适宜</w:t>
            </w:r>
          </w:p>
        </w:tc>
        <w:tc>
          <w:tcPr>
            <w:tcW w:w="1320" w:type="dxa"/>
            <w:vMerge w:val="continue"/>
            <w:tcBorders>
              <w:top w:val="nil"/>
              <w:bottom w:val="nil"/>
              <w:right w:val="nil"/>
            </w:tcBorders>
            <w:vAlign w:val="top"/>
          </w:tcPr>
          <w:p w14:paraId="122351CC">
            <w:pPr>
              <w:widowControl/>
              <w:kinsoku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themeColor="text1"/>
                <w:kern w:val="0"/>
                <w:sz w:val="21"/>
                <w:szCs w:val="21"/>
                <w:lang w:eastAsia="en-US"/>
                <w14:textFill>
                  <w14:solidFill>
                    <w14:schemeClr w14:val="tx1"/>
                  </w14:solidFill>
                </w14:textFill>
              </w:rPr>
            </w:pPr>
          </w:p>
        </w:tc>
      </w:tr>
      <w:tr w14:paraId="1A68DA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2673" w:type="dxa"/>
            <w:tcBorders>
              <w:left w:val="nil"/>
            </w:tcBorders>
            <w:vAlign w:val="center"/>
          </w:tcPr>
          <w:p w14:paraId="0C6E078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洪水或地下水影响</w:t>
            </w:r>
          </w:p>
        </w:tc>
        <w:tc>
          <w:tcPr>
            <w:tcW w:w="3785" w:type="dxa"/>
            <w:vAlign w:val="center"/>
          </w:tcPr>
          <w:p w14:paraId="0394C4D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地表排水尚可，地下水影响较小</w:t>
            </w:r>
          </w:p>
        </w:tc>
        <w:tc>
          <w:tcPr>
            <w:tcW w:w="1219" w:type="dxa"/>
            <w:vAlign w:val="center"/>
          </w:tcPr>
          <w:p w14:paraId="0533C89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较适宜</w:t>
            </w:r>
          </w:p>
        </w:tc>
        <w:tc>
          <w:tcPr>
            <w:tcW w:w="1320" w:type="dxa"/>
            <w:vMerge w:val="continue"/>
            <w:tcBorders>
              <w:top w:val="nil"/>
              <w:bottom w:val="nil"/>
              <w:right w:val="nil"/>
            </w:tcBorders>
            <w:vAlign w:val="top"/>
          </w:tcPr>
          <w:p w14:paraId="0EA1E536">
            <w:pPr>
              <w:widowControl/>
              <w:kinsoku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themeColor="text1"/>
                <w:kern w:val="0"/>
                <w:sz w:val="21"/>
                <w:szCs w:val="21"/>
                <w:lang w:eastAsia="en-US"/>
                <w14:textFill>
                  <w14:solidFill>
                    <w14:schemeClr w14:val="tx1"/>
                  </w14:solidFill>
                </w14:textFill>
              </w:rPr>
            </w:pPr>
          </w:p>
        </w:tc>
      </w:tr>
      <w:tr w14:paraId="76140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2673" w:type="dxa"/>
            <w:tcBorders>
              <w:left w:val="nil"/>
            </w:tcBorders>
            <w:vAlign w:val="center"/>
          </w:tcPr>
          <w:p w14:paraId="5AFBE27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地下待开采矿藏</w:t>
            </w:r>
          </w:p>
        </w:tc>
        <w:tc>
          <w:tcPr>
            <w:tcW w:w="3785" w:type="dxa"/>
            <w:vAlign w:val="center"/>
          </w:tcPr>
          <w:p w14:paraId="391263A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无</w:t>
            </w:r>
          </w:p>
        </w:tc>
        <w:tc>
          <w:tcPr>
            <w:tcW w:w="1219" w:type="dxa"/>
            <w:vAlign w:val="center"/>
          </w:tcPr>
          <w:p w14:paraId="022FC0F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适宜</w:t>
            </w:r>
          </w:p>
        </w:tc>
        <w:tc>
          <w:tcPr>
            <w:tcW w:w="1320" w:type="dxa"/>
            <w:vMerge w:val="continue"/>
            <w:tcBorders>
              <w:top w:val="nil"/>
              <w:right w:val="nil"/>
            </w:tcBorders>
            <w:vAlign w:val="top"/>
          </w:tcPr>
          <w:p w14:paraId="44E0AFE7">
            <w:pPr>
              <w:widowControl/>
              <w:kinsoku w:val="0"/>
              <w:autoSpaceDE w:val="0"/>
              <w:autoSpaceDN w:val="0"/>
              <w:bidi w:val="0"/>
              <w:adjustRightInd w:val="0"/>
              <w:snapToGrid w:val="0"/>
              <w:spacing w:line="240" w:lineRule="auto"/>
              <w:ind w:firstLine="0" w:firstLineChars="0"/>
              <w:jc w:val="left"/>
              <w:textAlignment w:val="baseline"/>
              <w:rPr>
                <w:rFonts w:ascii="Arial" w:hAnsi="Arial" w:eastAsia="Arial" w:cs="Arial"/>
                <w:snapToGrid w:val="0"/>
                <w:color w:val="000000" w:themeColor="text1"/>
                <w:kern w:val="0"/>
                <w:sz w:val="21"/>
                <w:szCs w:val="21"/>
                <w:lang w:eastAsia="en-US"/>
                <w14:textFill>
                  <w14:solidFill>
                    <w14:schemeClr w14:val="tx1"/>
                  </w14:solidFill>
                </w14:textFill>
              </w:rPr>
            </w:pPr>
          </w:p>
        </w:tc>
      </w:tr>
    </w:tbl>
    <w:p w14:paraId="35CA1DB5">
      <w:pPr>
        <w:bidi w:val="0"/>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olor w:val="000000" w:themeColor="text1"/>
          <w:lang w:val="en-US" w:eastAsia="zh-CN"/>
          <w14:textFill>
            <w14:solidFill>
              <w14:schemeClr w14:val="tx1"/>
            </w14:solidFill>
          </w14:textFill>
        </w:rPr>
        <w:t>土、石工程分级</w:t>
      </w:r>
    </w:p>
    <w:p w14:paraId="4687993D">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根据本次勘察取得的地层资料和《公路工程地质勘察规范》（JTGC20-2011）附录J对本场地各土层进行土、石工程分级，分级结果参见表2-5。</w:t>
      </w:r>
    </w:p>
    <w:p w14:paraId="15EBA314">
      <w:pPr>
        <w:bidi w:val="0"/>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表2-5 土、石工程分级一览表</w:t>
      </w:r>
    </w:p>
    <w:tbl>
      <w:tblPr>
        <w:tblStyle w:val="31"/>
        <w:tblW w:w="89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9"/>
        <w:gridCol w:w="4709"/>
      </w:tblGrid>
      <w:tr w14:paraId="22771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jc w:val="center"/>
        </w:trPr>
        <w:tc>
          <w:tcPr>
            <w:tcW w:w="4269" w:type="dxa"/>
            <w:tcBorders>
              <w:left w:val="nil"/>
            </w:tcBorders>
            <w:vAlign w:val="center"/>
          </w:tcPr>
          <w:p w14:paraId="6529E9C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地层编号</w:t>
            </w:r>
          </w:p>
        </w:tc>
        <w:tc>
          <w:tcPr>
            <w:tcW w:w="4709" w:type="dxa"/>
            <w:tcBorders>
              <w:right w:val="nil"/>
            </w:tcBorders>
            <w:vAlign w:val="center"/>
          </w:tcPr>
          <w:p w14:paraId="4941666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土、石工程分级</w:t>
            </w:r>
          </w:p>
        </w:tc>
      </w:tr>
      <w:tr w14:paraId="0ACAF7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jc w:val="center"/>
        </w:trPr>
        <w:tc>
          <w:tcPr>
            <w:tcW w:w="4269" w:type="dxa"/>
            <w:tcBorders>
              <w:left w:val="nil"/>
            </w:tcBorders>
            <w:vAlign w:val="center"/>
          </w:tcPr>
          <w:p w14:paraId="1F0720C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①杂填土</w:t>
            </w:r>
          </w:p>
        </w:tc>
        <w:tc>
          <w:tcPr>
            <w:tcW w:w="4709" w:type="dxa"/>
            <w:tcBorders>
              <w:right w:val="nil"/>
            </w:tcBorders>
            <w:vAlign w:val="center"/>
          </w:tcPr>
          <w:p w14:paraId="081D05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Ⅰ</w:t>
            </w:r>
          </w:p>
        </w:tc>
      </w:tr>
      <w:tr w14:paraId="2B022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jc w:val="center"/>
        </w:trPr>
        <w:tc>
          <w:tcPr>
            <w:tcW w:w="4269" w:type="dxa"/>
            <w:tcBorders>
              <w:left w:val="nil"/>
            </w:tcBorders>
            <w:vAlign w:val="center"/>
          </w:tcPr>
          <w:p w14:paraId="4EB0E94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②粘土</w:t>
            </w:r>
          </w:p>
        </w:tc>
        <w:tc>
          <w:tcPr>
            <w:tcW w:w="4709" w:type="dxa"/>
            <w:tcBorders>
              <w:right w:val="nil"/>
            </w:tcBorders>
            <w:vAlign w:val="center"/>
          </w:tcPr>
          <w:p w14:paraId="23C9AF8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Ⅱ</w:t>
            </w:r>
          </w:p>
        </w:tc>
      </w:tr>
      <w:tr w14:paraId="6FC5D8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4269" w:type="dxa"/>
            <w:tcBorders>
              <w:left w:val="nil"/>
            </w:tcBorders>
            <w:vAlign w:val="center"/>
          </w:tcPr>
          <w:p w14:paraId="6A356D3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③强风化泥质粉砂岩</w:t>
            </w:r>
          </w:p>
        </w:tc>
        <w:tc>
          <w:tcPr>
            <w:tcW w:w="4709" w:type="dxa"/>
            <w:tcBorders>
              <w:right w:val="nil"/>
            </w:tcBorders>
            <w:vAlign w:val="center"/>
          </w:tcPr>
          <w:p w14:paraId="547FD7E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Ⅲ</w:t>
            </w:r>
          </w:p>
        </w:tc>
      </w:tr>
      <w:tr w14:paraId="454E5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jc w:val="center"/>
        </w:trPr>
        <w:tc>
          <w:tcPr>
            <w:tcW w:w="4269" w:type="dxa"/>
            <w:tcBorders>
              <w:left w:val="nil"/>
            </w:tcBorders>
            <w:vAlign w:val="center"/>
          </w:tcPr>
          <w:p w14:paraId="3C225AC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④中风化泥质粉砂岩</w:t>
            </w:r>
          </w:p>
        </w:tc>
        <w:tc>
          <w:tcPr>
            <w:tcW w:w="4709" w:type="dxa"/>
            <w:tcBorders>
              <w:right w:val="nil"/>
            </w:tcBorders>
            <w:vAlign w:val="center"/>
          </w:tcPr>
          <w:p w14:paraId="0654D1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pacing w:val="-6"/>
                <w:kern w:val="0"/>
                <w:sz w:val="21"/>
                <w:szCs w:val="21"/>
                <w:lang w:val="en-US" w:eastAsia="en-US" w:bidi="ar-SA"/>
                <w14:textFill>
                  <w14:solidFill>
                    <w14:schemeClr w14:val="tx1"/>
                  </w14:solidFill>
                </w14:textFill>
              </w:rPr>
              <w:t>Ⅳ</w:t>
            </w:r>
          </w:p>
        </w:tc>
      </w:tr>
    </w:tbl>
    <w:p w14:paraId="2AD1EE34">
      <w:pPr>
        <w:pStyle w:val="3"/>
        <w:bidi w:val="0"/>
        <w:rPr>
          <w:rFonts w:hint="eastAsia"/>
          <w:color w:val="000000" w:themeColor="text1"/>
          <w:lang w:val="en-US" w:eastAsia="zh-CN"/>
          <w14:textFill>
            <w14:solidFill>
              <w14:schemeClr w14:val="tx1"/>
            </w14:solidFill>
          </w14:textFill>
        </w:rPr>
      </w:pPr>
      <w:bookmarkStart w:id="44" w:name="_Toc20438"/>
      <w:r>
        <w:rPr>
          <w:rFonts w:hint="eastAsia"/>
          <w:color w:val="000000" w:themeColor="text1"/>
          <w:lang w:val="en-US" w:eastAsia="zh-CN"/>
          <w14:textFill>
            <w14:solidFill>
              <w14:schemeClr w14:val="tx1"/>
            </w14:solidFill>
          </w14:textFill>
        </w:rPr>
        <w:t>2.3 微型顶拉管工艺介绍</w:t>
      </w:r>
      <w:bookmarkEnd w:id="44"/>
    </w:p>
    <w:p w14:paraId="6A4B80C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微型顶拉管技术依用途分为新建工法、置换工法，新建工法适用于雨、污水短管新建及场地受限的拖拉管新建施工；置换工法适用于雨污管道破损、塌陷严重的原位等径或扩径置换。</w:t>
      </w:r>
    </w:p>
    <w:p w14:paraId="595908B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微型顶拉管技术优点：施工工艺介于水平定向钻机与泥水平衡之间</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具有占用空间小、施工效率高、标高控制准、地质适应广、障碍处理能力强、次生灾害小等特点。</w:t>
      </w:r>
    </w:p>
    <w:p w14:paraId="7D93B92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该工艺配合自密封承插接口短管，将传统的拖拉管或顶管改为水平顶拉管工艺，在末端井下安装管节，利用钻杆导向钻孔或穿过原管道中心，在管道尾端拉顶管道。掘进头负责掘进扭矩和迎面阻力，设备余力通过机头后分动装置和传力杆传到尾端，实现顶进目的。掘进头与管道并不锁死而达到泥水平衡功能，管材只承受顶进摩擦阻力。</w:t>
      </w:r>
    </w:p>
    <w:p w14:paraId="57D422D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微型顶拉管施工时，要求在铺管的两端设立两个工作坑（顶进工作坑和接收工作坑，管道置换时，接收工作坑可利用现状检查井），工作坑的尺寸根据管道的直径和长度，以及微型顶拉管钻机的大小而定。工作坑的周围应有足够的空间放置地表施工设备。微型顶拉管的施工设备主要有：多功能微顶钻机、动力站、导向仪、导向钻头、导向钻杆、复合式扩孔器、拉杆、装管装置等。</w:t>
      </w:r>
    </w:p>
    <w:p w14:paraId="1E614540">
      <w:pPr>
        <w:pStyle w:val="3"/>
        <w:bidi w:val="0"/>
        <w:rPr>
          <w:rFonts w:hint="eastAsia"/>
          <w:color w:val="000000" w:themeColor="text1"/>
          <w:lang w:val="en-US" w:eastAsia="zh-CN"/>
          <w14:textFill>
            <w14:solidFill>
              <w14:schemeClr w14:val="tx1"/>
            </w14:solidFill>
          </w14:textFill>
        </w:rPr>
      </w:pPr>
      <w:bookmarkStart w:id="45" w:name="_Toc32140"/>
      <w:r>
        <w:rPr>
          <w:rFonts w:hint="eastAsia"/>
          <w:color w:val="000000" w:themeColor="text1"/>
          <w:lang w:val="en-US" w:eastAsia="zh-CN"/>
          <w14:textFill>
            <w14:solidFill>
              <w14:schemeClr w14:val="tx1"/>
            </w14:solidFill>
          </w14:textFill>
        </w:rPr>
        <w:t>2.4 施工总体流程</w:t>
      </w:r>
      <w:bookmarkEnd w:id="45"/>
    </w:p>
    <w:p w14:paraId="686A45F6">
      <w:pPr>
        <w:ind w:left="0" w:leftChars="0"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880735" cy="3134360"/>
            <wp:effectExtent l="0" t="0" r="5715" b="889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7"/>
                    <a:srcRect b="4598"/>
                    <a:stretch>
                      <a:fillRect/>
                    </a:stretch>
                  </pic:blipFill>
                  <pic:spPr>
                    <a:xfrm>
                      <a:off x="0" y="0"/>
                      <a:ext cx="5880735" cy="3134360"/>
                    </a:xfrm>
                    <a:prstGeom prst="rect">
                      <a:avLst/>
                    </a:prstGeom>
                    <a:noFill/>
                    <a:ln>
                      <a:noFill/>
                    </a:ln>
                  </pic:spPr>
                </pic:pic>
              </a:graphicData>
            </a:graphic>
          </wp:inline>
        </w:drawing>
      </w:r>
    </w:p>
    <w:p w14:paraId="6351CA25">
      <w:pPr>
        <w:ind w:left="0" w:leftChars="0" w:firstLine="0" w:firstLineChars="0"/>
        <w:jc w:val="center"/>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760085" cy="1956435"/>
            <wp:effectExtent l="0" t="0" r="12065" b="571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8"/>
                    <a:stretch>
                      <a:fillRect/>
                    </a:stretch>
                  </pic:blipFill>
                  <pic:spPr>
                    <a:xfrm>
                      <a:off x="0" y="0"/>
                      <a:ext cx="5760085" cy="1956435"/>
                    </a:xfrm>
                    <a:prstGeom prst="rect">
                      <a:avLst/>
                    </a:prstGeom>
                    <a:noFill/>
                    <a:ln>
                      <a:noFill/>
                    </a:ln>
                  </pic:spPr>
                </pic:pic>
              </a:graphicData>
            </a:graphic>
          </wp:inline>
        </w:drawing>
      </w:r>
    </w:p>
    <w:p w14:paraId="7C54C7E7">
      <w:pPr>
        <w:pStyle w:val="3"/>
        <w:bidi w:val="0"/>
        <w:rPr>
          <w:rFonts w:hint="default"/>
          <w:color w:val="000000" w:themeColor="text1"/>
          <w:lang w:val="en-US" w:eastAsia="zh-CN"/>
          <w14:textFill>
            <w14:solidFill>
              <w14:schemeClr w14:val="tx1"/>
            </w14:solidFill>
          </w14:textFill>
        </w:rPr>
      </w:pPr>
      <w:bookmarkStart w:id="46" w:name="_Toc27270"/>
      <w:r>
        <w:rPr>
          <w:rFonts w:hint="eastAsia"/>
          <w:color w:val="000000" w:themeColor="text1"/>
          <w:lang w:val="en-US" w:eastAsia="zh-CN"/>
          <w14:textFill>
            <w14:solidFill>
              <w14:schemeClr w14:val="tx1"/>
            </w14:solidFill>
          </w14:textFill>
        </w:rPr>
        <w:t>2.5 微型顶拉管施工方法</w:t>
      </w:r>
      <w:bookmarkEnd w:id="46"/>
    </w:p>
    <w:p w14:paraId="67C690BD">
      <w:pPr>
        <w:pStyle w:val="4"/>
        <w:bidi w:val="0"/>
        <w:rPr>
          <w:rFonts w:hint="eastAsia"/>
          <w:color w:val="000000" w:themeColor="text1"/>
          <w:lang w:val="en-US" w:eastAsia="zh-CN"/>
          <w14:textFill>
            <w14:solidFill>
              <w14:schemeClr w14:val="tx1"/>
            </w14:solidFill>
          </w14:textFill>
        </w:rPr>
      </w:pPr>
      <w:bookmarkStart w:id="47" w:name="_Toc15928"/>
      <w:r>
        <w:rPr>
          <w:rFonts w:hint="eastAsia"/>
          <w:color w:val="000000" w:themeColor="text1"/>
          <w:lang w:val="en-US" w:eastAsia="zh-CN"/>
          <w14:textFill>
            <w14:solidFill>
              <w14:schemeClr w14:val="tx1"/>
            </w14:solidFill>
          </w14:textFill>
        </w:rPr>
        <w:t>2.5.1 微型顶拉管机械设备图</w:t>
      </w:r>
      <w:bookmarkEnd w:id="47"/>
    </w:p>
    <w:p w14:paraId="67375F41">
      <w:pPr>
        <w:ind w:left="0" w:lef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4439285" cy="2404745"/>
            <wp:effectExtent l="0" t="0" r="18415" b="14605"/>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9"/>
                    <a:stretch>
                      <a:fillRect/>
                    </a:stretch>
                  </pic:blipFill>
                  <pic:spPr>
                    <a:xfrm>
                      <a:off x="0" y="0"/>
                      <a:ext cx="4439285" cy="2404745"/>
                    </a:xfrm>
                    <a:prstGeom prst="rect">
                      <a:avLst/>
                    </a:prstGeom>
                  </pic:spPr>
                </pic:pic>
              </a:graphicData>
            </a:graphic>
          </wp:inline>
        </w:drawing>
      </w:r>
    </w:p>
    <w:p w14:paraId="54F8DA85">
      <w:pPr>
        <w:pStyle w:val="4"/>
        <w:bidi w:val="0"/>
        <w:rPr>
          <w:rFonts w:hint="eastAsia"/>
          <w:color w:val="000000" w:themeColor="text1"/>
          <w:lang w:val="en-US" w:eastAsia="zh-CN"/>
          <w14:textFill>
            <w14:solidFill>
              <w14:schemeClr w14:val="tx1"/>
            </w14:solidFill>
          </w14:textFill>
        </w:rPr>
      </w:pPr>
      <w:bookmarkStart w:id="48" w:name="_Toc15473"/>
      <w:r>
        <w:rPr>
          <w:rFonts w:hint="eastAsia"/>
          <w:color w:val="000000" w:themeColor="text1"/>
          <w:lang w:val="en-US" w:eastAsia="zh-CN"/>
          <w14:textFill>
            <w14:solidFill>
              <w14:schemeClr w14:val="tx1"/>
            </w14:solidFill>
          </w14:textFill>
        </w:rPr>
        <w:t>2.5.2 定线测量（管线路由放样）</w:t>
      </w:r>
      <w:bookmarkEnd w:id="48"/>
    </w:p>
    <w:p w14:paraId="65824F0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将RDK（或经纬仪）架设于工作井与接收井中心点线定出通过中心点沿线的工作井位置，拉出连接两点的水准线，并利用垂线与卷尺定出微型顶拉管钻机的设备位置。</w:t>
      </w:r>
    </w:p>
    <w:p w14:paraId="7CF5E031">
      <w:pPr>
        <w:ind w:left="0" w:leftChars="0" w:firstLine="0" w:firstLineChars="0"/>
        <w:jc w:val="center"/>
        <w:rPr>
          <w:color w:val="000000" w:themeColor="text1"/>
          <w:position w:val="-56"/>
          <w14:textFill>
            <w14:solidFill>
              <w14:schemeClr w14:val="tx1"/>
            </w14:solidFill>
          </w14:textFill>
        </w:rPr>
      </w:pPr>
      <w:r>
        <w:rPr>
          <w:color w:val="000000" w:themeColor="text1"/>
          <w:position w:val="-56"/>
          <w14:textFill>
            <w14:solidFill>
              <w14:schemeClr w14:val="tx1"/>
            </w14:solidFill>
          </w14:textFill>
        </w:rPr>
        <w:drawing>
          <wp:inline distT="0" distB="0" distL="0" distR="0">
            <wp:extent cx="5501005" cy="1642110"/>
            <wp:effectExtent l="0" t="0" r="4445" b="1524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20"/>
                    <a:stretch>
                      <a:fillRect/>
                    </a:stretch>
                  </pic:blipFill>
                  <pic:spPr>
                    <a:xfrm>
                      <a:off x="0" y="0"/>
                      <a:ext cx="5501005" cy="1642110"/>
                    </a:xfrm>
                    <a:prstGeom prst="rect">
                      <a:avLst/>
                    </a:prstGeom>
                  </pic:spPr>
                </pic:pic>
              </a:graphicData>
            </a:graphic>
          </wp:inline>
        </w:drawing>
      </w:r>
    </w:p>
    <w:p w14:paraId="7AB193C1">
      <w:pPr>
        <w:ind w:left="0" w:lef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850130" cy="2166620"/>
            <wp:effectExtent l="0" t="0" r="7620" b="5080"/>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21"/>
                    <a:srcRect l="3983" t="5489" r="8355" b="5749"/>
                    <a:stretch>
                      <a:fillRect/>
                    </a:stretch>
                  </pic:blipFill>
                  <pic:spPr>
                    <a:xfrm>
                      <a:off x="0" y="0"/>
                      <a:ext cx="4850130" cy="2166620"/>
                    </a:xfrm>
                    <a:prstGeom prst="rect">
                      <a:avLst/>
                    </a:prstGeom>
                    <a:noFill/>
                    <a:ln>
                      <a:noFill/>
                    </a:ln>
                  </pic:spPr>
                </pic:pic>
              </a:graphicData>
            </a:graphic>
          </wp:inline>
        </w:drawing>
      </w:r>
    </w:p>
    <w:p w14:paraId="43430ED9">
      <w:pPr>
        <w:pStyle w:val="4"/>
        <w:bidi w:val="0"/>
        <w:rPr>
          <w:rFonts w:hint="default"/>
          <w:color w:val="000000" w:themeColor="text1"/>
          <w:lang w:val="en-US" w:eastAsia="zh-CN"/>
          <w14:textFill>
            <w14:solidFill>
              <w14:schemeClr w14:val="tx1"/>
            </w14:solidFill>
          </w14:textFill>
        </w:rPr>
      </w:pPr>
      <w:bookmarkStart w:id="49" w:name="_Toc14924"/>
      <w:r>
        <w:rPr>
          <w:rFonts w:hint="eastAsia"/>
          <w:color w:val="000000" w:themeColor="text1"/>
          <w:lang w:val="en-US" w:eastAsia="zh-CN"/>
          <w14:textFill>
            <w14:solidFill>
              <w14:schemeClr w14:val="tx1"/>
            </w14:solidFill>
          </w14:textFill>
        </w:rPr>
        <w:t xml:space="preserve">2.5.3 </w:t>
      </w:r>
      <w:r>
        <w:rPr>
          <w:rFonts w:hint="default"/>
          <w:color w:val="000000" w:themeColor="text1"/>
          <w:lang w:val="en-US" w:eastAsia="zh-CN"/>
          <w14:textFill>
            <w14:solidFill>
              <w14:schemeClr w14:val="tx1"/>
            </w14:solidFill>
          </w14:textFill>
        </w:rPr>
        <w:t>微顶钻机安装</w:t>
      </w:r>
      <w:bookmarkEnd w:id="49"/>
    </w:p>
    <w:p w14:paraId="16C87ED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微顶钻机安装时需用仪器反复测量、计算，保证微顶钻机安装的误差在允许范围内，这是顶拉管道时管道的轴线及高程准确性的前提条件。</w:t>
      </w:r>
    </w:p>
    <w:p w14:paraId="1439649B">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57"/>
          <w14:textFill>
            <w14:solidFill>
              <w14:schemeClr w14:val="tx1"/>
            </w14:solidFill>
          </w14:textFill>
        </w:rPr>
      </w:pPr>
      <w:r>
        <w:rPr>
          <w:color w:val="000000" w:themeColor="text1"/>
          <w:position w:val="-57"/>
          <w14:textFill>
            <w14:solidFill>
              <w14:schemeClr w14:val="tx1"/>
            </w14:solidFill>
          </w14:textFill>
        </w:rPr>
        <w:drawing>
          <wp:inline distT="0" distB="0" distL="0" distR="0">
            <wp:extent cx="3001010" cy="2282825"/>
            <wp:effectExtent l="0" t="0" r="8890" b="3175"/>
            <wp:docPr id="14" name="IM 56"/>
            <wp:cNvGraphicFramePr/>
            <a:graphic xmlns:a="http://schemas.openxmlformats.org/drawingml/2006/main">
              <a:graphicData uri="http://schemas.openxmlformats.org/drawingml/2006/picture">
                <pic:pic xmlns:pic="http://schemas.openxmlformats.org/drawingml/2006/picture">
                  <pic:nvPicPr>
                    <pic:cNvPr id="14" name="IM 56"/>
                    <pic:cNvPicPr/>
                  </pic:nvPicPr>
                  <pic:blipFill>
                    <a:blip r:embed="rId22"/>
                    <a:stretch>
                      <a:fillRect/>
                    </a:stretch>
                  </pic:blipFill>
                  <pic:spPr>
                    <a:xfrm>
                      <a:off x="0" y="0"/>
                      <a:ext cx="3001010" cy="2282825"/>
                    </a:xfrm>
                    <a:prstGeom prst="rect">
                      <a:avLst/>
                    </a:prstGeom>
                  </pic:spPr>
                </pic:pic>
              </a:graphicData>
            </a:graphic>
          </wp:inline>
        </w:drawing>
      </w:r>
    </w:p>
    <w:p w14:paraId="326EF42C">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微顶钻机安装完毕后（调试时利用水平仪按设计坡度进行初步调试），利用水钻按靠背板孔位置钻地锚孔，将地锚杆打入后靠背，起到辅助固定作用。</w:t>
      </w:r>
    </w:p>
    <w:p w14:paraId="06105C74">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67"/>
          <w14:textFill>
            <w14:solidFill>
              <w14:schemeClr w14:val="tx1"/>
            </w14:solidFill>
          </w14:textFill>
        </w:rPr>
      </w:pPr>
      <w:r>
        <w:rPr>
          <w:color w:val="000000" w:themeColor="text1"/>
          <w:position w:val="-67"/>
          <w14:textFill>
            <w14:solidFill>
              <w14:schemeClr w14:val="tx1"/>
            </w14:solidFill>
          </w14:textFill>
        </w:rPr>
        <w:drawing>
          <wp:inline distT="0" distB="0" distL="0" distR="0">
            <wp:extent cx="3647440" cy="2413000"/>
            <wp:effectExtent l="0" t="0" r="10160" b="6350"/>
            <wp:docPr id="15" name="IM 60"/>
            <wp:cNvGraphicFramePr/>
            <a:graphic xmlns:a="http://schemas.openxmlformats.org/drawingml/2006/main">
              <a:graphicData uri="http://schemas.openxmlformats.org/drawingml/2006/picture">
                <pic:pic xmlns:pic="http://schemas.openxmlformats.org/drawingml/2006/picture">
                  <pic:nvPicPr>
                    <pic:cNvPr id="15" name="IM 60"/>
                    <pic:cNvPicPr/>
                  </pic:nvPicPr>
                  <pic:blipFill>
                    <a:blip r:embed="rId23"/>
                    <a:stretch>
                      <a:fillRect/>
                    </a:stretch>
                  </pic:blipFill>
                  <pic:spPr>
                    <a:xfrm>
                      <a:off x="0" y="0"/>
                      <a:ext cx="3647440" cy="2413000"/>
                    </a:xfrm>
                    <a:prstGeom prst="rect">
                      <a:avLst/>
                    </a:prstGeom>
                  </pic:spPr>
                </pic:pic>
              </a:graphicData>
            </a:graphic>
          </wp:inline>
        </w:drawing>
      </w:r>
    </w:p>
    <w:p w14:paraId="772BB8A6">
      <w:pPr>
        <w:pStyle w:val="4"/>
        <w:bidi w:val="0"/>
        <w:rPr>
          <w:rFonts w:hint="eastAsia"/>
          <w:color w:val="000000" w:themeColor="text1"/>
          <w14:textFill>
            <w14:solidFill>
              <w14:schemeClr w14:val="tx1"/>
            </w14:solidFill>
          </w14:textFill>
        </w:rPr>
      </w:pPr>
      <w:bookmarkStart w:id="50" w:name="_Toc27100"/>
      <w:r>
        <w:rPr>
          <w:rFonts w:hint="eastAsia"/>
          <w:color w:val="000000" w:themeColor="text1"/>
          <w:lang w:val="en-US" w:eastAsia="zh-CN"/>
          <w14:textFill>
            <w14:solidFill>
              <w14:schemeClr w14:val="tx1"/>
            </w14:solidFill>
          </w14:textFill>
        </w:rPr>
        <w:t xml:space="preserve">2.5.4 </w:t>
      </w:r>
      <w:r>
        <w:rPr>
          <w:rFonts w:hint="eastAsia"/>
          <w:color w:val="000000" w:themeColor="text1"/>
          <w14:textFill>
            <w14:solidFill>
              <w14:schemeClr w14:val="tx1"/>
            </w14:solidFill>
          </w14:textFill>
        </w:rPr>
        <w:t>导向孔施工（或导向钻杆穿过原管道中心）</w:t>
      </w:r>
      <w:bookmarkEnd w:id="50"/>
    </w:p>
    <w:p w14:paraId="56FACE48">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全部设备安装后进行导向孔的施工，首先进行洞门凿除（洞口经测量定位后，打开到大于管道外径50mm）。洞门凿除即凿除洞门位置的钢筋砼，清除洞口内的混泥土等杂物，经检查没有剩余砼等杂物后，在洞口安装防水橡胶板。</w:t>
      </w:r>
    </w:p>
    <w:p w14:paraId="7968C3AD">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75"/>
          <w14:textFill>
            <w14:solidFill>
              <w14:schemeClr w14:val="tx1"/>
            </w14:solidFill>
          </w14:textFill>
        </w:rPr>
      </w:pPr>
      <w:r>
        <w:rPr>
          <w:color w:val="000000" w:themeColor="text1"/>
          <w:position w:val="-75"/>
          <w14:textFill>
            <w14:solidFill>
              <w14:schemeClr w14:val="tx1"/>
            </w14:solidFill>
          </w14:textFill>
        </w:rPr>
        <w:drawing>
          <wp:inline distT="0" distB="0" distL="0" distR="0">
            <wp:extent cx="3865245" cy="2326005"/>
            <wp:effectExtent l="0" t="0" r="1905" b="17145"/>
            <wp:docPr id="16" name="IM 62"/>
            <wp:cNvGraphicFramePr/>
            <a:graphic xmlns:a="http://schemas.openxmlformats.org/drawingml/2006/main">
              <a:graphicData uri="http://schemas.openxmlformats.org/drawingml/2006/picture">
                <pic:pic xmlns:pic="http://schemas.openxmlformats.org/drawingml/2006/picture">
                  <pic:nvPicPr>
                    <pic:cNvPr id="16" name="IM 62"/>
                    <pic:cNvPicPr/>
                  </pic:nvPicPr>
                  <pic:blipFill>
                    <a:blip r:embed="rId24"/>
                    <a:stretch>
                      <a:fillRect/>
                    </a:stretch>
                  </pic:blipFill>
                  <pic:spPr>
                    <a:xfrm>
                      <a:off x="0" y="0"/>
                      <a:ext cx="3865245" cy="2326005"/>
                    </a:xfrm>
                    <a:prstGeom prst="rect">
                      <a:avLst/>
                    </a:prstGeom>
                  </pic:spPr>
                </pic:pic>
              </a:graphicData>
            </a:graphic>
          </wp:inline>
        </w:drawing>
      </w:r>
    </w:p>
    <w:p w14:paraId="17BCEF03">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75"/>
          <w14:textFill>
            <w14:solidFill>
              <w14:schemeClr w14:val="tx1"/>
            </w14:solidFill>
          </w14:textFill>
        </w:rPr>
      </w:pPr>
      <w:r>
        <w:rPr>
          <w:color w:val="000000" w:themeColor="text1"/>
          <w:position w:val="-75"/>
          <w14:textFill>
            <w14:solidFill>
              <w14:schemeClr w14:val="tx1"/>
            </w14:solidFill>
          </w14:textFill>
        </w:rPr>
        <w:drawing>
          <wp:inline distT="0" distB="0" distL="0" distR="0">
            <wp:extent cx="2868930" cy="2590800"/>
            <wp:effectExtent l="0" t="0" r="7620" b="0"/>
            <wp:docPr id="17" name="IM 66"/>
            <wp:cNvGraphicFramePr/>
            <a:graphic xmlns:a="http://schemas.openxmlformats.org/drawingml/2006/main">
              <a:graphicData uri="http://schemas.openxmlformats.org/drawingml/2006/picture">
                <pic:pic xmlns:pic="http://schemas.openxmlformats.org/drawingml/2006/picture">
                  <pic:nvPicPr>
                    <pic:cNvPr id="17" name="IM 66"/>
                    <pic:cNvPicPr/>
                  </pic:nvPicPr>
                  <pic:blipFill>
                    <a:blip r:embed="rId25"/>
                    <a:stretch>
                      <a:fillRect/>
                    </a:stretch>
                  </pic:blipFill>
                  <pic:spPr>
                    <a:xfrm>
                      <a:off x="0" y="0"/>
                      <a:ext cx="2868930" cy="2590800"/>
                    </a:xfrm>
                    <a:prstGeom prst="rect">
                      <a:avLst/>
                    </a:prstGeom>
                  </pic:spPr>
                </pic:pic>
              </a:graphicData>
            </a:graphic>
          </wp:inline>
        </w:drawing>
      </w:r>
    </w:p>
    <w:p w14:paraId="50674745">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将导向钻头对准洞门中心点，向预设路线进行钻进，在钻进过程中，根据实际坡度不断调整导向钻头导向板位置，确保标高误差符合设计要求。</w:t>
      </w:r>
    </w:p>
    <w:p w14:paraId="32B47118">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在多个方向需要钻进时，不能同时开多个洞门，在一个方向钻进完成后，用注浆机将洞门与管的缝隙进行封堵，等强度达到75%时，才能进行下一个洞门凿除。</w:t>
      </w:r>
    </w:p>
    <w:p w14:paraId="2A6AEAAE">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导向钻头及导向钻杆是直径102mm的中空钢管（丝扣规格：NC31），通过手持导向仪、导向钻头内的探棒，同时通过导向钻头的调整，可精准地按预设的坡度和路线进行钻进。导向钻杆根据微型顶拉管钻机尺寸大小，其规格有：500mm、700mm、1000mm，每钻进一节，动力头在齿轮、齿条驱动下后退，再安放一节导向钻杆向接收井钻进。</w:t>
      </w:r>
    </w:p>
    <w:p w14:paraId="374FD5B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000000" w:themeColor="text1"/>
          <w:position w:val="-102"/>
          <w14:textFill>
            <w14:solidFill>
              <w14:schemeClr w14:val="tx1"/>
            </w14:solidFill>
          </w14:textFill>
        </w:rPr>
      </w:pPr>
      <w:r>
        <w:rPr>
          <w:color w:val="000000" w:themeColor="text1"/>
          <w:position w:val="-102"/>
          <w14:textFill>
            <w14:solidFill>
              <w14:schemeClr w14:val="tx1"/>
            </w14:solidFill>
          </w14:textFill>
        </w:rPr>
        <w:drawing>
          <wp:inline distT="0" distB="0" distL="0" distR="0">
            <wp:extent cx="1847215" cy="3069590"/>
            <wp:effectExtent l="0" t="0" r="635" b="1651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26"/>
                    <a:stretch>
                      <a:fillRect/>
                    </a:stretch>
                  </pic:blipFill>
                  <pic:spPr>
                    <a:xfrm>
                      <a:off x="0" y="0"/>
                      <a:ext cx="1847215" cy="3069590"/>
                    </a:xfrm>
                    <a:prstGeom prst="rect">
                      <a:avLst/>
                    </a:prstGeom>
                  </pic:spPr>
                </pic:pic>
              </a:graphicData>
            </a:graphic>
          </wp:inline>
        </w:drawing>
      </w:r>
    </w:p>
    <w:p w14:paraId="60D488A8">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在钻进过程中，泥浆泵提供的加了膨润土的水与钻进过程中产生的土不断搅拌，形成泥浆，泥浆从导向孔向工作井流动，地面泥浆车根据泥浆量情况进行工作。</w:t>
      </w:r>
    </w:p>
    <w:p w14:paraId="1713854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000000" w:themeColor="text1"/>
          <w:position w:val="-85"/>
          <w14:textFill>
            <w14:solidFill>
              <w14:schemeClr w14:val="tx1"/>
            </w14:solidFill>
          </w14:textFill>
        </w:rPr>
      </w:pPr>
      <w:r>
        <w:rPr>
          <w:color w:val="000000" w:themeColor="text1"/>
          <w:position w:val="-85"/>
          <w14:textFill>
            <w14:solidFill>
              <w14:schemeClr w14:val="tx1"/>
            </w14:solidFill>
          </w14:textFill>
        </w:rPr>
        <w:drawing>
          <wp:inline distT="0" distB="0" distL="0" distR="0">
            <wp:extent cx="2037715" cy="2396490"/>
            <wp:effectExtent l="0" t="0" r="635" b="381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27"/>
                    <a:stretch>
                      <a:fillRect/>
                    </a:stretch>
                  </pic:blipFill>
                  <pic:spPr>
                    <a:xfrm>
                      <a:off x="0" y="0"/>
                      <a:ext cx="2037715" cy="2396490"/>
                    </a:xfrm>
                    <a:prstGeom prst="rect">
                      <a:avLst/>
                    </a:prstGeom>
                  </pic:spPr>
                </pic:pic>
              </a:graphicData>
            </a:graphic>
          </wp:inline>
        </w:drawing>
      </w:r>
    </w:p>
    <w:p w14:paraId="52D2260E">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导向钻头、导向钻杆在施工中必须根据坡度情况不得旋转、钻进，动力头回转压力一般控制在6Mpa左右，推拉系统压力一般控制在2</w:t>
      </w:r>
      <w:r>
        <w:rPr>
          <w:rFonts w:hint="default"/>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5Mpa，必要时可加大回转系统压力、推拉系统压力，具体根据施工实际情况及设备厂家建议确定。</w:t>
      </w:r>
    </w:p>
    <w:p w14:paraId="4208628D">
      <w:pPr>
        <w:pStyle w:val="4"/>
        <w:bidi w:val="0"/>
        <w:rPr>
          <w:rFonts w:hint="default"/>
          <w:color w:val="000000" w:themeColor="text1"/>
          <w:lang w:val="en-US" w:eastAsia="zh-CN"/>
          <w14:textFill>
            <w14:solidFill>
              <w14:schemeClr w14:val="tx1"/>
            </w14:solidFill>
          </w14:textFill>
        </w:rPr>
      </w:pPr>
      <w:bookmarkStart w:id="51" w:name="_Toc26551"/>
      <w:r>
        <w:rPr>
          <w:rFonts w:hint="eastAsia"/>
          <w:color w:val="000000" w:themeColor="text1"/>
          <w:lang w:val="en-US" w:eastAsia="zh-CN"/>
          <w14:textFill>
            <w14:solidFill>
              <w14:schemeClr w14:val="tx1"/>
            </w14:solidFill>
          </w14:textFill>
        </w:rPr>
        <w:t>2.5.5 复测预判</w:t>
      </w:r>
      <w:bookmarkEnd w:id="51"/>
    </w:p>
    <w:p w14:paraId="34226450">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钻孔完成后，复核孔洞的轴线与高程是否与设计相符，如果偏差符合规范要求，则可以进行掘进扩孔，否则须将钻杆收回后，重新钻进纠正。</w:t>
      </w:r>
    </w:p>
    <w:p w14:paraId="66EF7C7A">
      <w:pPr>
        <w:pStyle w:val="4"/>
        <w:bidi w:val="0"/>
        <w:rPr>
          <w:rFonts w:hint="eastAsia"/>
          <w:color w:val="000000" w:themeColor="text1"/>
          <w:lang w:val="en-US" w:eastAsia="zh-CN"/>
          <w14:textFill>
            <w14:solidFill>
              <w14:schemeClr w14:val="tx1"/>
            </w14:solidFill>
          </w14:textFill>
        </w:rPr>
      </w:pPr>
      <w:bookmarkStart w:id="52" w:name="_Toc28848"/>
      <w:r>
        <w:rPr>
          <w:rFonts w:hint="eastAsia"/>
          <w:color w:val="000000" w:themeColor="text1"/>
          <w:lang w:val="en-US" w:eastAsia="zh-CN"/>
          <w14:textFill>
            <w14:solidFill>
              <w14:schemeClr w14:val="tx1"/>
            </w14:solidFill>
          </w14:textFill>
        </w:rPr>
        <w:t>2.5.6 回扩掘进、顶拉管道</w:t>
      </w:r>
      <w:bookmarkEnd w:id="52"/>
    </w:p>
    <w:p w14:paraId="7AA9A96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根据土层选定相对应化学泥浆，回扩掘进，同时微顶拉钻机与装管装置配合回拖顶拉管道。施工时应配备真空泥浆车配合，环境不充许时配备泥浆箱临时存放处理。</w:t>
      </w:r>
    </w:p>
    <w:p w14:paraId="2BD02B1E">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70"/>
          <w14:textFill>
            <w14:solidFill>
              <w14:schemeClr w14:val="tx1"/>
            </w14:solidFill>
          </w14:textFill>
        </w:rPr>
      </w:pPr>
      <w:r>
        <w:rPr>
          <w:color w:val="000000" w:themeColor="text1"/>
          <w:position w:val="-70"/>
          <w14:textFill>
            <w14:solidFill>
              <w14:schemeClr w14:val="tx1"/>
            </w14:solidFill>
          </w14:textFill>
        </w:rPr>
        <w:drawing>
          <wp:inline distT="0" distB="0" distL="0" distR="0">
            <wp:extent cx="4146550" cy="2249170"/>
            <wp:effectExtent l="0" t="0" r="6350" b="1778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28"/>
                    <a:stretch>
                      <a:fillRect/>
                    </a:stretch>
                  </pic:blipFill>
                  <pic:spPr>
                    <a:xfrm>
                      <a:off x="0" y="0"/>
                      <a:ext cx="4146803" cy="2249423"/>
                    </a:xfrm>
                    <a:prstGeom prst="rect">
                      <a:avLst/>
                    </a:prstGeom>
                  </pic:spPr>
                </pic:pic>
              </a:graphicData>
            </a:graphic>
          </wp:inline>
        </w:drawing>
      </w:r>
    </w:p>
    <w:p w14:paraId="58D3986F">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①将导向钻头卸下，将专用复合式扩孔器（带分动器、扶正器、拉管头）与钻杆前端联接；</w:t>
      </w:r>
    </w:p>
    <w:p w14:paraId="3A2D7EB9">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3862070" cy="2638425"/>
            <wp:effectExtent l="0" t="0" r="5080" b="9525"/>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29"/>
                    <a:stretch>
                      <a:fillRect/>
                    </a:stretch>
                  </pic:blipFill>
                  <pic:spPr>
                    <a:xfrm>
                      <a:off x="0" y="0"/>
                      <a:ext cx="3862070" cy="2638425"/>
                    </a:xfrm>
                    <a:prstGeom prst="rect">
                      <a:avLst/>
                    </a:prstGeom>
                    <a:noFill/>
                    <a:ln>
                      <a:noFill/>
                    </a:ln>
                  </pic:spPr>
                </pic:pic>
              </a:graphicData>
            </a:graphic>
          </wp:inline>
        </w:drawing>
      </w:r>
    </w:p>
    <w:p w14:paraId="209C926D">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62"/>
          <w14:textFill>
            <w14:solidFill>
              <w14:schemeClr w14:val="tx1"/>
            </w14:solidFill>
          </w14:textFill>
        </w:rPr>
      </w:pPr>
      <w:r>
        <w:rPr>
          <w:color w:val="000000" w:themeColor="text1"/>
          <w:position w:val="-62"/>
          <w14:textFill>
            <w14:solidFill>
              <w14:schemeClr w14:val="tx1"/>
            </w14:solidFill>
          </w14:textFill>
        </w:rPr>
        <w:drawing>
          <wp:inline distT="0" distB="0" distL="0" distR="0">
            <wp:extent cx="5736590" cy="1464945"/>
            <wp:effectExtent l="0" t="0" r="16510" b="1905"/>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30"/>
                    <a:stretch>
                      <a:fillRect/>
                    </a:stretch>
                  </pic:blipFill>
                  <pic:spPr>
                    <a:xfrm>
                      <a:off x="0" y="0"/>
                      <a:ext cx="5736590" cy="1464945"/>
                    </a:xfrm>
                    <a:prstGeom prst="rect">
                      <a:avLst/>
                    </a:prstGeom>
                  </pic:spPr>
                </pic:pic>
              </a:graphicData>
            </a:graphic>
          </wp:inline>
        </w:drawing>
      </w:r>
    </w:p>
    <w:p w14:paraId="5C5AF4C6">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②操作微顶钻机推拉液压马达和动力头回转液压马达的控制阀门，使动力头一边作回拖（拉）运动，同时带动导向钻杆、复合式扩孔器旋转，实现回扩掘进。</w:t>
      </w:r>
    </w:p>
    <w:p w14:paraId="32261958">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61"/>
          <w14:textFill>
            <w14:solidFill>
              <w14:schemeClr w14:val="tx1"/>
            </w14:solidFill>
          </w14:textFill>
        </w:rPr>
      </w:pPr>
      <w:r>
        <w:rPr>
          <w:color w:val="000000" w:themeColor="text1"/>
          <w:position w:val="-61"/>
          <w14:textFill>
            <w14:solidFill>
              <w14:schemeClr w14:val="tx1"/>
            </w14:solidFill>
          </w14:textFill>
        </w:rPr>
        <w:drawing>
          <wp:inline distT="0" distB="0" distL="0" distR="0">
            <wp:extent cx="4422140" cy="2402205"/>
            <wp:effectExtent l="0" t="0" r="16510" b="17145"/>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31"/>
                    <a:stretch>
                      <a:fillRect/>
                    </a:stretch>
                  </pic:blipFill>
                  <pic:spPr>
                    <a:xfrm>
                      <a:off x="0" y="0"/>
                      <a:ext cx="4422140" cy="2402205"/>
                    </a:xfrm>
                    <a:prstGeom prst="rect">
                      <a:avLst/>
                    </a:prstGeom>
                  </pic:spPr>
                </pic:pic>
              </a:graphicData>
            </a:graphic>
          </wp:inline>
        </w:drawing>
      </w:r>
    </w:p>
    <w:p w14:paraId="60357E81">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61"/>
          <w14:textFill>
            <w14:solidFill>
              <w14:schemeClr w14:val="tx1"/>
            </w14:solidFill>
          </w14:textFill>
        </w:rPr>
      </w:pPr>
      <w:r>
        <w:rPr>
          <w:color w:val="000000" w:themeColor="text1"/>
          <w:position w:val="-61"/>
          <w14:textFill>
            <w14:solidFill>
              <w14:schemeClr w14:val="tx1"/>
            </w14:solidFill>
          </w14:textFill>
        </w:rPr>
        <w:drawing>
          <wp:inline distT="0" distB="0" distL="0" distR="0">
            <wp:extent cx="2466975" cy="2833370"/>
            <wp:effectExtent l="0" t="0" r="9525" b="508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32"/>
                    <a:stretch>
                      <a:fillRect/>
                    </a:stretch>
                  </pic:blipFill>
                  <pic:spPr>
                    <a:xfrm>
                      <a:off x="0" y="0"/>
                      <a:ext cx="2466975" cy="2833370"/>
                    </a:xfrm>
                    <a:prstGeom prst="rect">
                      <a:avLst/>
                    </a:prstGeom>
                  </pic:spPr>
                </pic:pic>
              </a:graphicData>
            </a:graphic>
          </wp:inline>
        </w:drawing>
      </w:r>
    </w:p>
    <w:p w14:paraId="12DB2610">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③将管道吊入放置在接收井内，将拉杆与复合式扩孔器的拉管头连接，同时将管道套入拉杆及拉管头中；用装管油缸将管慢慢顶入拉管头，直至贴合紧密；装上止水密封装置（适用流沙流塑土层，在井体进出洞方向增加，其它不透水层不需要该措施）。</w:t>
      </w:r>
    </w:p>
    <w:p w14:paraId="4CBC4503">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149"/>
          <w14:textFill>
            <w14:solidFill>
              <w14:schemeClr w14:val="tx1"/>
            </w14:solidFill>
          </w14:textFill>
        </w:rPr>
      </w:pPr>
      <w:r>
        <w:rPr>
          <w:color w:val="000000" w:themeColor="text1"/>
          <w:position w:val="-149"/>
          <w14:textFill>
            <w14:solidFill>
              <w14:schemeClr w14:val="tx1"/>
            </w14:solidFill>
          </w14:textFill>
        </w:rPr>
        <w:drawing>
          <wp:inline distT="0" distB="0" distL="0" distR="0">
            <wp:extent cx="3129280" cy="3183890"/>
            <wp:effectExtent l="0" t="0" r="13970" b="1651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33"/>
                    <a:stretch>
                      <a:fillRect/>
                    </a:stretch>
                  </pic:blipFill>
                  <pic:spPr>
                    <a:xfrm>
                      <a:off x="0" y="0"/>
                      <a:ext cx="3129280" cy="3183890"/>
                    </a:xfrm>
                    <a:prstGeom prst="rect">
                      <a:avLst/>
                    </a:prstGeom>
                  </pic:spPr>
                </pic:pic>
              </a:graphicData>
            </a:graphic>
          </wp:inline>
        </w:drawing>
      </w:r>
    </w:p>
    <w:p w14:paraId="410B6B64">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④操作微顶钻机推拉液压马达和动力头回转液压马达的控制阀门，使动力头一边旋转一边回拖，导向钻杆带动复合式扩孔器旋转、回拉，实现回扩掘进与顶拉管道。</w:t>
      </w:r>
    </w:p>
    <w:p w14:paraId="5C042300">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⑤装上拉杆、管道，将压板套入钻杆并装入管道中，装上顶管油缸，缓慢推进，将管道压入前一节管道中，直至贴合紧密。</w:t>
      </w:r>
    </w:p>
    <w:p w14:paraId="14FC82FE">
      <w:pPr>
        <w:bidi w:val="0"/>
        <w:ind w:left="0" w:lef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648200" cy="3381375"/>
            <wp:effectExtent l="0" t="0" r="0" b="9525"/>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34"/>
                    <a:stretch>
                      <a:fillRect/>
                    </a:stretch>
                  </pic:blipFill>
                  <pic:spPr>
                    <a:xfrm>
                      <a:off x="0" y="0"/>
                      <a:ext cx="4648200" cy="3381375"/>
                    </a:xfrm>
                    <a:prstGeom prst="rect">
                      <a:avLst/>
                    </a:prstGeom>
                    <a:noFill/>
                    <a:ln>
                      <a:noFill/>
                    </a:ln>
                  </pic:spPr>
                </pic:pic>
              </a:graphicData>
            </a:graphic>
          </wp:inline>
        </w:drawing>
      </w:r>
    </w:p>
    <w:p w14:paraId="6E955993">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103"/>
          <w14:textFill>
            <w14:solidFill>
              <w14:schemeClr w14:val="tx1"/>
            </w14:solidFill>
          </w14:textFill>
        </w:rPr>
      </w:pPr>
      <w:r>
        <w:rPr>
          <w:color w:val="000000" w:themeColor="text1"/>
          <w:position w:val="-103"/>
          <w14:textFill>
            <w14:solidFill>
              <w14:schemeClr w14:val="tx1"/>
            </w14:solidFill>
          </w14:textFill>
        </w:rPr>
        <w:drawing>
          <wp:inline distT="0" distB="0" distL="0" distR="0">
            <wp:extent cx="2047875" cy="3279140"/>
            <wp:effectExtent l="0" t="0" r="9525" b="1651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35"/>
                    <a:stretch>
                      <a:fillRect/>
                    </a:stretch>
                  </pic:blipFill>
                  <pic:spPr>
                    <a:xfrm>
                      <a:off x="0" y="0"/>
                      <a:ext cx="2048255" cy="3279648"/>
                    </a:xfrm>
                    <a:prstGeom prst="rect">
                      <a:avLst/>
                    </a:prstGeom>
                  </pic:spPr>
                </pic:pic>
              </a:graphicData>
            </a:graphic>
          </wp:inline>
        </w:drawing>
      </w:r>
    </w:p>
    <w:p w14:paraId="1EE1676B">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⑥操作推拉液压马达及动力头回转液压马达的控制阀门，使动力头一边旋转一边回拖，导向钻杆带动复合式扩孔器旋转、回拉，实现扩孔器回扩掘进、顶拉管道，从而实现管道铺设。</w:t>
      </w:r>
    </w:p>
    <w:p w14:paraId="2C23BB91">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⑦重复步骤⑤、⑥</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直至完成管道铺设工作。</w:t>
      </w:r>
    </w:p>
    <w:p w14:paraId="0B3FD413">
      <w:pPr>
        <w:bidi w:val="0"/>
        <w:ind w:left="0" w:leftChars="0" w:firstLine="0" w:firstLineChars="0"/>
        <w:jc w:val="center"/>
        <w:rPr>
          <w:color w:val="000000" w:themeColor="text1"/>
          <w:position w:val="-81"/>
          <w14:textFill>
            <w14:solidFill>
              <w14:schemeClr w14:val="tx1"/>
            </w14:solidFill>
          </w14:textFill>
        </w:rPr>
      </w:pPr>
      <w:r>
        <w:rPr>
          <w:color w:val="000000" w:themeColor="text1"/>
          <w:position w:val="-81"/>
          <w14:textFill>
            <w14:solidFill>
              <w14:schemeClr w14:val="tx1"/>
            </w14:solidFill>
          </w14:textFill>
        </w:rPr>
        <w:drawing>
          <wp:inline distT="0" distB="0" distL="0" distR="0">
            <wp:extent cx="2890520" cy="2593340"/>
            <wp:effectExtent l="0" t="0" r="5080" b="1651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36"/>
                    <a:stretch>
                      <a:fillRect/>
                    </a:stretch>
                  </pic:blipFill>
                  <pic:spPr>
                    <a:xfrm>
                      <a:off x="0" y="0"/>
                      <a:ext cx="2891028" cy="2593847"/>
                    </a:xfrm>
                    <a:prstGeom prst="rect">
                      <a:avLst/>
                    </a:prstGeom>
                  </pic:spPr>
                </pic:pic>
              </a:graphicData>
            </a:graphic>
          </wp:inline>
        </w:drawing>
      </w:r>
    </w:p>
    <w:p w14:paraId="4C4436E2">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81"/>
          <w14:textFill>
            <w14:solidFill>
              <w14:schemeClr w14:val="tx1"/>
            </w14:solidFill>
          </w14:textFill>
        </w:rPr>
      </w:pPr>
      <w:r>
        <w:rPr>
          <w:color w:val="000000" w:themeColor="text1"/>
          <w:position w:val="-81"/>
          <w14:textFill>
            <w14:solidFill>
              <w14:schemeClr w14:val="tx1"/>
            </w14:solidFill>
          </w14:textFill>
        </w:rPr>
        <w:drawing>
          <wp:inline distT="0" distB="0" distL="0" distR="0">
            <wp:extent cx="3468370" cy="2596515"/>
            <wp:effectExtent l="0" t="0" r="17780" b="13335"/>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37"/>
                    <a:stretch>
                      <a:fillRect/>
                    </a:stretch>
                  </pic:blipFill>
                  <pic:spPr>
                    <a:xfrm>
                      <a:off x="0" y="0"/>
                      <a:ext cx="3468623" cy="2596895"/>
                    </a:xfrm>
                    <a:prstGeom prst="rect">
                      <a:avLst/>
                    </a:prstGeom>
                  </pic:spPr>
                </pic:pic>
              </a:graphicData>
            </a:graphic>
          </wp:inline>
        </w:drawing>
      </w:r>
    </w:p>
    <w:p w14:paraId="547A2D79">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91"/>
          <w14:textFill>
            <w14:solidFill>
              <w14:schemeClr w14:val="tx1"/>
            </w14:solidFill>
          </w14:textFill>
        </w:rPr>
      </w:pPr>
      <w:r>
        <w:rPr>
          <w:color w:val="000000" w:themeColor="text1"/>
          <w:position w:val="-91"/>
          <w14:textFill>
            <w14:solidFill>
              <w14:schemeClr w14:val="tx1"/>
            </w14:solidFill>
          </w14:textFill>
        </w:rPr>
        <w:drawing>
          <wp:inline distT="0" distB="0" distL="0" distR="0">
            <wp:extent cx="2140585" cy="2917825"/>
            <wp:effectExtent l="0" t="0" r="12065" b="15875"/>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38"/>
                    <a:stretch>
                      <a:fillRect/>
                    </a:stretch>
                  </pic:blipFill>
                  <pic:spPr>
                    <a:xfrm>
                      <a:off x="0" y="0"/>
                      <a:ext cx="2141219" cy="2918459"/>
                    </a:xfrm>
                    <a:prstGeom prst="rect">
                      <a:avLst/>
                    </a:prstGeom>
                  </pic:spPr>
                </pic:pic>
              </a:graphicData>
            </a:graphic>
          </wp:inline>
        </w:drawing>
      </w:r>
    </w:p>
    <w:p w14:paraId="17EB7BC3">
      <w:pPr>
        <w:keepNext w:val="0"/>
        <w:keepLines w:val="0"/>
        <w:pageBreakBefore w:val="0"/>
        <w:widowControl w:val="0"/>
        <w:kinsoku/>
        <w:wordWrap/>
        <w:overflowPunct/>
        <w:topLinePunct w:val="0"/>
        <w:autoSpaceDE/>
        <w:autoSpaceDN/>
        <w:bidi w:val="0"/>
        <w:adjustRightInd/>
        <w:snapToGrid/>
        <w:spacing w:line="300" w:lineRule="auto"/>
        <w:ind w:left="0" w:leftChars="0" w:firstLine="0" w:firstLineChars="0"/>
        <w:jc w:val="center"/>
        <w:textAlignment w:val="auto"/>
        <w:rPr>
          <w:color w:val="000000" w:themeColor="text1"/>
          <w:position w:val="-108"/>
          <w14:textFill>
            <w14:solidFill>
              <w14:schemeClr w14:val="tx1"/>
            </w14:solidFill>
          </w14:textFill>
        </w:rPr>
      </w:pPr>
      <w:r>
        <w:rPr>
          <w:color w:val="000000" w:themeColor="text1"/>
          <w:position w:val="-91"/>
          <w14:textFill>
            <w14:solidFill>
              <w14:schemeClr w14:val="tx1"/>
            </w14:solidFill>
          </w14:textFill>
        </w:rPr>
        <w:drawing>
          <wp:inline distT="0" distB="0" distL="0" distR="0">
            <wp:extent cx="3599815" cy="2917825"/>
            <wp:effectExtent l="0" t="0" r="635" b="15875"/>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39"/>
                    <a:stretch>
                      <a:fillRect/>
                    </a:stretch>
                  </pic:blipFill>
                  <pic:spPr>
                    <a:xfrm>
                      <a:off x="0" y="0"/>
                      <a:ext cx="3599815" cy="2918459"/>
                    </a:xfrm>
                    <a:prstGeom prst="rect">
                      <a:avLst/>
                    </a:prstGeom>
                  </pic:spPr>
                </pic:pic>
              </a:graphicData>
            </a:graphic>
          </wp:inline>
        </w:drawing>
      </w:r>
      <w:r>
        <w:rPr>
          <w:color w:val="000000" w:themeColor="text1"/>
          <w:position w:val="-108"/>
          <w14:textFill>
            <w14:solidFill>
              <w14:schemeClr w14:val="tx1"/>
            </w14:solidFill>
          </w14:textFill>
        </w:rPr>
        <w:drawing>
          <wp:inline distT="0" distB="0" distL="0" distR="0">
            <wp:extent cx="5039995" cy="3457575"/>
            <wp:effectExtent l="0" t="0" r="8255" b="9525"/>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40"/>
                    <a:stretch>
                      <a:fillRect/>
                    </a:stretch>
                  </pic:blipFill>
                  <pic:spPr>
                    <a:xfrm>
                      <a:off x="0" y="0"/>
                      <a:ext cx="5039995" cy="3457955"/>
                    </a:xfrm>
                    <a:prstGeom prst="rect">
                      <a:avLst/>
                    </a:prstGeom>
                  </pic:spPr>
                </pic:pic>
              </a:graphicData>
            </a:graphic>
          </wp:inline>
        </w:drawing>
      </w:r>
    </w:p>
    <w:p w14:paraId="53D7E58B">
      <w:pPr>
        <w:pStyle w:val="4"/>
        <w:bidi w:val="0"/>
        <w:rPr>
          <w:rFonts w:hint="default"/>
          <w:color w:val="000000" w:themeColor="text1"/>
          <w:lang w:val="en-US" w:eastAsia="zh-CN"/>
          <w14:textFill>
            <w14:solidFill>
              <w14:schemeClr w14:val="tx1"/>
            </w14:solidFill>
          </w14:textFill>
        </w:rPr>
      </w:pPr>
      <w:bookmarkStart w:id="53" w:name="_Toc5525"/>
      <w:r>
        <w:rPr>
          <w:rFonts w:hint="eastAsia"/>
          <w:color w:val="000000" w:themeColor="text1"/>
          <w:lang w:val="en-US" w:eastAsia="zh-CN"/>
          <w14:textFill>
            <w14:solidFill>
              <w14:schemeClr w14:val="tx1"/>
            </w14:solidFill>
          </w14:textFill>
        </w:rPr>
        <w:t xml:space="preserve">2.5.7 </w:t>
      </w:r>
      <w:r>
        <w:rPr>
          <w:rFonts w:hint="default"/>
          <w:color w:val="000000" w:themeColor="text1"/>
          <w:lang w:val="en-US" w:eastAsia="zh-CN"/>
          <w14:textFill>
            <w14:solidFill>
              <w14:schemeClr w14:val="tx1"/>
            </w14:solidFill>
          </w14:textFill>
        </w:rPr>
        <w:t>管道铺设完成，拆除设备，设备撤场</w:t>
      </w:r>
      <w:bookmarkEnd w:id="53"/>
    </w:p>
    <w:p w14:paraId="36FD096C">
      <w:pPr>
        <w:ind w:left="0" w:leftChars="0" w:firstLine="0" w:firstLineChars="0"/>
        <w:jc w:val="center"/>
        <w:rPr>
          <w:color w:val="000000" w:themeColor="text1"/>
          <w:position w:val="-69"/>
          <w14:textFill>
            <w14:solidFill>
              <w14:schemeClr w14:val="tx1"/>
            </w14:solidFill>
          </w14:textFill>
        </w:rPr>
      </w:pPr>
      <w:r>
        <w:rPr>
          <w:color w:val="000000" w:themeColor="text1"/>
          <w:position w:val="-69"/>
          <w14:textFill>
            <w14:solidFill>
              <w14:schemeClr w14:val="tx1"/>
            </w14:solidFill>
          </w14:textFill>
        </w:rPr>
        <w:drawing>
          <wp:inline distT="0" distB="0" distL="0" distR="0">
            <wp:extent cx="5400040" cy="2209800"/>
            <wp:effectExtent l="0" t="0" r="1016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41"/>
                    <a:stretch>
                      <a:fillRect/>
                    </a:stretch>
                  </pic:blipFill>
                  <pic:spPr>
                    <a:xfrm>
                      <a:off x="0" y="0"/>
                      <a:ext cx="5400040" cy="2209800"/>
                    </a:xfrm>
                    <a:prstGeom prst="rect">
                      <a:avLst/>
                    </a:prstGeom>
                  </pic:spPr>
                </pic:pic>
              </a:graphicData>
            </a:graphic>
          </wp:inline>
        </w:drawing>
      </w:r>
    </w:p>
    <w:p w14:paraId="179B069A">
      <w:pPr>
        <w:pStyle w:val="4"/>
        <w:bidi w:val="0"/>
        <w:rPr>
          <w:rFonts w:hint="default"/>
          <w:color w:val="000000" w:themeColor="text1"/>
          <w:lang w:val="en-US" w:eastAsia="zh-CN"/>
          <w14:textFill>
            <w14:solidFill>
              <w14:schemeClr w14:val="tx1"/>
            </w14:solidFill>
          </w14:textFill>
        </w:rPr>
      </w:pPr>
      <w:bookmarkStart w:id="54" w:name="_Toc20777"/>
      <w:r>
        <w:rPr>
          <w:rFonts w:hint="eastAsia"/>
          <w:color w:val="000000" w:themeColor="text1"/>
          <w:lang w:val="en-US" w:eastAsia="zh-CN"/>
          <w14:textFill>
            <w14:solidFill>
              <w14:schemeClr w14:val="tx1"/>
            </w14:solidFill>
          </w14:textFill>
        </w:rPr>
        <w:t xml:space="preserve">2.5.8 </w:t>
      </w:r>
      <w:r>
        <w:rPr>
          <w:rFonts w:hint="default"/>
          <w:color w:val="000000" w:themeColor="text1"/>
          <w:lang w:val="en-US" w:eastAsia="zh-CN"/>
          <w14:textFill>
            <w14:solidFill>
              <w14:schemeClr w14:val="tx1"/>
            </w14:solidFill>
          </w14:textFill>
        </w:rPr>
        <w:t>微型顶拉管施工质量验收标准</w:t>
      </w:r>
      <w:bookmarkEnd w:id="54"/>
    </w:p>
    <w:p w14:paraId="3A0F1B0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 xml:space="preserve"> 顶管工程开始前，承包商必须提交完整的施工组织设计，描述依照规范所必须的测量标志，包括要用到的顶管设备的类型、详细尺寸、施工原理、技术措施，包括泥浆及废弃物的处理 等。</w:t>
      </w:r>
    </w:p>
    <w:p w14:paraId="5014FAD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 xml:space="preserve"> 要采用的管道和管道接缝应至少符合常规的管道和接缝标准，包括制作材料、误差、最小长度等等。</w:t>
      </w:r>
    </w:p>
    <w:p w14:paraId="434F0AB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 xml:space="preserve"> 在管道顶进施工之前，首先要确定管道在垂直和水平方向上与设计轨迹的允许偏差，在这一最大偏差的限制下，所铺设的管道应满足如下两方面的要求：</w:t>
      </w:r>
    </w:p>
    <w:p w14:paraId="01D8CE2F">
      <w:pPr>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①</w:t>
      </w:r>
      <w:r>
        <w:rPr>
          <w:rFonts w:hint="default"/>
          <w:color w:val="000000" w:themeColor="text1"/>
          <w:lang w:val="en-US" w:eastAsia="zh-CN"/>
          <w14:textFill>
            <w14:solidFill>
              <w14:schemeClr w14:val="tx1"/>
            </w14:solidFill>
          </w14:textFill>
        </w:rPr>
        <w:t>符合管道的既定功能要求；</w:t>
      </w:r>
    </w:p>
    <w:p w14:paraId="603BDAC8">
      <w:pPr>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②</w:t>
      </w:r>
      <w:r>
        <w:rPr>
          <w:rFonts w:hint="default"/>
          <w:color w:val="000000" w:themeColor="text1"/>
          <w:lang w:val="en-US" w:eastAsia="zh-CN"/>
          <w14:textFill>
            <w14:solidFill>
              <w14:schemeClr w14:val="tx1"/>
            </w14:solidFill>
          </w14:textFill>
        </w:rPr>
        <w:t>产生偏差的范围内不能损坏到其他的建筑和设备。</w:t>
      </w:r>
    </w:p>
    <w:p w14:paraId="192B22AC">
      <w:pPr>
        <w:numPr>
          <w:ilvl w:val="0"/>
          <w:numId w:val="0"/>
        </w:numPr>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4</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一般情况下，顶管施工的允许偏差必须满足表</w:t>
      </w:r>
      <w:r>
        <w:rPr>
          <w:rFonts w:hint="eastAsia"/>
          <w:color w:val="000000" w:themeColor="text1"/>
          <w:lang w:val="en-US" w:eastAsia="zh-CN"/>
          <w14:textFill>
            <w14:solidFill>
              <w14:schemeClr w14:val="tx1"/>
            </w14:solidFill>
          </w14:textFill>
        </w:rPr>
        <w:t>2-6</w:t>
      </w:r>
      <w:r>
        <w:rPr>
          <w:rFonts w:hint="default"/>
          <w:color w:val="000000" w:themeColor="text1"/>
          <w:lang w:val="en-US" w:eastAsia="zh-CN"/>
          <w14:textFill>
            <w14:solidFill>
              <w14:schemeClr w14:val="tx1"/>
            </w14:solidFill>
          </w14:textFill>
        </w:rPr>
        <w:t>中列出的具体要求。</w:t>
      </w:r>
    </w:p>
    <w:p w14:paraId="1E99F614">
      <w:pPr>
        <w:numPr>
          <w:ilvl w:val="0"/>
          <w:numId w:val="0"/>
        </w:numPr>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表</w:t>
      </w:r>
      <w:r>
        <w:rPr>
          <w:rFonts w:hint="eastAsia"/>
          <w:color w:val="000000" w:themeColor="text1"/>
          <w:lang w:val="en-US" w:eastAsia="zh-CN"/>
          <w14:textFill>
            <w14:solidFill>
              <w14:schemeClr w14:val="tx1"/>
            </w14:solidFill>
          </w14:textFill>
        </w:rPr>
        <w:t xml:space="preserve">2-6 </w:t>
      </w:r>
      <w:r>
        <w:rPr>
          <w:rFonts w:hint="default"/>
          <w:color w:val="000000" w:themeColor="text1"/>
          <w:lang w:val="en-US" w:eastAsia="zh-CN"/>
          <w14:textFill>
            <w14:solidFill>
              <w14:schemeClr w14:val="tx1"/>
            </w14:solidFill>
          </w14:textFill>
        </w:rPr>
        <w:t>一般情况的顶管施工的最大允许偏差</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mm</w:t>
      </w:r>
      <w:r>
        <w:rPr>
          <w:rFonts w:hint="eastAsia"/>
          <w:color w:val="000000" w:themeColor="text1"/>
          <w:lang w:val="en-US" w:eastAsia="zh-CN"/>
          <w14:textFill>
            <w14:solidFill>
              <w14:schemeClr w14:val="tx1"/>
            </w14:solidFill>
          </w14:textFill>
        </w:rPr>
        <w:t>）</w:t>
      </w:r>
    </w:p>
    <w:tbl>
      <w:tblPr>
        <w:tblStyle w:val="31"/>
        <w:tblW w:w="852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44"/>
        <w:gridCol w:w="2840"/>
        <w:gridCol w:w="2840"/>
      </w:tblGrid>
      <w:tr w14:paraId="43ACF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2844" w:type="dxa"/>
            <w:vAlign w:val="center"/>
          </w:tcPr>
          <w:p w14:paraId="64BC36D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7"/>
                <w:kern w:val="0"/>
                <w:sz w:val="21"/>
                <w:szCs w:val="21"/>
                <w:lang w:val="en-US" w:eastAsia="en-US" w:bidi="ar-SA"/>
                <w14:textFill>
                  <w14:solidFill>
                    <w14:schemeClr w14:val="tx1"/>
                  </w14:solidFill>
                </w14:textFill>
              </w:rPr>
              <w:t>项目</w:t>
            </w:r>
          </w:p>
        </w:tc>
        <w:tc>
          <w:tcPr>
            <w:tcW w:w="5680" w:type="dxa"/>
            <w:gridSpan w:val="2"/>
            <w:vAlign w:val="center"/>
          </w:tcPr>
          <w:p w14:paraId="270C7F6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1"/>
                <w:szCs w:val="21"/>
                <w:lang w:val="en-US" w:eastAsia="en-US" w:bidi="ar-SA"/>
                <w14:textFill>
                  <w14:solidFill>
                    <w14:schemeClr w14:val="tx1"/>
                  </w14:solidFill>
                </w14:textFill>
              </w:rPr>
              <w:t>允许偏差</w:t>
            </w:r>
          </w:p>
        </w:tc>
      </w:tr>
      <w:tr w14:paraId="769743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2844" w:type="dxa"/>
            <w:vMerge w:val="restart"/>
            <w:tcBorders>
              <w:bottom w:val="nil"/>
            </w:tcBorders>
            <w:vAlign w:val="center"/>
          </w:tcPr>
          <w:p w14:paraId="0F4153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t>轴线位置</w:t>
            </w:r>
          </w:p>
        </w:tc>
        <w:tc>
          <w:tcPr>
            <w:tcW w:w="2840" w:type="dxa"/>
            <w:vAlign w:val="center"/>
          </w:tcPr>
          <w:p w14:paraId="4A5B611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i/>
                <w:iCs/>
                <w:snapToGrid w:val="0"/>
                <w:color w:val="000000" w:themeColor="text1"/>
                <w:spacing w:val="-2"/>
                <w:kern w:val="0"/>
                <w:sz w:val="21"/>
                <w:szCs w:val="21"/>
                <w:lang w:val="en-US" w:eastAsia="en-US" w:bidi="ar-SA"/>
                <w14:textFill>
                  <w14:solidFill>
                    <w14:schemeClr w14:val="tx1"/>
                  </w14:solidFill>
                </w14:textFill>
              </w:rPr>
              <w:t>D</w:t>
            </w: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&lt;1500</w:t>
            </w:r>
          </w:p>
        </w:tc>
        <w:tc>
          <w:tcPr>
            <w:tcW w:w="2840" w:type="dxa"/>
            <w:vAlign w:val="center"/>
          </w:tcPr>
          <w:p w14:paraId="3F24EA6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1"/>
                <w:szCs w:val="21"/>
                <w:lang w:val="en-US" w:eastAsia="en-US" w:bidi="ar-SA"/>
                <w14:textFill>
                  <w14:solidFill>
                    <w14:schemeClr w14:val="tx1"/>
                  </w14:solidFill>
                </w14:textFill>
              </w:rPr>
              <w:t>&lt;100</w:t>
            </w:r>
          </w:p>
        </w:tc>
      </w:tr>
      <w:tr w14:paraId="41FAE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844" w:type="dxa"/>
            <w:vMerge w:val="continue"/>
            <w:tcBorders>
              <w:top w:val="nil"/>
            </w:tcBorders>
            <w:vAlign w:val="center"/>
          </w:tcPr>
          <w:p w14:paraId="6311DB2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Arial" w:cs="Times New Roman"/>
                <w:snapToGrid w:val="0"/>
                <w:color w:val="000000" w:themeColor="text1"/>
                <w:kern w:val="0"/>
                <w:sz w:val="21"/>
                <w:szCs w:val="21"/>
                <w:lang w:eastAsia="en-US"/>
                <w14:textFill>
                  <w14:solidFill>
                    <w14:schemeClr w14:val="tx1"/>
                  </w14:solidFill>
                </w14:textFill>
              </w:rPr>
            </w:pPr>
          </w:p>
        </w:tc>
        <w:tc>
          <w:tcPr>
            <w:tcW w:w="2840" w:type="dxa"/>
            <w:vAlign w:val="center"/>
          </w:tcPr>
          <w:p w14:paraId="28341B0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i/>
                <w:iCs/>
                <w:snapToGrid w:val="0"/>
                <w:color w:val="000000" w:themeColor="text1"/>
                <w:spacing w:val="-2"/>
                <w:kern w:val="0"/>
                <w:sz w:val="21"/>
                <w:szCs w:val="21"/>
                <w:lang w:val="en-US" w:eastAsia="en-US" w:bidi="ar-SA"/>
                <w14:textFill>
                  <w14:solidFill>
                    <w14:schemeClr w14:val="tx1"/>
                  </w14:solidFill>
                </w14:textFill>
              </w:rPr>
              <w:t>D</w:t>
            </w:r>
            <w:r>
              <w:rPr>
                <w:rFonts w:hint="eastAsia" w:ascii="宋体" w:hAnsi="宋体" w:eastAsia="宋体" w:cs="宋体"/>
                <w:snapToGrid w:val="0"/>
                <w:color w:val="000000" w:themeColor="text1"/>
                <w:spacing w:val="-2"/>
                <w:kern w:val="0"/>
                <w:sz w:val="21"/>
                <w:szCs w:val="21"/>
                <w:lang w:val="en-US" w:eastAsia="en-US" w:bidi="ar-SA"/>
                <w14:textFill>
                  <w14:solidFill>
                    <w14:schemeClr w14:val="tx1"/>
                  </w14:solidFill>
                </w14:textFill>
              </w:rPr>
              <w:t>≥</w:t>
            </w: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1500</w:t>
            </w:r>
          </w:p>
        </w:tc>
        <w:tc>
          <w:tcPr>
            <w:tcW w:w="2840" w:type="dxa"/>
            <w:vAlign w:val="center"/>
          </w:tcPr>
          <w:p w14:paraId="2D3A042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1"/>
                <w:szCs w:val="21"/>
                <w:lang w:val="en-US" w:eastAsia="en-US" w:bidi="ar-SA"/>
                <w14:textFill>
                  <w14:solidFill>
                    <w14:schemeClr w14:val="tx1"/>
                  </w14:solidFill>
                </w14:textFill>
              </w:rPr>
              <w:t>&lt;200</w:t>
            </w:r>
          </w:p>
        </w:tc>
      </w:tr>
      <w:tr w14:paraId="062D0D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844" w:type="dxa"/>
            <w:vMerge w:val="restart"/>
            <w:tcBorders>
              <w:bottom w:val="nil"/>
            </w:tcBorders>
            <w:vAlign w:val="center"/>
          </w:tcPr>
          <w:p w14:paraId="71A1D8D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t>管道内底高程</w:t>
            </w:r>
          </w:p>
        </w:tc>
        <w:tc>
          <w:tcPr>
            <w:tcW w:w="2840" w:type="dxa"/>
            <w:vAlign w:val="center"/>
          </w:tcPr>
          <w:p w14:paraId="34AC7AE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i/>
                <w:iCs/>
                <w:snapToGrid w:val="0"/>
                <w:color w:val="000000" w:themeColor="text1"/>
                <w:spacing w:val="-2"/>
                <w:kern w:val="0"/>
                <w:sz w:val="21"/>
                <w:szCs w:val="21"/>
                <w:lang w:val="en-US" w:eastAsia="en-US" w:bidi="ar-SA"/>
                <w14:textFill>
                  <w14:solidFill>
                    <w14:schemeClr w14:val="tx1"/>
                  </w14:solidFill>
                </w14:textFill>
              </w:rPr>
              <w:t>D</w:t>
            </w: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&lt;1500</w:t>
            </w:r>
          </w:p>
        </w:tc>
        <w:tc>
          <w:tcPr>
            <w:tcW w:w="2840" w:type="dxa"/>
            <w:vAlign w:val="center"/>
          </w:tcPr>
          <w:p w14:paraId="76AB499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snapToGrid w:val="0"/>
                <w:color w:val="000000" w:themeColor="text1"/>
                <w:spacing w:val="-3"/>
                <w:kern w:val="0"/>
                <w:sz w:val="21"/>
                <w:szCs w:val="21"/>
                <w:lang w:val="en-US" w:eastAsia="en-US" w:bidi="ar-SA"/>
                <w14:textFill>
                  <w14:solidFill>
                    <w14:schemeClr w14:val="tx1"/>
                  </w14:solidFill>
                </w14:textFill>
              </w:rPr>
              <w:t>+</w:t>
            </w:r>
            <w:r>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t>30~</w:t>
            </w:r>
            <w:r>
              <w:rPr>
                <w:rFonts w:hint="eastAsia" w:ascii="宋体" w:hAnsi="宋体" w:eastAsia="宋体" w:cs="宋体"/>
                <w:snapToGrid w:val="0"/>
                <w:color w:val="000000" w:themeColor="text1"/>
                <w:spacing w:val="-3"/>
                <w:kern w:val="0"/>
                <w:sz w:val="21"/>
                <w:szCs w:val="21"/>
                <w:lang w:val="en-US" w:eastAsia="en-US" w:bidi="ar-SA"/>
                <w14:textFill>
                  <w14:solidFill>
                    <w14:schemeClr w14:val="tx1"/>
                  </w14:solidFill>
                </w14:textFill>
              </w:rPr>
              <w:t>-</w:t>
            </w:r>
            <w:r>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t>40</w:t>
            </w:r>
          </w:p>
        </w:tc>
      </w:tr>
      <w:tr w14:paraId="40F8D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844" w:type="dxa"/>
            <w:vMerge w:val="continue"/>
            <w:tcBorders>
              <w:top w:val="nil"/>
            </w:tcBorders>
            <w:vAlign w:val="center"/>
          </w:tcPr>
          <w:p w14:paraId="6387215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Arial" w:cs="Times New Roman"/>
                <w:snapToGrid w:val="0"/>
                <w:color w:val="000000" w:themeColor="text1"/>
                <w:kern w:val="0"/>
                <w:sz w:val="21"/>
                <w:szCs w:val="21"/>
                <w:lang w:eastAsia="en-US"/>
                <w14:textFill>
                  <w14:solidFill>
                    <w14:schemeClr w14:val="tx1"/>
                  </w14:solidFill>
                </w14:textFill>
              </w:rPr>
            </w:pPr>
          </w:p>
        </w:tc>
        <w:tc>
          <w:tcPr>
            <w:tcW w:w="2840" w:type="dxa"/>
            <w:vAlign w:val="center"/>
          </w:tcPr>
          <w:p w14:paraId="24ED67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i/>
                <w:iCs/>
                <w:snapToGrid w:val="0"/>
                <w:color w:val="000000" w:themeColor="text1"/>
                <w:spacing w:val="-2"/>
                <w:kern w:val="0"/>
                <w:sz w:val="21"/>
                <w:szCs w:val="21"/>
                <w:lang w:val="en-US" w:eastAsia="en-US" w:bidi="ar-SA"/>
                <w14:textFill>
                  <w14:solidFill>
                    <w14:schemeClr w14:val="tx1"/>
                  </w14:solidFill>
                </w14:textFill>
              </w:rPr>
              <w:t>D</w:t>
            </w:r>
            <w:r>
              <w:rPr>
                <w:rFonts w:hint="eastAsia" w:ascii="宋体" w:hAnsi="宋体" w:eastAsia="宋体" w:cs="宋体"/>
                <w:snapToGrid w:val="0"/>
                <w:color w:val="000000" w:themeColor="text1"/>
                <w:spacing w:val="-2"/>
                <w:kern w:val="0"/>
                <w:sz w:val="21"/>
                <w:szCs w:val="21"/>
                <w:lang w:val="en-US" w:eastAsia="en-US" w:bidi="ar-SA"/>
                <w14:textFill>
                  <w14:solidFill>
                    <w14:schemeClr w14:val="tx1"/>
                  </w14:solidFill>
                </w14:textFill>
              </w:rPr>
              <w:t>≥</w:t>
            </w: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1500</w:t>
            </w:r>
          </w:p>
        </w:tc>
        <w:tc>
          <w:tcPr>
            <w:tcW w:w="2840" w:type="dxa"/>
            <w:vAlign w:val="center"/>
          </w:tcPr>
          <w:p w14:paraId="07DC927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snapToGrid w:val="0"/>
                <w:color w:val="000000" w:themeColor="text1"/>
                <w:spacing w:val="-2"/>
                <w:kern w:val="0"/>
                <w:sz w:val="21"/>
                <w:szCs w:val="21"/>
                <w:lang w:val="en-US" w:eastAsia="en-US" w:bidi="ar-SA"/>
                <w14:textFill>
                  <w14:solidFill>
                    <w14:schemeClr w14:val="tx1"/>
                  </w14:solidFill>
                </w14:textFill>
              </w:rPr>
              <w:t>+</w:t>
            </w: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40~</w:t>
            </w:r>
            <w:r>
              <w:rPr>
                <w:rFonts w:hint="eastAsia" w:ascii="宋体" w:hAnsi="宋体" w:eastAsia="宋体" w:cs="宋体"/>
                <w:snapToGrid w:val="0"/>
                <w:color w:val="000000" w:themeColor="text1"/>
                <w:spacing w:val="-2"/>
                <w:kern w:val="0"/>
                <w:sz w:val="21"/>
                <w:szCs w:val="21"/>
                <w:lang w:val="en-US" w:eastAsia="en-US" w:bidi="ar-SA"/>
                <w14:textFill>
                  <w14:solidFill>
                    <w14:schemeClr w14:val="tx1"/>
                  </w14:solidFill>
                </w14:textFill>
              </w:rPr>
              <w:t>-</w:t>
            </w: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50</w:t>
            </w:r>
          </w:p>
        </w:tc>
      </w:tr>
      <w:tr w14:paraId="601AFA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844" w:type="dxa"/>
            <w:vMerge w:val="restart"/>
            <w:tcBorders>
              <w:bottom w:val="nil"/>
            </w:tcBorders>
            <w:vAlign w:val="center"/>
          </w:tcPr>
          <w:p w14:paraId="638ACCB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相邻管间错口</w:t>
            </w:r>
          </w:p>
        </w:tc>
        <w:tc>
          <w:tcPr>
            <w:tcW w:w="2840" w:type="dxa"/>
            <w:vAlign w:val="center"/>
          </w:tcPr>
          <w:p w14:paraId="265E694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3"/>
                <w:kern w:val="0"/>
                <w:sz w:val="21"/>
                <w:szCs w:val="21"/>
                <w:lang w:val="en-US" w:eastAsia="en-US" w:bidi="ar-SA"/>
                <w14:textFill>
                  <w14:solidFill>
                    <w14:schemeClr w14:val="tx1"/>
                  </w14:solidFill>
                </w14:textFill>
              </w:rPr>
              <w:t>钢管道</w:t>
            </w:r>
          </w:p>
        </w:tc>
        <w:tc>
          <w:tcPr>
            <w:tcW w:w="2840" w:type="dxa"/>
            <w:vAlign w:val="center"/>
          </w:tcPr>
          <w:p w14:paraId="41D53C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eastAsia" w:ascii="宋体" w:hAnsi="宋体" w:eastAsia="宋体" w:cs="宋体"/>
                <w:snapToGrid w:val="0"/>
                <w:color w:val="000000" w:themeColor="text1"/>
                <w:spacing w:val="-14"/>
                <w:kern w:val="0"/>
                <w:sz w:val="21"/>
                <w:szCs w:val="21"/>
                <w:lang w:val="en-US" w:eastAsia="en-US" w:bidi="ar-SA"/>
                <w14:textFill>
                  <w14:solidFill>
                    <w14:schemeClr w14:val="tx1"/>
                  </w14:solidFill>
                </w14:textFill>
              </w:rPr>
              <w:t>≤</w:t>
            </w:r>
            <w:r>
              <w:rPr>
                <w:rFonts w:hint="default" w:ascii="Times New Roman" w:hAnsi="Times New Roman" w:eastAsia="宋体" w:cs="Times New Roman"/>
                <w:snapToGrid w:val="0"/>
                <w:color w:val="000000" w:themeColor="text1"/>
                <w:spacing w:val="-14"/>
                <w:kern w:val="0"/>
                <w:sz w:val="21"/>
                <w:szCs w:val="21"/>
                <w:lang w:val="en-US" w:eastAsia="en-US" w:bidi="ar-SA"/>
                <w14:textFill>
                  <w14:solidFill>
                    <w14:schemeClr w14:val="tx1"/>
                  </w14:solidFill>
                </w14:textFill>
              </w:rPr>
              <w:t>2</w:t>
            </w:r>
          </w:p>
        </w:tc>
      </w:tr>
      <w:tr w14:paraId="723BFB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844" w:type="dxa"/>
            <w:vMerge w:val="continue"/>
            <w:tcBorders>
              <w:top w:val="nil"/>
            </w:tcBorders>
            <w:vAlign w:val="center"/>
          </w:tcPr>
          <w:p w14:paraId="7ECE4FC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Arial" w:cs="Times New Roman"/>
                <w:snapToGrid w:val="0"/>
                <w:color w:val="000000" w:themeColor="text1"/>
                <w:kern w:val="0"/>
                <w:sz w:val="21"/>
                <w:szCs w:val="21"/>
                <w:lang w:eastAsia="en-US"/>
                <w14:textFill>
                  <w14:solidFill>
                    <w14:schemeClr w14:val="tx1"/>
                  </w14:solidFill>
                </w14:textFill>
              </w:rPr>
            </w:pPr>
          </w:p>
        </w:tc>
        <w:tc>
          <w:tcPr>
            <w:tcW w:w="2840" w:type="dxa"/>
            <w:vAlign w:val="center"/>
          </w:tcPr>
          <w:p w14:paraId="06235A3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钢筋混凝土管道</w:t>
            </w:r>
          </w:p>
        </w:tc>
        <w:tc>
          <w:tcPr>
            <w:tcW w:w="2840" w:type="dxa"/>
            <w:vAlign w:val="center"/>
          </w:tcPr>
          <w:p w14:paraId="32DD189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1"/>
                <w:szCs w:val="21"/>
                <w:lang w:val="en-US" w:eastAsia="en-US" w:bidi="ar-SA"/>
                <w14:textFill>
                  <w14:solidFill>
                    <w14:schemeClr w14:val="tx1"/>
                  </w14:solidFill>
                </w14:textFill>
              </w:rPr>
              <w:t>15%壁厚且不</w:t>
            </w:r>
            <w:r>
              <w:rPr>
                <w:rFonts w:hint="eastAsia" w:ascii="Times New Roman" w:hAnsi="Times New Roman" w:eastAsia="宋体" w:cs="Times New Roman"/>
                <w:snapToGrid w:val="0"/>
                <w:color w:val="000000" w:themeColor="text1"/>
                <w:spacing w:val="-4"/>
                <w:kern w:val="0"/>
                <w:sz w:val="21"/>
                <w:szCs w:val="21"/>
                <w:lang w:val="en-US" w:eastAsia="zh-CN" w:bidi="ar-SA"/>
                <w14:textFill>
                  <w14:solidFill>
                    <w14:schemeClr w14:val="tx1"/>
                  </w14:solidFill>
                </w14:textFill>
              </w:rPr>
              <w:t>大于20</w:t>
            </w:r>
          </w:p>
        </w:tc>
      </w:tr>
      <w:tr w14:paraId="5FDFC2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2844" w:type="dxa"/>
            <w:vAlign w:val="center"/>
          </w:tcPr>
          <w:p w14:paraId="6472B78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2"/>
                <w:kern w:val="0"/>
                <w:sz w:val="21"/>
                <w:szCs w:val="21"/>
                <w:lang w:val="en-US" w:eastAsia="en-US" w:bidi="ar-SA"/>
                <w14:textFill>
                  <w14:solidFill>
                    <w14:schemeClr w14:val="tx1"/>
                  </w14:solidFill>
                </w14:textFill>
              </w:rPr>
              <w:t>对顶时两端错口</w:t>
            </w:r>
          </w:p>
        </w:tc>
        <w:tc>
          <w:tcPr>
            <w:tcW w:w="5680" w:type="dxa"/>
            <w:gridSpan w:val="2"/>
            <w:vAlign w:val="center"/>
          </w:tcPr>
          <w:p w14:paraId="1AB2CA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1"/>
                <w:szCs w:val="21"/>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1"/>
                <w:szCs w:val="21"/>
                <w:lang w:val="en-US" w:eastAsia="en-US" w:bidi="ar-SA"/>
                <w14:textFill>
                  <w14:solidFill>
                    <w14:schemeClr w14:val="tx1"/>
                  </w14:solidFill>
                </w14:textFill>
              </w:rPr>
              <w:t>50</w:t>
            </w:r>
          </w:p>
        </w:tc>
      </w:tr>
    </w:tbl>
    <w:p w14:paraId="6BF8D958">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注：D为管道内径</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mm</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对于管道直径大于2400mm的长距离顶管施工或特殊困难地质条件下的顶管，允许偏差可以在满足管道设计的水力功能要求、使用要求和不损坏接头结构及防水性能要求等的条件下进行适当调整，但应经业主、设计单位等的确认和批准。</w:t>
      </w:r>
    </w:p>
    <w:p w14:paraId="377BB3C0">
      <w:pPr>
        <w:numPr>
          <w:ilvl w:val="0"/>
          <w:numId w:val="0"/>
        </w:numPr>
        <w:bidi w:val="0"/>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5.</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顶进施工结束后，顶进管道应满足如下要求：</w:t>
      </w:r>
    </w:p>
    <w:p w14:paraId="64EBDE26">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顶进管道不偏移，管节不错口，管道坡度不得有倒落水。</w:t>
      </w:r>
    </w:p>
    <w:p w14:paraId="5244F164">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管道接口套环应对正管缝与管端外周，管端垫板粘接牢固、不脱落。</w:t>
      </w:r>
    </w:p>
    <w:p w14:paraId="00D485AF">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管道接头密封良好，橡胶密封圈安放位置正确。需要时应按要求进行管道管道密封检验；管节无裂纹、不渗水，管道内部不得有泥土、建筑垃圾等杂物。</w:t>
      </w:r>
    </w:p>
    <w:p w14:paraId="4F4A1FC2">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顶管结束后，管节接口的内侧间隙应按设计规定处理；设计无规定时，可采用石棉水泥、弹性密封膏或水泥砂浆密封，填塞物应抹平，不得突入管内。</w:t>
      </w:r>
    </w:p>
    <w:p w14:paraId="02BAAE46">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钢筋混凝土管道的接口应填料饱满、密实，且与管节接口内侧表面齐平，接口套环对正管缝、贴紧，不脱落。</w:t>
      </w:r>
    </w:p>
    <w:p w14:paraId="25E04870">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在顶进施工的区域，应考虑土体和地下水条件以及顶管施工工艺，保证地层的沉降不大于允许的沉降值。</w:t>
      </w:r>
    </w:p>
    <w:p w14:paraId="5313CDE5">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7</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顶进结束后，应对泥浆套的浆液进行置换。置换浆液一般可采用水泥砂浆掺合适量的粉煤灰。待压浆体凝结后（一般在24小时以上）方可拆除注浆管路，并换上闷盖将注浆孔封堵。</w:t>
      </w:r>
    </w:p>
    <w:p w14:paraId="201033AF">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8</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工程竣工后，应编写竣工报告，认真完成资料的移交和存档。</w:t>
      </w:r>
    </w:p>
    <w:p w14:paraId="4303078B">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9</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安全撤离现场，恢复施工现场的本来面目，做到不留隐患，对环境没有破坏和污染。</w:t>
      </w:r>
    </w:p>
    <w:p w14:paraId="682686E9">
      <w:pPr>
        <w:pStyle w:val="3"/>
        <w:bidi w:val="0"/>
        <w:rPr>
          <w:rFonts w:hint="eastAsia"/>
          <w:color w:val="000000" w:themeColor="text1"/>
          <w:lang w:val="en-US" w:eastAsia="zh-CN"/>
          <w14:textFill>
            <w14:solidFill>
              <w14:schemeClr w14:val="tx1"/>
            </w14:solidFill>
          </w14:textFill>
        </w:rPr>
      </w:pPr>
      <w:bookmarkStart w:id="55" w:name="_Toc8850"/>
      <w:r>
        <w:rPr>
          <w:rFonts w:hint="eastAsia"/>
          <w:color w:val="000000" w:themeColor="text1"/>
          <w:lang w:val="en-US" w:eastAsia="zh-CN"/>
          <w14:textFill>
            <w14:solidFill>
              <w14:schemeClr w14:val="tx1"/>
            </w14:solidFill>
          </w14:textFill>
        </w:rPr>
        <w:t>2.6 沉降控制措施</w:t>
      </w:r>
      <w:bookmarkEnd w:id="55"/>
    </w:p>
    <w:p w14:paraId="7AEF14F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根据有关施工监测的要求，结合本标段各段的地理位置、顶管的埋深、顶管施工工艺的特点，针对本标段的地质条件，围岩类别、跨度、埋深，开挖方法和支护类型等综合确定，将进行如下监测：</w:t>
      </w:r>
    </w:p>
    <w:p w14:paraId="3E60A50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地面沉降监测：对污水顶管、围护结构周边地面均进行沉降观测。</w:t>
      </w:r>
    </w:p>
    <w:p w14:paraId="4DC54CC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地面建筑物下沉及倾斜监测：对顶管及基坑施工影响范围以内的所有建筑物及构筑物进行下沉及倾斜监测，以便当建筑物的某一部位或构件变形过大时，迅速采取有效的维修加固措施，确保建筑物结构安全和正常使用。</w:t>
      </w:r>
    </w:p>
    <w:p w14:paraId="56A93CD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地下管线监测：顶管及基坑施工对施工区周边地层造成不同程度的沉陷，可能会引起地下管线的变形、断裂而直接危及使用安全。因此要对地下管线进行严密监测、确保地下管线的安全和正常使用，保证地下工程顺利施工。</w:t>
      </w:r>
    </w:p>
    <w:p w14:paraId="6C0708F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污水顶管内变形：了解顶管的变形情况，对区间顶管施工中结构的拱顶下沉、水平收敛、基底隆起等进行监测。</w:t>
      </w:r>
    </w:p>
    <w:p w14:paraId="6A28D25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顶管内力监测：在污水顶管内衬砌顶管里、进行该项监测。</w:t>
      </w:r>
    </w:p>
    <w:p w14:paraId="1141F79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围护结构的沉降、水平位移。</w:t>
      </w:r>
    </w:p>
    <w:p w14:paraId="6A399F6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沉降原因分析：顶拉管过程中破坏了原有土层的密实度，扰动了管道周围土质，土层抗压能力降低，从而发生道路沉降。</w:t>
      </w:r>
    </w:p>
    <w:p w14:paraId="3615F2F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沉降处置措施：采用</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复合式扩孔器+泥水平衡</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施工工艺，扩孔器外径=被顶管道外径+50mm</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施工过程中达到泥水平衡，产生的泥浆首先填充管道外径与土层间隙，多余泥浆从扩孔器流入管道中，从而不降低该穿越层的抗压能力，以保证道路不发生沉降。</w:t>
      </w:r>
    </w:p>
    <w:p w14:paraId="0AF264D2">
      <w:pPr>
        <w:pStyle w:val="3"/>
        <w:bidi w:val="0"/>
        <w:rPr>
          <w:rFonts w:hint="eastAsia"/>
          <w:color w:val="000000" w:themeColor="text1"/>
          <w:lang w:val="en-US" w:eastAsia="zh-CN"/>
          <w14:textFill>
            <w14:solidFill>
              <w14:schemeClr w14:val="tx1"/>
            </w14:solidFill>
          </w14:textFill>
        </w:rPr>
      </w:pPr>
      <w:bookmarkStart w:id="56" w:name="_Toc22811"/>
      <w:r>
        <w:rPr>
          <w:rFonts w:hint="eastAsia"/>
          <w:color w:val="000000" w:themeColor="text1"/>
          <w:lang w:val="en-US" w:eastAsia="zh-CN"/>
          <w14:textFill>
            <w14:solidFill>
              <w14:schemeClr w14:val="tx1"/>
            </w14:solidFill>
          </w14:textFill>
        </w:rPr>
        <w:t>2.7 质量保证措施</w:t>
      </w:r>
      <w:bookmarkEnd w:id="56"/>
    </w:p>
    <w:p w14:paraId="724451E6">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 总体措施</w:t>
      </w:r>
    </w:p>
    <w:p w14:paraId="17E0775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为确保本工程质量目标的实现，对所有参加工程项目施工人员，尤其是管理人员加强质量意识、质量目标的教育宣传，牢固树立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质量第一</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的意识，围绕质量工作目标，形成科学的网络化答理模式，并层层分解到各个施工环节及日常工作实务管理中去。据此，特制定以下质量保证实施措施：</w:t>
      </w:r>
    </w:p>
    <w:p w14:paraId="75371D8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及时做好业主提供的有关水准点、坐标轴线控制点的复测、验收接受及保护工作，并做好有关书面资料的收集整理归档，为下道工序的施工提供可靠的技术保证。</w:t>
      </w:r>
    </w:p>
    <w:p w14:paraId="65171B4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在展开工程施工前，对接收的施工图纸，由项目工程师组织项目部全体技术管理人员认真学习阅读图纸，了解设计意图和关键部位的质量要求和施工措施，并认真参加设计图纸交底。由项目经理组织召集对施工组织设计进行会稿、编制工作，拟定保证各分项工程质量措施，落实质量交底的制度，列出监控部位及监控要点。</w:t>
      </w:r>
    </w:p>
    <w:p w14:paraId="4C4549D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现场项目部根据项目质量保证计划的要求，制定一个更具体的质量控制体系，明确每道工序的事前交底，中间验收及最后验收环节的要求，严格执行质量三级验收制度，及时尽早发现问题及时整改，防患于未然，确保工程中每个分项直至每个工序环节的施工质量，来保证最终的工程质量目标。</w:t>
      </w:r>
    </w:p>
    <w:p w14:paraId="52F66C3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为确保实现创优工程目标，对于项目和管理人员的配备方面，必须配备具有多年现场工作经验的管理人员进行现场质量管理，施工过程中加强过程工序控制，从提高队伍素质及加强管理水平等方面，确保创优目标的实现。</w:t>
      </w:r>
    </w:p>
    <w:p w14:paraId="7F997E1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加强施工现场质量管理机构设置工作，各级管理人员都必须对本岗位的质量要求明确了解，从管理体制上保证工程的施工质量。</w:t>
      </w:r>
    </w:p>
    <w:p w14:paraId="402F3DF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工程施工过程中，必须加强计量工作和工程施工资料的整理归档工作，在抓好工程施工的硬件的同时，必须抓好软件的管理工作，从而保证工程的施工质量。</w:t>
      </w:r>
    </w:p>
    <w:p w14:paraId="5C09742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建立三级验收及分部分项质量评定制度</w:t>
      </w:r>
    </w:p>
    <w:p w14:paraId="752B7BF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1）各分部分项工程施工过程中，各分管工种负责人必须督促班组做好自检工作，确保当天问题当天整改完毕。</w:t>
      </w:r>
    </w:p>
    <w:p w14:paraId="3C0A798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2）分项工程施工完毕后，各分管工种负责人必须及时组织班组进行分项工程质量评定工作，并填写分项工程质量评定表交项目经理确认，最终评定表由专职质量员核定。</w:t>
      </w:r>
    </w:p>
    <w:p w14:paraId="2405781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3）项目经理每月应组织一次各施工班组之间的质量互检，并进行质量讲评。</w:t>
      </w:r>
    </w:p>
    <w:p w14:paraId="14908A79">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 原材料质量保证措施</w:t>
      </w:r>
    </w:p>
    <w:p w14:paraId="6E29E8E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加强材料的质量控制，凡工程需用的成品、半成品等严格按质量标准采购，各类施工材料到现场后必须由项目经理和项目工程师组织有关人员进行抽样检查，发现问题及时书面通知总承包人，并与供货商联系，经总承包批准后采取退货措施。</w:t>
      </w:r>
    </w:p>
    <w:p w14:paraId="03182AD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合理组织材料供应和材料使用并做好储运、保管工作，在材料进场后应安排适当的堆放场地及仓贮用房，指定专人妥善保管，并协助做好原材料的二次复试取样、送样工作。</w:t>
      </w:r>
    </w:p>
    <w:p w14:paraId="6D061B1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对于施工主材应加强取样工作，对每批进场水泥必须取样进行安定性及强度等物理试验；钢筋原材料必须取样进行拉伸、抗弯等物理试验（若有进口钢筋还需进行化学成分分析及可焊性试验）；所有防水材料必须进行取样对有关指标复试；对混凝土及砂浆的粗骨料必须进行取样分析，所有原材料均须取得合格的试验证明方可投入使用，坚决不在工程中使用不合格材料。</w:t>
      </w:r>
    </w:p>
    <w:p w14:paraId="49D9D2A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材料供应部门必须提供所有所供产品的合格证，按规程要求必须抽样复试，质量管理人员对提供产品进行抽查监督，凡不符合质量标准、无合格证明的产品一律不准使用，并采取必要的封存措施，及时退场。</w:t>
      </w:r>
    </w:p>
    <w:p w14:paraId="7D2E6C76">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 现场计量器具管理措施</w:t>
      </w:r>
    </w:p>
    <w:p w14:paraId="0DF1180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由公司专职计量员负责本工程施工所用计量器材的周期鉴定、抽检工作。</w:t>
      </w:r>
    </w:p>
    <w:p w14:paraId="20342E3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现场计量器具必须确定专人保管（本工程由项目技术员及项目试验员共同保管）、专人使用，并建立使用台账，他人不得随意动用。</w:t>
      </w:r>
    </w:p>
    <w:p w14:paraId="786B76A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所有计量器具要定期进行校对、鉴定，损坏的计量器具必须及时申报修理调换，不得带病工作。</w:t>
      </w:r>
    </w:p>
    <w:p w14:paraId="76BD6468">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 施工质量保证措施</w:t>
      </w:r>
    </w:p>
    <w:p w14:paraId="3820E3C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顶管施工前编制顶管组织设计，提交监理和业主审定后才能施工。</w:t>
      </w:r>
    </w:p>
    <w:p w14:paraId="31B3014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一旦工程开工，项目部应尽快熟悉设计图纸，并组织设计、建设单位进行图纸交底。未经设计单位书面同意，不得随意更改设计。</w:t>
      </w:r>
    </w:p>
    <w:p w14:paraId="6B4077D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项目部应认真分析地质资料，摸清水文地质的详细情况，并制定详细的技术措施。</w:t>
      </w:r>
    </w:p>
    <w:p w14:paraId="604542E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顶管前，项目部应向作业班组进行详细的技术交底，并办好书面手续。</w:t>
      </w:r>
    </w:p>
    <w:p w14:paraId="70DFFE3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顶管出洞口的地基加固，必须严格按方案实施，做好原始记录。洞口止水装置的同心度误差小于2cm。机头达到终点，应避免管子叩头现象。</w:t>
      </w:r>
    </w:p>
    <w:p w14:paraId="59B444D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项目部应派专人对混凝土管材从质量、保管、安装等进行全面监督，确保管接口密封性能良好。</w:t>
      </w:r>
    </w:p>
    <w:p w14:paraId="420BA74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顶管注浆工艺是施工的关键，必须从膨润土的材料，搅拌、压注进行全面监控，严格按操作规程施工。降低顶进阻力。顶进过程中，应严格控制顶力在允许范围内，并留有足够的安全系数。</w:t>
      </w:r>
    </w:p>
    <w:p w14:paraId="76FD54BB">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顶管姿态控制应在质量标准范围以内，如果在顶进过程中，发现方向失控，应立即停止顶进，上报项目部技术负责人，经研究同意后，方可继续顶进。</w:t>
      </w:r>
    </w:p>
    <w:p w14:paraId="110509D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顶管顶进时，应采用信息反馈技术，优化顶进参数，使沉降值达到最小限度。</w:t>
      </w:r>
    </w:p>
    <w:p w14:paraId="1DC8BA9F">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 测量工程质量保证措施</w:t>
      </w:r>
    </w:p>
    <w:p w14:paraId="22F4D5B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测量工程必须严格执行我公司的三级测量管理办法（作业班组、项目组、总公司）。</w:t>
      </w:r>
    </w:p>
    <w:p w14:paraId="775001E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测量定位所用的经纬仪、测距仪、水准仪等测量仪器及工艺控制质量检测设备必须经过鉴定合格，在使用周期内计量器具按二级计量标准进行计量检测控制。</w:t>
      </w:r>
    </w:p>
    <w:p w14:paraId="077D86E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测量基准点要严格保护，避免撞击、毁坏。在施工期间，要定期复核基准点是否发生位移。</w:t>
      </w:r>
    </w:p>
    <w:p w14:paraId="6187A61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总标高控制点的引测，必须采用闭合测量方法，确保引测精度。</w:t>
      </w:r>
    </w:p>
    <w:p w14:paraId="4CBCFFF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所有测量观察点的埋设必须可靠牢固，以免影响测量结果精度。</w:t>
      </w:r>
    </w:p>
    <w:p w14:paraId="5880471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轴线控制点及总标高控制点，必须经监理书面认可方可使用。</w:t>
      </w:r>
    </w:p>
    <w:p w14:paraId="3E0C6F0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所有测量结果，应及时汇总，并上报有关部门。</w:t>
      </w:r>
    </w:p>
    <w:p w14:paraId="6B930D3C">
      <w:pPr>
        <w:pStyle w:val="3"/>
        <w:bidi w:val="0"/>
        <w:rPr>
          <w:rFonts w:hint="eastAsia"/>
          <w:color w:val="000000" w:themeColor="text1"/>
          <w:lang w:val="en-US" w:eastAsia="zh-CN"/>
          <w14:textFill>
            <w14:solidFill>
              <w14:schemeClr w14:val="tx1"/>
            </w14:solidFill>
          </w14:textFill>
        </w:rPr>
      </w:pPr>
      <w:bookmarkStart w:id="57" w:name="_Toc20387"/>
      <w:r>
        <w:rPr>
          <w:rFonts w:hint="eastAsia"/>
          <w:color w:val="000000" w:themeColor="text1"/>
          <w:lang w:val="en-US" w:eastAsia="zh-CN"/>
          <w14:textFill>
            <w14:solidFill>
              <w14:schemeClr w14:val="tx1"/>
            </w14:solidFill>
          </w14:textFill>
        </w:rPr>
        <w:t>2.8 安全生产、文明施工</w:t>
      </w:r>
      <w:bookmarkEnd w:id="57"/>
    </w:p>
    <w:p w14:paraId="2FB7474D">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 安全生产管理措施</w:t>
      </w:r>
    </w:p>
    <w:p w14:paraId="050BA7B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施工人员进入施工现场，必须佩戴好安全帽，特殊工程必须执证上岗。</w:t>
      </w:r>
    </w:p>
    <w:p w14:paraId="5D59B6F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严格执行国家颁布、制定的各项安全操作规程、准则，做好各项安全措施，杜绝野蛮施工。</w:t>
      </w:r>
    </w:p>
    <w:p w14:paraId="4F78942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安全、文明施工要有专人负责。</w:t>
      </w:r>
    </w:p>
    <w:p w14:paraId="0C25EFF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所有机械设备必须按规定进行操作，定期检查保养。工作人员必须持证上岗，无证人员一律不许上岗操作，机械设备一律持牌，专人负责，专人操作、保养。</w:t>
      </w:r>
    </w:p>
    <w:p w14:paraId="72E5EAE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电器设备安装、维修、保养应有专职电工负责，机械停止使用时要切断电源。</w:t>
      </w:r>
    </w:p>
    <w:p w14:paraId="761823C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氧气、乙炔等危险品要隔离存放，存放处与住房、办公设施等安全距离不得小于5m。</w:t>
      </w:r>
    </w:p>
    <w:p w14:paraId="2975D70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施工区域与非施工区域应严格隔离，施工现场必须设立安全警戒标志。非施工人员一律不得进入施工区域。</w:t>
      </w:r>
    </w:p>
    <w:p w14:paraId="6B6AA0C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平时施工时要做好落手工作，材料机具设备堆放整齐有序，施工材料与施工肥料分开堆放，做到标牌明确，负责到人，做好文明施工。</w:t>
      </w:r>
    </w:p>
    <w:p w14:paraId="2543FE2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保证施工区排水沟的畅通，施工区域无积水，保证施工区周围道路畅通。</w:t>
      </w:r>
    </w:p>
    <w:p w14:paraId="727F182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r>
        <w:rPr>
          <w:rFonts w:hint="default"/>
          <w:color w:val="000000" w:themeColor="text1"/>
          <w:lang w:val="en-US" w:eastAsia="zh-CN"/>
          <w14:textFill>
            <w14:solidFill>
              <w14:schemeClr w14:val="tx1"/>
            </w14:solidFill>
          </w14:textFill>
        </w:rPr>
        <w:t>安排专职清洁工，建立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文明清洁岗</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制度，保证施工区、生活区的清洁工作。</w:t>
      </w:r>
    </w:p>
    <w:p w14:paraId="4C5D1C9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r>
        <w:rPr>
          <w:rFonts w:hint="default"/>
          <w:color w:val="000000" w:themeColor="text1"/>
          <w:lang w:val="en-US" w:eastAsia="zh-CN"/>
          <w14:textFill>
            <w14:solidFill>
              <w14:schemeClr w14:val="tx1"/>
            </w14:solidFill>
          </w14:textFill>
        </w:rPr>
        <w:t>安排专职纠察保卫人员，建立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纠察保卫岗</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制度，保证施工区、生活区的清洁工作。</w:t>
      </w:r>
    </w:p>
    <w:p w14:paraId="7A036D9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r>
        <w:rPr>
          <w:rFonts w:hint="default"/>
          <w:color w:val="000000" w:themeColor="text1"/>
          <w:lang w:val="en-US" w:eastAsia="zh-CN"/>
          <w14:textFill>
            <w14:solidFill>
              <w14:schemeClr w14:val="tx1"/>
            </w14:solidFill>
          </w14:textFill>
        </w:rPr>
        <w:t>安排专职交通指挥人员，建立</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交通文明岗</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制度，积极与有关管理部门、交通部门配合，保证施工区车辆进出畅通和安全。各进出口设置警灯、警牌等指示标志。</w:t>
      </w:r>
    </w:p>
    <w:p w14:paraId="5EF5891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r>
        <w:rPr>
          <w:rFonts w:hint="default"/>
          <w:color w:val="000000" w:themeColor="text1"/>
          <w:lang w:val="en-US" w:eastAsia="zh-CN"/>
          <w14:textFill>
            <w14:solidFill>
              <w14:schemeClr w14:val="tx1"/>
            </w14:solidFill>
          </w14:textFill>
        </w:rPr>
        <w:t>接受相关部门的管理、指导工作，遵守市容、交通等行业规范、要求施工。</w:t>
      </w:r>
    </w:p>
    <w:p w14:paraId="48F155B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default"/>
          <w:color w:val="000000" w:themeColor="text1"/>
          <w:lang w:val="en-US" w:eastAsia="zh-CN"/>
          <w14:textFill>
            <w14:solidFill>
              <w14:schemeClr w14:val="tx1"/>
            </w14:solidFill>
          </w14:textFill>
        </w:rPr>
        <w:t>每月按公司有关要求对文明、安全施工进行检查、考核，并按考核结果进行奖惩。</w:t>
      </w:r>
    </w:p>
    <w:p w14:paraId="7418F06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default"/>
          <w:color w:val="000000" w:themeColor="text1"/>
          <w:lang w:val="en-US" w:eastAsia="zh-CN"/>
          <w14:textFill>
            <w14:solidFill>
              <w14:schemeClr w14:val="tx1"/>
            </w14:solidFill>
          </w14:textFill>
        </w:rPr>
        <w:t>加强对职工的思想教育，使职工具有高度安全、文明施工意识。</w:t>
      </w:r>
    </w:p>
    <w:p w14:paraId="74B14AD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r>
        <w:rPr>
          <w:rFonts w:hint="default"/>
          <w:color w:val="000000" w:themeColor="text1"/>
          <w:lang w:val="en-US" w:eastAsia="zh-CN"/>
          <w14:textFill>
            <w14:solidFill>
              <w14:schemeClr w14:val="tx1"/>
            </w14:solidFill>
          </w14:textFill>
        </w:rPr>
        <w:t>高标准、严要求，自始至终地做好文明施工。</w:t>
      </w:r>
    </w:p>
    <w:p w14:paraId="0D3B180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w:t>
      </w:r>
      <w:r>
        <w:rPr>
          <w:rFonts w:hint="default"/>
          <w:color w:val="000000" w:themeColor="text1"/>
          <w:lang w:val="en-US" w:eastAsia="zh-CN"/>
          <w14:textFill>
            <w14:solidFill>
              <w14:schemeClr w14:val="tx1"/>
            </w14:solidFill>
          </w14:textFill>
        </w:rPr>
        <w:t>施工作业前，有专职安全人员对施工人员进行安全交底，设立安全专管员制度，对违反安全操作严惩严罚。</w:t>
      </w:r>
    </w:p>
    <w:p w14:paraId="5396DC1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w:t>
      </w:r>
      <w:r>
        <w:rPr>
          <w:rFonts w:hint="default"/>
          <w:color w:val="000000" w:themeColor="text1"/>
          <w:lang w:val="en-US" w:eastAsia="zh-CN"/>
          <w14:textFill>
            <w14:solidFill>
              <w14:schemeClr w14:val="tx1"/>
            </w14:solidFill>
          </w14:textFill>
        </w:rPr>
        <w:t>电气操作人员必须持操作证和上岗证，对一般工人培训安全用电的一般知识，并使其了触电急救常识。</w:t>
      </w:r>
    </w:p>
    <w:p w14:paraId="5B05496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w:t>
      </w:r>
      <w:r>
        <w:rPr>
          <w:rFonts w:hint="default"/>
          <w:color w:val="000000" w:themeColor="text1"/>
          <w:lang w:val="en-US" w:eastAsia="zh-CN"/>
          <w14:textFill>
            <w14:solidFill>
              <w14:schemeClr w14:val="tx1"/>
            </w14:solidFill>
          </w14:textFill>
        </w:rPr>
        <w:t>架设电气线路必须采用绝缘杆，线路接地，绝缘防雷装置安装必须符合标准，并与其它物体保持安全距离。</w:t>
      </w:r>
    </w:p>
    <w:p w14:paraId="4CCA8B9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r>
        <w:rPr>
          <w:rFonts w:hint="default"/>
          <w:color w:val="000000" w:themeColor="text1"/>
          <w:lang w:val="en-US" w:eastAsia="zh-CN"/>
          <w14:textFill>
            <w14:solidFill>
              <w14:schemeClr w14:val="tx1"/>
            </w14:solidFill>
          </w14:textFill>
        </w:rPr>
        <w:t>电器操作人员必须配备电气安全用具，如：绝缘夹钳、绝缘鞋、绝缘手套等。</w:t>
      </w:r>
    </w:p>
    <w:p w14:paraId="5F383D5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w:t>
      </w:r>
      <w:r>
        <w:rPr>
          <w:rFonts w:hint="default"/>
          <w:color w:val="000000" w:themeColor="text1"/>
          <w:lang w:val="en-US" w:eastAsia="zh-CN"/>
          <w14:textFill>
            <w14:solidFill>
              <w14:schemeClr w14:val="tx1"/>
            </w14:solidFill>
          </w14:textFill>
        </w:rPr>
        <w:t>照明设备的选用和安装应适合工作环境要求和电工规范标准。工地上有不少电动工具是移动式的，如：振动棒、电动手枪钻等，实行专门保管，定期检查性能，采取接地或接零措施，绝对禁止带故障运行。</w:t>
      </w:r>
    </w:p>
    <w:p w14:paraId="7BF4515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w:t>
      </w:r>
      <w:r>
        <w:rPr>
          <w:rFonts w:hint="default"/>
          <w:color w:val="000000" w:themeColor="text1"/>
          <w:lang w:val="en-US" w:eastAsia="zh-CN"/>
          <w14:textFill>
            <w14:solidFill>
              <w14:schemeClr w14:val="tx1"/>
            </w14:solidFill>
          </w14:textFill>
        </w:rPr>
        <w:t>坚持日检制度，发现问题及时处理，特别是在雨季，对电气设备逐一检查，防止发生漏电事故。</w:t>
      </w:r>
    </w:p>
    <w:p w14:paraId="6969292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（23）</w:t>
      </w:r>
      <w:r>
        <w:rPr>
          <w:rFonts w:hint="default"/>
          <w:color w:val="000000" w:themeColor="text1"/>
          <w:lang w:val="en-US" w:eastAsia="zh-CN"/>
          <w14:textFill>
            <w14:solidFill>
              <w14:schemeClr w14:val="tx1"/>
            </w14:solidFill>
          </w14:textFill>
        </w:rPr>
        <w:t>雨季施工，做好雨后电气设备的检查工作，防止漏电事故，冬季施工做好消防的防冻工作。</w:t>
      </w:r>
    </w:p>
    <w:p w14:paraId="05232A5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（24）</w:t>
      </w:r>
      <w:r>
        <w:rPr>
          <w:rFonts w:hint="default"/>
          <w:color w:val="000000" w:themeColor="text1"/>
          <w:lang w:val="en-US" w:eastAsia="zh-CN"/>
          <w14:textFill>
            <w14:solidFill>
              <w14:schemeClr w14:val="tx1"/>
            </w14:solidFill>
          </w14:textFill>
        </w:rPr>
        <w:t>施工现场配备防火设施，并逐期检查、检验，严禁使用过期的灭火器。点焊作业严格遵照</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十不烧</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的规定。</w:t>
      </w:r>
    </w:p>
    <w:p w14:paraId="6F73FD9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w:t>
      </w:r>
      <w:r>
        <w:rPr>
          <w:rFonts w:hint="default"/>
          <w:color w:val="000000" w:themeColor="text1"/>
          <w:lang w:val="en-US" w:eastAsia="zh-CN"/>
          <w14:textFill>
            <w14:solidFill>
              <w14:schemeClr w14:val="tx1"/>
            </w14:solidFill>
          </w14:textFill>
        </w:rPr>
        <w:t>严禁职工进行赌博，参与打架斗殴，偷盗及其他违法犯罪活动。不得带闲杂人员进入宿舍，未经许可不准留宿他人。</w:t>
      </w:r>
    </w:p>
    <w:p w14:paraId="6B77746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（26）</w:t>
      </w:r>
      <w:r>
        <w:rPr>
          <w:rFonts w:hint="default"/>
          <w:color w:val="000000" w:themeColor="text1"/>
          <w:lang w:val="en-US" w:eastAsia="zh-CN"/>
          <w14:textFill>
            <w14:solidFill>
              <w14:schemeClr w14:val="tx1"/>
            </w14:solidFill>
          </w14:textFill>
        </w:rPr>
        <w:t>工程开工召开管线交叉会议，办理交底卡，施工时进行现场监护，确保管线安全，未办理交底卡，不得动土。</w:t>
      </w:r>
    </w:p>
    <w:p w14:paraId="58EB297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2. </w:t>
      </w:r>
      <w:r>
        <w:rPr>
          <w:rFonts w:hint="default"/>
          <w:color w:val="000000" w:themeColor="text1"/>
          <w:lang w:val="en-US" w:eastAsia="zh-CN"/>
          <w14:textFill>
            <w14:solidFill>
              <w14:schemeClr w14:val="tx1"/>
            </w14:solidFill>
          </w14:textFill>
        </w:rPr>
        <w:t>顶管机安全操作规程</w:t>
      </w:r>
    </w:p>
    <w:p w14:paraId="491ABA0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（1）顶管机的安装</w:t>
      </w:r>
    </w:p>
    <w:p w14:paraId="0888BE0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安装前，要全面检查设备配套部件是否齐全。</w:t>
      </w:r>
    </w:p>
    <w:p w14:paraId="1FF8991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安装工作坑要平整、夯实，能够承载该机的工作压力。</w:t>
      </w:r>
    </w:p>
    <w:p w14:paraId="0EF5C1C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设备安装时，应在机长指挥下进行。人员要明确分工，各自了解自己的职责，熟悉周围环境及指挥信号和联络方式。</w:t>
      </w:r>
    </w:p>
    <w:p w14:paraId="2A09759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联合作业的配套设施，布局合理，与本机所需功率相匹配，引入机组的照明电源，保证机械和人身的安全。</w:t>
      </w:r>
    </w:p>
    <w:p w14:paraId="64DE5BE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必须配备熟悉顶管机管、用、养、修各个环节的专业技术人员，和经过培训合格的司机，以保证钻进的正常作业。</w:t>
      </w:r>
    </w:p>
    <w:p w14:paraId="4EEB45E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（2）开机操作前的检查</w:t>
      </w:r>
    </w:p>
    <w:p w14:paraId="0931599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检查：顶管机各部分润滑油量应充足，各联接螺栓应无松动。各操作仪表正常。</w:t>
      </w:r>
    </w:p>
    <w:p w14:paraId="39E1564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液压系统油量量应达到标准；所有选择阀操纵杆应处于中间位置；油管应无漏油现象。</w:t>
      </w:r>
    </w:p>
    <w:p w14:paraId="3EEDA22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电气系统：电线应无松动和其他反常现象；电气仪表功能应正常。</w:t>
      </w:r>
    </w:p>
    <w:p w14:paraId="0AB0747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润滑系统：油量应充足，油质、润滑应正常。</w:t>
      </w:r>
    </w:p>
    <w:p w14:paraId="4679131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各控制手柄：操作和控制设备应正常。</w:t>
      </w:r>
    </w:p>
    <w:p w14:paraId="6585396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确认机组各部已按厂家规定，逐项全面检查无误后，方可开动机器。通过调试达到设备开挖方向正确，再按程序投入作业。</w:t>
      </w:r>
    </w:p>
    <w:p w14:paraId="25A8D2B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（3）使用注意事项</w:t>
      </w:r>
    </w:p>
    <w:p w14:paraId="0D0FEE2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编制作业计划安排，并组织实施。</w:t>
      </w:r>
    </w:p>
    <w:p w14:paraId="02F16F5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机组人员要高度集中精力从事操作，认真监视各仪表指示数据，工作机构是否灵敏正常。</w:t>
      </w:r>
    </w:p>
    <w:p w14:paraId="1CDDBAA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在作业过程中，应注意观察排土量。</w:t>
      </w:r>
    </w:p>
    <w:p w14:paraId="337DFC1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顶管时，注意观察纠偏测量和校正装置，每隔一定时间应测量标高和中心线。发现偏差，除及时校正外，应每顶一个行程正式测量校正一次。</w:t>
      </w:r>
    </w:p>
    <w:p w14:paraId="1B5D06E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作业完毕，拆除设备并清洗干净，并对设备各部位进行保养。</w:t>
      </w:r>
    </w:p>
    <w:p w14:paraId="2E569D5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3. </w:t>
      </w:r>
      <w:r>
        <w:rPr>
          <w:rFonts w:hint="default"/>
          <w:color w:val="000000" w:themeColor="text1"/>
          <w:lang w:val="en-US" w:eastAsia="zh-CN"/>
          <w14:textFill>
            <w14:solidFill>
              <w14:schemeClr w14:val="tx1"/>
            </w14:solidFill>
          </w14:textFill>
        </w:rPr>
        <w:t>文明施工管理措施</w:t>
      </w:r>
    </w:p>
    <w:p w14:paraId="17CC7FD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本工程文明施工目标是：创建文明工地。</w:t>
      </w:r>
    </w:p>
    <w:p w14:paraId="7455CE0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具体措施和制度：</w:t>
      </w:r>
    </w:p>
    <w:p w14:paraId="51C3CFC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（1）针对施工不同阶段、施工部位对职工进行教育，提高职工素质和文明施工的自觉性，增强职工以工地为家的主人翁意识。</w:t>
      </w:r>
    </w:p>
    <w:p w14:paraId="6E5CB58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（2）自觉遵守国家和</w:t>
      </w:r>
      <w:r>
        <w:rPr>
          <w:rFonts w:hint="eastAsia"/>
          <w:color w:val="000000" w:themeColor="text1"/>
          <w:lang w:val="en-US" w:eastAsia="zh-CN"/>
          <w14:textFill>
            <w14:solidFill>
              <w14:schemeClr w14:val="tx1"/>
            </w14:solidFill>
          </w14:textFill>
        </w:rPr>
        <w:t>赣州</w:t>
      </w:r>
      <w:r>
        <w:rPr>
          <w:rFonts w:hint="default"/>
          <w:color w:val="000000" w:themeColor="text1"/>
          <w:lang w:val="en-US" w:eastAsia="zh-CN"/>
          <w14:textFill>
            <w14:solidFill>
              <w14:schemeClr w14:val="tx1"/>
            </w14:solidFill>
          </w14:textFill>
        </w:rPr>
        <w:t>地方政府的环保法律法规，对施工产生的建筑垃圾做到有序合法排放，保护河道，保护环境。</w:t>
      </w:r>
    </w:p>
    <w:p w14:paraId="4E70A13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（3）施工现场保持卫生清洁，工完、料尽、场地整洁。</w:t>
      </w:r>
    </w:p>
    <w:p w14:paraId="193FCDD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（4）对顶管施工中的泥浆实行挖池收集沉淀，不乱排乱弃。</w:t>
      </w:r>
    </w:p>
    <w:p w14:paraId="6FBEDFB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（5）实行循环用水，尽可能的减少总泥浆量的排放。</w:t>
      </w:r>
    </w:p>
    <w:p w14:paraId="04EBFA6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（6）加强规范化管理，对新来施工的人员管理、及时登记、做好上岗安全教育，特殊工种坚持持证上岗，遵守劳动纪律操作规程。</w:t>
      </w:r>
    </w:p>
    <w:p w14:paraId="13F55B7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（7）由于部分施工现场就在居民区内，并且又无施工电源，施工带来的噪音、难以避免的会影响附近居民正常生活，尽可能做好与村民的沟通，以取得他们的谅解。</w:t>
      </w:r>
    </w:p>
    <w:p w14:paraId="02C78E6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（8）施工现场道路畅通，场地平整，无积水。</w:t>
      </w:r>
    </w:p>
    <w:p w14:paraId="77B12F5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（9）未经批准不得在工地围护设施外随意堆放建筑材料。在经批准临时占据的区域，应严格按批准的占地范围和使用性质存放、堆卸建筑材料和机具设备。</w:t>
      </w:r>
    </w:p>
    <w:p w14:paraId="0801560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（10）按指定地点弃渣，有序堆放，并合理利用。严禁随意堆放弃渣。</w:t>
      </w:r>
    </w:p>
    <w:p w14:paraId="2981682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（11）爱护当地草木，搞好和兄弟单位的协作关系，和当地群众和睦相处，以礼待人，严明纪律，绝不侵犯群众利益。</w:t>
      </w:r>
    </w:p>
    <w:p w14:paraId="305D645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（12）按业主批准的</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施工平面图</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布置现场，生产生活房屋布置，所有工地和生活区统一规划、布置整齐、排水通畅，设置围栏，并建有卫生设施。</w:t>
      </w:r>
    </w:p>
    <w:p w14:paraId="3E9EDF5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（13）统一布置、有条不紊、统一指挥，做到道路畅通，环境整洁，文明卫生，环境友好。</w:t>
      </w:r>
    </w:p>
    <w:p w14:paraId="0CBF6017">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 临时用电安全措施</w:t>
      </w:r>
    </w:p>
    <w:p w14:paraId="16CF488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现场移动式电气设备必须使用橡皮绝缘电缆，横过通道必须穿管埋地敷设。配电箱、开关箱使用标准电箱，电箱内开关电器必须完整无损，接线正确，电箱内设置漏电保护器，选用合理的额定漏电动作电流进行分级匹配。配电箱设总熔丝、分开关，动力和照明分别设置。金属外壳电箱作接地或接零保护。开关箱与用电设备实行一机一闸保险。同一移动开关箱严禁有380V和220V两种电压等级，管内照明用电采用24V低压电源。</w:t>
      </w:r>
    </w:p>
    <w:p w14:paraId="029F096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架空线必须设在专用杆上，严禁架设在树或脚手架上，架空线装设横担和绝缘子。架空线离地4m以上，机动车道为6m以上。对高压线路、变压器要按规程安置，设立明显的标志牌。</w:t>
      </w:r>
    </w:p>
    <w:p w14:paraId="346292C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所有电气设备按规定安装漏电保护装置，并有良好的接地保护措施。接地采用角钢、圆钢或钢管，其截面不小于48mm</w:t>
      </w:r>
      <w:r>
        <w:rPr>
          <w:rFonts w:hint="default"/>
          <w:color w:val="000000" w:themeColor="text1"/>
          <w:vertAlign w:val="superscript"/>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，一组二根接地之间间距不小于2.5m，接地电阻符合规定，电杆转角杆、终端杆及总箱，分配电箱必须有重复接地。</w:t>
      </w:r>
    </w:p>
    <w:p w14:paraId="45E53A0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安装、维修或拆除临时用电工程，必须由电工完成，电工必须持证上岗，实行定期检查制度，并做好检查记录。</w:t>
      </w:r>
    </w:p>
    <w:p w14:paraId="45FE237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严禁将电线栓在铁扒钉、钢筋或其他导电金属物上，电线必须用绝缘子固定，配电导线必须保证与邻近线路或设施的安全距离。</w:t>
      </w:r>
    </w:p>
    <w:p w14:paraId="0023ECE7">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 高空作业安全措施</w:t>
      </w:r>
    </w:p>
    <w:p w14:paraId="16A6781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高空作业主要指沉井在制作和下沉过程中的操作及顶进时操作工人的上下井。作业人员栓安全带、佩戴安全帽、穿防滑鞋。高空作业人员配给工具袋，小型工具及材料放入袋内，较大的工具，栓好保险绳，不得随手乱放，防止坠落伤人，严禁从高空向下乱扔乱丢。双层作业或靠近交通要道施工时，设置必要的封闭隔离措施或设置防护人员及有关施工标志。</w:t>
      </w:r>
    </w:p>
    <w:p w14:paraId="0AEB285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高空作业所用梯子不得缺档和垫高，同一梯子不得二人同时上下。高空作业与地面联系，有专人负责，或配有通讯设备。高空作业铺设纵、横梁及支架时，铺设步行板，步行板两端绑扎，不得留探头板。</w:t>
      </w:r>
    </w:p>
    <w:p w14:paraId="55CB90F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井内采用带有防护笼的专用竖井钢爬梯，以保证工作上下的安全通行。</w:t>
      </w:r>
    </w:p>
    <w:p w14:paraId="0D5F70DE">
      <w:pPr>
        <w:numPr>
          <w:ilvl w:val="0"/>
          <w:numId w:val="0"/>
        </w:numPr>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6.</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顶进施工安全技术措施</w:t>
      </w:r>
    </w:p>
    <w:p w14:paraId="24A61E3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（1）在凿除洞口封墙时，空压机操作需由有丰富经验的施工人员进行，并应做好防护工作，防止碎块溅起伤人。</w:t>
      </w:r>
    </w:p>
    <w:p w14:paraId="58898D0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（2）刚顶进时管子要防止反弹，因刚顶进管子还没有一定距离和摩阻力，很容易被洞外泥土压力挤出，因此在顶进到位收泵时，要注意观察反弹现象，如有反弹停止收泵，采取止回措施，方可收泵。</w:t>
      </w:r>
    </w:p>
    <w:p w14:paraId="132C340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（3）管道内的防火措施也相当重要。主要做好以下几点：</w:t>
      </w:r>
    </w:p>
    <w:p w14:paraId="20905E2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1）管道内，未经许可不得动用明火；</w:t>
      </w:r>
    </w:p>
    <w:p w14:paraId="5D86F3F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2）管道内任何人都不准吸烟；</w:t>
      </w:r>
    </w:p>
    <w:p w14:paraId="2D08CA1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3）用于管道内的所有材料，都应是非燃材料或具有延迟起火的性能；</w:t>
      </w:r>
    </w:p>
    <w:p w14:paraId="17E2329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4）管道内的气体含量需经常检测，发现可燃气体超标，应立即停机，加强通风。</w:t>
      </w:r>
    </w:p>
    <w:p w14:paraId="0413849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（4）管子吊装安全措施</w:t>
      </w:r>
    </w:p>
    <w:p w14:paraId="437358B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1）吊管必须有人指挥，并持有效证件；</w:t>
      </w:r>
    </w:p>
    <w:p w14:paraId="70F5AC4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2）吊机停放要平稳，基实牢固的位置；</w:t>
      </w:r>
    </w:p>
    <w:p w14:paraId="11BE1CB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3）吊机驾驶必须持有有效证件（特殊工种操作证）。</w:t>
      </w:r>
    </w:p>
    <w:p w14:paraId="70E314E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4）吊管钢丝绳要选择标准规定的材质，吊管时管内与钢丝绳接触点要垫好木块，以免擦伤钢丝绳和管口钢套环。</w:t>
      </w:r>
    </w:p>
    <w:p w14:paraId="115B15C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5）在吊装管子时，沉井下垂直点不准站人，与管体平衡点不准站人，防止悬空惯性而碰撞伤人。</w:t>
      </w:r>
    </w:p>
    <w:p w14:paraId="7232F95B">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注浆工艺由专人负责，质量员定期检查。</w:t>
      </w:r>
    </w:p>
    <w:p w14:paraId="5FA51A2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注浆泵选择脉动小的螺杆泵，流量与顶进速度相应配合。</w:t>
      </w:r>
    </w:p>
    <w:p w14:paraId="03F2EFF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由于顶管线路长，为使全程注浆压力不致相差过大，在中间还将增设压浆站以增大压力。</w:t>
      </w:r>
    </w:p>
    <w:p w14:paraId="0A8956F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要严格控制注浆压力，已防止浆体流到顶管机头前端进入管内土围堰，将雨水引流到场内主排水沟，防止倒灌井内。工地配备发电机若干台备用，防止雷电季节突然停电。</w:t>
      </w:r>
    </w:p>
    <w:p w14:paraId="6252A40C">
      <w:pPr>
        <w:pStyle w:val="3"/>
        <w:bidi w:val="0"/>
        <w:rPr>
          <w:rFonts w:hint="default"/>
          <w:color w:val="000000" w:themeColor="text1"/>
          <w:lang w:val="en-US" w:eastAsia="zh-CN"/>
          <w14:textFill>
            <w14:solidFill>
              <w14:schemeClr w14:val="tx1"/>
            </w14:solidFill>
          </w14:textFill>
        </w:rPr>
      </w:pPr>
      <w:bookmarkStart w:id="58" w:name="_Toc3662"/>
      <w:r>
        <w:rPr>
          <w:rFonts w:hint="eastAsia"/>
          <w:color w:val="000000" w:themeColor="text1"/>
          <w:lang w:val="en-US" w:eastAsia="zh-CN"/>
          <w14:textFill>
            <w14:solidFill>
              <w14:schemeClr w14:val="tx1"/>
            </w14:solidFill>
          </w14:textFill>
        </w:rPr>
        <w:t xml:space="preserve">2.9 </w:t>
      </w:r>
      <w:r>
        <w:rPr>
          <w:rFonts w:hint="default"/>
          <w:color w:val="000000" w:themeColor="text1"/>
          <w:lang w:val="en-US" w:eastAsia="zh-CN"/>
          <w14:textFill>
            <w14:solidFill>
              <w14:schemeClr w14:val="tx1"/>
            </w14:solidFill>
          </w14:textFill>
        </w:rPr>
        <w:t>有限空间作业</w:t>
      </w:r>
      <w:bookmarkEnd w:id="58"/>
    </w:p>
    <w:p w14:paraId="18C62DD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（1）按照</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先检测、后作业</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原则，凡要进入有限空间危险作业场所作业，必须根据实际情况事先测定其氧气、有害气体、可燃性气体、粉尘的浓度，符合安全要求后，方可进入。在未准确测定氧气浓度、有害气体、可燃性气体、粉尘的浓度前，严禁进入该作业场所。</w:t>
      </w:r>
    </w:p>
    <w:p w14:paraId="713EDC9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）确保有限空间危险作业现场的空气质量。氧气含量应在18%以上，23.5%以下。其有害有毒气体、可燃气体、粉尘容许浓度必须符合国家标准的安全要求。</w:t>
      </w:r>
    </w:p>
    <w:p w14:paraId="697D6BE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）在有限空间危险作业进行过程中，应加强通风换气，在氧气浓度、有害气体、可燃性气体、粉尘的浓度可能发生变化的危险作业中应保持必要的测定次数或连续检测。</w:t>
      </w:r>
    </w:p>
    <w:p w14:paraId="5530A4E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）作业时所用的一切电气设备，必须符合有关用电安全技术操作规程。照明应使用安全矿灯或36伏以下的安全灯，使用超过安全电压的手持电动工具，必须按规定配备漏电保护器。</w:t>
      </w:r>
    </w:p>
    <w:p w14:paraId="6D2DFAB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）发现可能存在有害气体、可燃气体时，检测人员应同时使用有害气体检测仪表、可燃气体测试仪等设备进行检测。</w:t>
      </w:r>
    </w:p>
    <w:p w14:paraId="0231025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）检测人员应佩戴隔离式呼吸器，严禁使用氧气呼吸器；</w:t>
      </w:r>
    </w:p>
    <w:p w14:paraId="58EFADE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）有可燃气体或可燃性粉尘存在的作业现场，所有的检测仪器，电动工具，照明灯具等，必须使用符合《爆炸和火灾危险环境电力装置设计规范》要求的防爆型产品。</w:t>
      </w:r>
    </w:p>
    <w:p w14:paraId="664A14F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）对由于防爆、防氧化不能采用通风换气措施或受作业环境限制不易充分通风换气的场所，作业人员必须配备并使用空气呼吸器或软管面具等隔离式呼吸保护器具。</w:t>
      </w:r>
    </w:p>
    <w:p w14:paraId="633F33A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）作业人员实行挂牌上岗作业，进入有限空间危险作业场所作业前和离开时应准确清点人数。</w:t>
      </w:r>
    </w:p>
    <w:p w14:paraId="2501EE7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default"/>
          <w:color w:val="000000" w:themeColor="text1"/>
          <w:lang w:val="en-US" w:eastAsia="zh-CN"/>
          <w14:textFill>
            <w14:solidFill>
              <w14:schemeClr w14:val="tx1"/>
            </w14:solidFill>
          </w14:textFill>
        </w:rPr>
        <w:t>）进入有限空间危险作业场所作业，作业人员与监护人员应事先规定明确的联络信号。</w:t>
      </w:r>
    </w:p>
    <w:p w14:paraId="043E859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）如果作业场所的缺氧危险可能影响附近作业场所人员的安全时，应及时通知这些作业场所的有关人员。</w:t>
      </w:r>
    </w:p>
    <w:p w14:paraId="29A8CDB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）严禁无关人员进入有限空间危险作业场所，并应在醒目处设置警示标志。</w:t>
      </w:r>
    </w:p>
    <w:p w14:paraId="76380E7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）在有限空间危险作业场所，必须配备抢救器具，如：呼吸器具、梯子、绳缆以及其它必要的器具和设备，以便在非常情况下抢救作业人员。</w:t>
      </w:r>
    </w:p>
    <w:p w14:paraId="7C82CE9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）在密闭容器内使用二氧化碳或氦气进行焊接作业时，必须在作业过程中通风换气，确保空气符合安全要求。</w:t>
      </w:r>
    </w:p>
    <w:p w14:paraId="5904557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）当作业人员在与输送管道连接的密闭设备（如油罐、反应塔、储罐、锅炉等）内部作业时必须严密关闭阀门，装好盲板，并在醒目处设立禁止启动的标志。</w:t>
      </w:r>
    </w:p>
    <w:p w14:paraId="3FD2275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）当作业人员在密闭设备内作业时，一般打开出入口的门或盖，如果设备与正在抽气或已经处于负压的管路相通时，严禁关闭出入口的门或盖。</w:t>
      </w:r>
    </w:p>
    <w:p w14:paraId="64D0360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）在地下进行压气作业时，应防止缺氧空气泄至作业场所，如与作业场所相通的设施中存在缺氧空气，应直接排除，防止缺氧空气进入作业场所。</w:t>
      </w:r>
    </w:p>
    <w:p w14:paraId="668862ED">
      <w:pPr>
        <w:pStyle w:val="3"/>
        <w:bidi w:val="0"/>
        <w:rPr>
          <w:rFonts w:hint="eastAsia"/>
          <w:color w:val="000000" w:themeColor="text1"/>
          <w:lang w:val="en-US" w:eastAsia="zh-CN"/>
          <w14:textFill>
            <w14:solidFill>
              <w14:schemeClr w14:val="tx1"/>
            </w14:solidFill>
          </w14:textFill>
        </w:rPr>
      </w:pPr>
      <w:bookmarkStart w:id="59" w:name="_Toc22901"/>
      <w:r>
        <w:rPr>
          <w:rFonts w:hint="eastAsia"/>
          <w:color w:val="000000" w:themeColor="text1"/>
          <w:lang w:val="en-US" w:eastAsia="zh-CN"/>
          <w14:textFill>
            <w14:solidFill>
              <w14:schemeClr w14:val="tx1"/>
            </w14:solidFill>
          </w14:textFill>
        </w:rPr>
        <w:t>2.10 交通安全措施及地下管线保护措施</w:t>
      </w:r>
      <w:bookmarkEnd w:id="59"/>
    </w:p>
    <w:p w14:paraId="0FC02BF8">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 交通安全措施</w:t>
      </w:r>
    </w:p>
    <w:p w14:paraId="0EB2A23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与市政市容管理委员会及交警支队确定，施工期间社会车辆采取绕行、导行通行的方式，降低车流量，允许周边居民及单位工作车辆通行。</w:t>
      </w:r>
    </w:p>
    <w:p w14:paraId="44876A5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对现场所有管理人员及工人进行入场培训，提高思想意识，对于违反规定者给予惩罚措施。</w:t>
      </w:r>
    </w:p>
    <w:p w14:paraId="4DCE846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成立施工领导小组，项目经理为组长，项目总工、项目副经理为副组长，对项目部其他管理人员进行统一领导。每天早上7：00召开碰头会并对当天施工的工序进行安排，落实机械、材料问题。每天下午18：00召开例会，落实总结当天施工注意事项。</w:t>
      </w:r>
    </w:p>
    <w:p w14:paraId="649ECBB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围挡要求：临路一侧要安装上半部分透明的围挡，达到通视要求。</w:t>
      </w:r>
    </w:p>
    <w:p w14:paraId="40224C9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夜间施工期间，用间隔2m的锥筒围出施工区域，施工区域两侧各形成渐变段，区域两端及施工路段各交叉路口设立施工安全警示标志牌、交通导向标志、回转灯、防撞桶、水码、爆闪灯等交通设施，并安排专职交通协管员在现场负责交通安全疏导。</w:t>
      </w:r>
    </w:p>
    <w:p w14:paraId="402715D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各项工序或作业区的结合部位在夜间施工时要有明显的发光标志，各道工序除当班的安全员、质检员必须到位外，还要建立治安主管人员巡查制度。</w:t>
      </w:r>
    </w:p>
    <w:p w14:paraId="43ABB46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必须事先向周边社区告示夜间施工情况和降低噪声措施，按规定减少噪声排放，而且不得将强光照明灯直接照射居民窗户。</w:t>
      </w:r>
    </w:p>
    <w:p w14:paraId="6D5292E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为了降低夜间施工中噪声对周围环境和居民的影响，采用如下措施：人为噪声的控制措施</w:t>
      </w:r>
    </w:p>
    <w:p w14:paraId="0F63034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施工现场提倡文明施工，建立健全控制人为噪声的管理制度。尽量减少人为的大声喧哗，增强全体施工人员防噪声扰民的自觉意识。</w:t>
      </w:r>
    </w:p>
    <w:p w14:paraId="15992DA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r>
        <w:rPr>
          <w:rFonts w:hint="default"/>
          <w:color w:val="000000" w:themeColor="text1"/>
          <w:lang w:val="en-US" w:eastAsia="zh-CN"/>
          <w14:textFill>
            <w14:solidFill>
              <w14:schemeClr w14:val="tx1"/>
            </w14:solidFill>
          </w14:textFill>
        </w:rPr>
        <w:t>通过统筹安排，合理计划，最大限度地减少深夜高噪音施工的时间和次数。车辆进出现场，专人指挥，减少或不鸣笛。</w:t>
      </w:r>
    </w:p>
    <w:p w14:paraId="4D9FA53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r>
        <w:rPr>
          <w:rFonts w:hint="default"/>
          <w:color w:val="000000" w:themeColor="text1"/>
          <w:lang w:val="en-US" w:eastAsia="zh-CN"/>
          <w14:textFill>
            <w14:solidFill>
              <w14:schemeClr w14:val="tx1"/>
            </w14:solidFill>
          </w14:textFill>
        </w:rPr>
        <w:t>夜间行车时要注意变换灯光，不要冒失行车，以防事故发生。</w:t>
      </w:r>
    </w:p>
    <w:p w14:paraId="3496B05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r>
        <w:rPr>
          <w:rFonts w:hint="default"/>
          <w:color w:val="000000" w:themeColor="text1"/>
          <w:lang w:val="en-US" w:eastAsia="zh-CN"/>
          <w14:textFill>
            <w14:solidFill>
              <w14:schemeClr w14:val="tx1"/>
            </w14:solidFill>
          </w14:textFill>
        </w:rPr>
        <w:t>在当晚开工前做好工、料、机的充分准备，以保证高效的完成当晚施工任务。</w:t>
      </w:r>
    </w:p>
    <w:p w14:paraId="2F52976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2. </w:t>
      </w:r>
      <w:r>
        <w:rPr>
          <w:rFonts w:hint="default"/>
          <w:color w:val="000000" w:themeColor="text1"/>
          <w:lang w:val="en-US" w:eastAsia="zh-CN"/>
          <w14:textFill>
            <w14:solidFill>
              <w14:schemeClr w14:val="tx1"/>
            </w14:solidFill>
          </w14:textFill>
        </w:rPr>
        <w:t>地下管线及构筑物情况</w:t>
      </w:r>
    </w:p>
    <w:p w14:paraId="5156051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为减少对施工的影响和保护原有地下管线的安全，认真分析情况并分几种类型拟定处理方案。</w:t>
      </w:r>
    </w:p>
    <w:p w14:paraId="446C9E8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组织专门人员与相关产权单位接触，主动联系，在对地下管线详细准确调查的基础上，对影响施工的地下管线分别制定出：拆、改等切实可行的处理方案。本工程的雨水管道经与设计和产权单位沟通采用拆除恢复和改建的方式解决。施工过程中将与管理单位密切合作，在施工现场设立办公室，联系管线管理单位现场指导，顺利完成地下管线的拆改工作。</w:t>
      </w:r>
    </w:p>
    <w:p w14:paraId="0CA6C6A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3. </w:t>
      </w:r>
      <w:r>
        <w:rPr>
          <w:rFonts w:hint="default"/>
          <w:color w:val="000000" w:themeColor="text1"/>
          <w:lang w:val="en-US" w:eastAsia="zh-CN"/>
          <w14:textFill>
            <w14:solidFill>
              <w14:schemeClr w14:val="tx1"/>
            </w14:solidFill>
          </w14:textFill>
        </w:rPr>
        <w:t>地下管线的安全保护措施</w:t>
      </w:r>
    </w:p>
    <w:p w14:paraId="118F56C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在工程正式开工前，依据业主和设计单位提供的地下管线资料进行汇总分析，绘制施工现场地下管线详图，并召开有各管线管理单位参加的施工配合会。</w:t>
      </w:r>
    </w:p>
    <w:p w14:paraId="4F5224B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在进行物探基础上，结合施工图，在现况与拟建管线交叉处开挖探坑、核对现况地下管线的确切情况，核对内容包括管线的种类、规格、高程、走向、完好程度、运行情况等，并做好详细记录。</w:t>
      </w:r>
    </w:p>
    <w:p w14:paraId="761DCA6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项目部建立以项目经理为组长地下管线安全防护小组，设专人负责地下管线的安全防护工作。项目部与各施工段生产负责人签定责任状，明确责任制度。</w:t>
      </w:r>
    </w:p>
    <w:p w14:paraId="55D4630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针对实际情况，对施工管道有影响的管线分别制定相应措施。</w:t>
      </w:r>
    </w:p>
    <w:p w14:paraId="4688F74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在施工现场设置现况地下管线安全标志牌，标明管线种类、走向、埋深、用途以及负责人。</w:t>
      </w:r>
    </w:p>
    <w:p w14:paraId="57FF482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施工现场备齐各种抢修器材，一旦出现险情及时抢修。</w:t>
      </w:r>
    </w:p>
    <w:p w14:paraId="07CC805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建立地下管线安全保障紧急预案，一旦发生地下管线施工安全隐患或事故，迅速向相关管理单位报告，同时迅速采取有效的临时保护措施，将损失减小到最小，积极配合有关单位做好事故处理工作。</w:t>
      </w:r>
    </w:p>
    <w:p w14:paraId="24B9F99E">
      <w:pPr>
        <w:pStyle w:val="3"/>
        <w:bidi w:val="0"/>
        <w:rPr>
          <w:rFonts w:hint="default"/>
          <w:color w:val="000000" w:themeColor="text1"/>
          <w:lang w:val="en-US" w:eastAsia="zh-CN"/>
          <w14:textFill>
            <w14:solidFill>
              <w14:schemeClr w14:val="tx1"/>
            </w14:solidFill>
          </w14:textFill>
        </w:rPr>
      </w:pPr>
      <w:bookmarkStart w:id="60" w:name="_Toc22714"/>
      <w:r>
        <w:rPr>
          <w:rFonts w:hint="eastAsia"/>
          <w:color w:val="000000" w:themeColor="text1"/>
          <w:lang w:val="en-US" w:eastAsia="zh-CN"/>
          <w14:textFill>
            <w14:solidFill>
              <w14:schemeClr w14:val="tx1"/>
            </w14:solidFill>
          </w14:textFill>
        </w:rPr>
        <w:t xml:space="preserve">2.11 </w:t>
      </w:r>
      <w:r>
        <w:rPr>
          <w:rFonts w:hint="default"/>
          <w:color w:val="000000" w:themeColor="text1"/>
          <w:lang w:val="en-US" w:eastAsia="zh-CN"/>
          <w14:textFill>
            <w14:solidFill>
              <w14:schemeClr w14:val="tx1"/>
            </w14:solidFill>
          </w14:textFill>
        </w:rPr>
        <w:t>雨季施工措施</w:t>
      </w:r>
      <w:bookmarkEnd w:id="60"/>
    </w:p>
    <w:p w14:paraId="6C9E8891">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1. </w:t>
      </w:r>
      <w:r>
        <w:rPr>
          <w:rFonts w:hint="default"/>
          <w:color w:val="000000" w:themeColor="text1"/>
          <w:lang w:val="en-US" w:eastAsia="zh-CN"/>
          <w14:textFill>
            <w14:solidFill>
              <w14:schemeClr w14:val="tx1"/>
            </w14:solidFill>
          </w14:textFill>
        </w:rPr>
        <w:t>施工准备</w:t>
      </w:r>
    </w:p>
    <w:p w14:paraId="7931790C">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提前编制雨季施工的实施性施工方案，并报监理工程师审批。</w:t>
      </w:r>
    </w:p>
    <w:p w14:paraId="10403D5F">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做好对工人雨季施工技术培训，特别是关键工序的技术培训。</w:t>
      </w:r>
    </w:p>
    <w:p w14:paraId="66BDC300">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根据雨季施工的进度计划，备好雨季施工的材料和设备。</w:t>
      </w:r>
    </w:p>
    <w:p w14:paraId="45C5AF49">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派专人做好气象观测记录，并与当地气象台保持联系。</w:t>
      </w:r>
    </w:p>
    <w:p w14:paraId="399A78E7">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做好雨季施工的雨棚的建设。</w:t>
      </w:r>
    </w:p>
    <w:p w14:paraId="598A9132">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6</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检查供电、用电设备，防止漏电伤人事故发生。</w:t>
      </w:r>
    </w:p>
    <w:p w14:paraId="60492AAB">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2. </w:t>
      </w:r>
      <w:r>
        <w:rPr>
          <w:rFonts w:hint="default"/>
          <w:color w:val="000000" w:themeColor="text1"/>
          <w:lang w:val="en-US" w:eastAsia="zh-CN"/>
          <w14:textFill>
            <w14:solidFill>
              <w14:schemeClr w14:val="tx1"/>
            </w14:solidFill>
          </w14:textFill>
        </w:rPr>
        <w:t>雨季施工措施</w:t>
      </w:r>
    </w:p>
    <w:p w14:paraId="3AF0880A">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工作井、顶管及基础开挖等尽量避开雨天施工。对已下沉到位的，正在井内施工作业的和已和管道连通的沉井周围填筑土堤围堰，防止地面雨水灌入造成人身和财产损失。</w:t>
      </w:r>
    </w:p>
    <w:p w14:paraId="7D882ABA">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施工场地的临时排水设施与永久排水设施相结合，保持排水系统畅通；</w:t>
      </w:r>
    </w:p>
    <w:p w14:paraId="3C52D026">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雨季经常清理便道水沟，防止淤塞，保持便道畅通；</w:t>
      </w:r>
    </w:p>
    <w:p w14:paraId="2885CF72">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检查并加固供电设施，将处于低洼处的用电设备移到高处，防止雨水进入；</w:t>
      </w:r>
    </w:p>
    <w:p w14:paraId="43D9D89D">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搞好物资储备，如配置发电机和汽油水泵等，确保雨季工程正常施工。</w:t>
      </w:r>
    </w:p>
    <w:p w14:paraId="043A732E">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 防内涝措施</w:t>
      </w:r>
    </w:p>
    <w:p w14:paraId="3A37839E">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本工程位于郊区，强化意识，提高抗险能力，克服麻痹思想，把握重点，主动防范，以施工安全为中心，及早部署并切实抓好落实。</w:t>
      </w:r>
    </w:p>
    <w:p w14:paraId="33CE6391">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汛期，对本单位驻地、工地、料库、料场等进行全面检查，查看有无灾害隐患。对于影响路基稳定和妨碍排水的工程，应会同有关部门进行现场联合检查，共同确定必须处理的项目，发现灾害隐患，限期解决。</w:t>
      </w:r>
    </w:p>
    <w:p w14:paraId="6BAE27EB">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汛期要与当地气象部门加强联系，了解近期气象预报，掌握雨汛情况，做到心中有数，一旦遇有灾害性天气和水情，能及时作出部署。</w:t>
      </w:r>
    </w:p>
    <w:p w14:paraId="6238182C">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施工弃土、弃渣要严格按设计要求进行，以防影响泄水行洪。</w:t>
      </w:r>
    </w:p>
    <w:p w14:paraId="7049FDF9">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防汛期间，领导干部24小时轮流值班。防汛重点施工项目要设专用通讯设施，以便及时了解现场情况。汛期应准备充足的器材、运输工具及劳力等，以备应急抢险。</w:t>
      </w:r>
    </w:p>
    <w:p w14:paraId="70AB7315">
      <w:pPr>
        <w:pStyle w:val="3"/>
        <w:bidi w:val="0"/>
        <w:rPr>
          <w:rFonts w:hint="eastAsia"/>
          <w:color w:val="000000" w:themeColor="text1"/>
          <w:lang w:val="en-US" w:eastAsia="zh-CN"/>
          <w14:textFill>
            <w14:solidFill>
              <w14:schemeClr w14:val="tx1"/>
            </w14:solidFill>
          </w14:textFill>
        </w:rPr>
      </w:pPr>
      <w:bookmarkStart w:id="61" w:name="_Toc5679"/>
      <w:r>
        <w:rPr>
          <w:rFonts w:hint="eastAsia"/>
          <w:color w:val="000000" w:themeColor="text1"/>
          <w:lang w:val="en-US" w:eastAsia="zh-CN"/>
          <w14:textFill>
            <w14:solidFill>
              <w14:schemeClr w14:val="tx1"/>
            </w14:solidFill>
          </w14:textFill>
        </w:rPr>
        <w:t>2.12 应急措施</w:t>
      </w:r>
      <w:bookmarkEnd w:id="61"/>
    </w:p>
    <w:p w14:paraId="2A2530A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为确保项目部触电事故发生以后，能迅速有效的开展抢救工作，最大限度的降低员工及相关方生命安全风险，制定本预案。</w:t>
      </w:r>
    </w:p>
    <w:p w14:paraId="171EFC5D">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1. </w:t>
      </w:r>
      <w:r>
        <w:rPr>
          <w:rFonts w:hint="default"/>
          <w:color w:val="000000" w:themeColor="text1"/>
          <w:lang w:val="en-US" w:eastAsia="zh-CN"/>
          <w14:textFill>
            <w14:solidFill>
              <w14:schemeClr w14:val="tx1"/>
            </w14:solidFill>
          </w14:textFill>
        </w:rPr>
        <w:t>应急领导小组</w:t>
      </w:r>
    </w:p>
    <w:p w14:paraId="6A2BCA52">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 xml:space="preserve">组 </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 xml:space="preserve"> 长：杨来军   项目经理       电话：18058366683</w:t>
      </w:r>
    </w:p>
    <w:p w14:paraId="546D47E4">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具体负责：紧急情况处理的指挥工作。</w:t>
      </w:r>
    </w:p>
    <w:p w14:paraId="6D7EC707">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副</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组</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长：万</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鹏   生产经理</w:t>
      </w:r>
    </w:p>
    <w:p w14:paraId="7D9B6FCE">
      <w:pPr>
        <w:keepNext w:val="0"/>
        <w:keepLines w:val="0"/>
        <w:pageBreakBefore w:val="0"/>
        <w:widowControl w:val="0"/>
        <w:kinsoku/>
        <w:wordWrap/>
        <w:overflowPunct/>
        <w:topLinePunct w:val="0"/>
        <w:autoSpaceDE/>
        <w:autoSpaceDN/>
        <w:bidi w:val="0"/>
        <w:adjustRightInd/>
        <w:snapToGrid/>
        <w:spacing w:line="348" w:lineRule="auto"/>
        <w:ind w:left="560" w:leftChars="200" w:firstLine="0" w:firstLineChars="0"/>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具体负责：紧急情况处理的实施工作、负责各项应急预案的编制工作。安</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全</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员：曾龙圣</w:t>
      </w:r>
    </w:p>
    <w:p w14:paraId="0CEC9BE0">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具体负责：对事故救援过程中的人员进行协调指挥</w:t>
      </w:r>
    </w:p>
    <w:p w14:paraId="3774B624">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 xml:space="preserve">成  </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员：郑文龙、付亚欣、黄超</w:t>
      </w:r>
    </w:p>
    <w:p w14:paraId="473F43F6">
      <w:pPr>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具体负责：隔离及保护事故现场，严禁无关人员进入。</w:t>
      </w:r>
    </w:p>
    <w:p w14:paraId="4D6FF4CA">
      <w:pPr>
        <w:keepNext w:val="0"/>
        <w:keepLines w:val="0"/>
        <w:pageBreakBefore w:val="0"/>
        <w:widowControl w:val="0"/>
        <w:kinsoku/>
        <w:wordWrap/>
        <w:overflowPunct/>
        <w:topLinePunct w:val="0"/>
        <w:autoSpaceDE/>
        <w:autoSpaceDN/>
        <w:bidi w:val="0"/>
        <w:adjustRightInd/>
        <w:snapToGrid/>
        <w:spacing w:line="348" w:lineRule="auto"/>
        <w:ind w:firstLine="1960" w:firstLineChars="700"/>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负责在事故救援过程中的联系沟通。</w:t>
      </w:r>
    </w:p>
    <w:p w14:paraId="15598B31">
      <w:pPr>
        <w:keepNext w:val="0"/>
        <w:keepLines w:val="0"/>
        <w:pageBreakBefore w:val="0"/>
        <w:widowControl w:val="0"/>
        <w:kinsoku/>
        <w:wordWrap/>
        <w:overflowPunct/>
        <w:topLinePunct w:val="0"/>
        <w:autoSpaceDE/>
        <w:autoSpaceDN/>
        <w:bidi w:val="0"/>
        <w:adjustRightInd/>
        <w:snapToGrid/>
        <w:spacing w:line="348" w:lineRule="auto"/>
        <w:ind w:firstLine="1960" w:firstLineChars="700"/>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负责对事故现场的搜救及清理。</w:t>
      </w:r>
    </w:p>
    <w:p w14:paraId="3017C426">
      <w:pPr>
        <w:keepNext w:val="0"/>
        <w:keepLines w:val="0"/>
        <w:pageBreakBefore w:val="0"/>
        <w:widowControl w:val="0"/>
        <w:kinsoku/>
        <w:wordWrap/>
        <w:overflowPunct/>
        <w:topLinePunct w:val="0"/>
        <w:autoSpaceDE/>
        <w:autoSpaceDN/>
        <w:bidi w:val="0"/>
        <w:adjustRightInd/>
        <w:snapToGrid/>
        <w:spacing w:line="348" w:lineRule="auto"/>
        <w:ind w:firstLine="1960" w:firstLineChars="700"/>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负责对事故现场及周围人员的防护指导、人员疏散及物资转移。</w:t>
      </w:r>
    </w:p>
    <w:p w14:paraId="20771B2D">
      <w:pPr>
        <w:bidi w:val="0"/>
        <w:ind w:left="0" w:leftChars="0"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应急工作上报程序图：</w:t>
      </w:r>
    </w:p>
    <w:p w14:paraId="2433772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000000" w:themeColor="text1"/>
          <w:position w:val="-166"/>
          <w14:textFill>
            <w14:solidFill>
              <w14:schemeClr w14:val="tx1"/>
            </w14:solidFill>
          </w14:textFill>
        </w:rPr>
      </w:pPr>
      <w:r>
        <w:rPr>
          <w:color w:val="000000" w:themeColor="text1"/>
          <w:position w:val="-166"/>
          <w14:textFill>
            <w14:solidFill>
              <w14:schemeClr w14:val="tx1"/>
            </w14:solidFill>
          </w14:textFill>
        </w:rPr>
        <w:drawing>
          <wp:inline distT="0" distB="0" distL="0" distR="0">
            <wp:extent cx="5770880" cy="5280025"/>
            <wp:effectExtent l="0" t="0" r="1270" b="15875"/>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42"/>
                    <a:stretch>
                      <a:fillRect/>
                    </a:stretch>
                  </pic:blipFill>
                  <pic:spPr>
                    <a:xfrm>
                      <a:off x="0" y="0"/>
                      <a:ext cx="5771388" cy="5280659"/>
                    </a:xfrm>
                    <a:prstGeom prst="rect">
                      <a:avLst/>
                    </a:prstGeom>
                  </pic:spPr>
                </pic:pic>
              </a:graphicData>
            </a:graphic>
          </wp:inline>
        </w:drawing>
      </w:r>
    </w:p>
    <w:p w14:paraId="698550CE">
      <w:pPr>
        <w:bidi w:val="0"/>
        <w:ind w:left="0" w:leftChars="0" w:firstLine="0" w:firstLineChars="0"/>
        <w:jc w:val="center"/>
        <w:rPr>
          <w:rFonts w:hint="eastAsia"/>
          <w:color w:val="000000" w:themeColor="text1"/>
          <w14:textFill>
            <w14:solidFill>
              <w14:schemeClr w14:val="tx1"/>
            </w14:solidFill>
          </w14:textFill>
        </w:rPr>
      </w:pPr>
    </w:p>
    <w:p w14:paraId="673F56D8">
      <w:pPr>
        <w:bidi w:val="0"/>
        <w:ind w:left="0" w:leftChars="0" w:firstLine="0" w:firstLineChars="0"/>
        <w:jc w:val="center"/>
        <w:rPr>
          <w:rFonts w:hint="eastAsia"/>
          <w:color w:val="000000" w:themeColor="text1"/>
          <w14:textFill>
            <w14:solidFill>
              <w14:schemeClr w14:val="tx1"/>
            </w14:solidFill>
          </w14:textFill>
        </w:rPr>
      </w:pPr>
    </w:p>
    <w:p w14:paraId="6EAC6D0B">
      <w:pPr>
        <w:bidi w:val="0"/>
        <w:ind w:left="0" w:leftChars="0" w:firstLine="0" w:firstLineChars="0"/>
        <w:jc w:val="center"/>
        <w:rPr>
          <w:rFonts w:hint="eastAsia"/>
          <w:color w:val="000000" w:themeColor="text1"/>
          <w14:textFill>
            <w14:solidFill>
              <w14:schemeClr w14:val="tx1"/>
            </w14:solidFill>
          </w14:textFill>
        </w:rPr>
      </w:pPr>
    </w:p>
    <w:p w14:paraId="42F501B7">
      <w:pPr>
        <w:bidi w:val="0"/>
        <w:ind w:left="0" w:leftChars="0" w:firstLine="0" w:firstLineChars="0"/>
        <w:jc w:val="center"/>
        <w:rPr>
          <w:rFonts w:hint="eastAsia"/>
          <w:color w:val="000000" w:themeColor="text1"/>
          <w14:textFill>
            <w14:solidFill>
              <w14:schemeClr w14:val="tx1"/>
            </w14:solidFill>
          </w14:textFill>
        </w:rPr>
      </w:pPr>
    </w:p>
    <w:p w14:paraId="49AF1350">
      <w:pPr>
        <w:bidi w:val="0"/>
        <w:ind w:left="0" w:leftChars="0" w:firstLine="0" w:firstLineChars="0"/>
        <w:jc w:val="center"/>
        <w:rPr>
          <w:rFonts w:hint="eastAsia"/>
          <w:color w:val="000000" w:themeColor="text1"/>
          <w14:textFill>
            <w14:solidFill>
              <w14:schemeClr w14:val="tx1"/>
            </w14:solidFill>
          </w14:textFill>
        </w:rPr>
      </w:pPr>
    </w:p>
    <w:p w14:paraId="5ADFA503">
      <w:pPr>
        <w:bidi w:val="0"/>
        <w:ind w:left="0" w:leftChars="0" w:firstLine="0" w:firstLineChars="0"/>
        <w:jc w:val="center"/>
        <w:rPr>
          <w:rFonts w:hint="eastAsia"/>
          <w:color w:val="000000" w:themeColor="text1"/>
          <w14:textFill>
            <w14:solidFill>
              <w14:schemeClr w14:val="tx1"/>
            </w14:solidFill>
          </w14:textFill>
        </w:rPr>
      </w:pPr>
    </w:p>
    <w:p w14:paraId="1F3177D3">
      <w:pPr>
        <w:bidi w:val="0"/>
        <w:ind w:left="0" w:leftChars="0" w:firstLine="0" w:firstLineChars="0"/>
        <w:jc w:val="center"/>
        <w:rPr>
          <w:rFonts w:hint="eastAsia"/>
          <w:color w:val="000000" w:themeColor="text1"/>
          <w14:textFill>
            <w14:solidFill>
              <w14:schemeClr w14:val="tx1"/>
            </w14:solidFill>
          </w14:textFill>
        </w:rPr>
      </w:pPr>
    </w:p>
    <w:p w14:paraId="57C07ED6">
      <w:pPr>
        <w:bidi w:val="0"/>
        <w:ind w:left="0" w:leftChars="0" w:firstLine="0" w:firstLineChars="0"/>
        <w:jc w:val="center"/>
        <w:rPr>
          <w:rFonts w:hint="eastAsia"/>
          <w:color w:val="000000" w:themeColor="text1"/>
          <w14:textFill>
            <w14:solidFill>
              <w14:schemeClr w14:val="tx1"/>
            </w14:solidFill>
          </w14:textFill>
        </w:rPr>
      </w:pPr>
    </w:p>
    <w:p w14:paraId="6F196522">
      <w:pPr>
        <w:bidi w:val="0"/>
        <w:ind w:left="0" w:leftChars="0" w:firstLine="0" w:firstLineChars="0"/>
        <w:jc w:val="center"/>
        <w:rPr>
          <w:rFonts w:hint="eastAsia"/>
          <w:color w:val="000000" w:themeColor="text1"/>
          <w14:textFill>
            <w14:solidFill>
              <w14:schemeClr w14:val="tx1"/>
            </w14:solidFill>
          </w14:textFill>
        </w:rPr>
      </w:pPr>
    </w:p>
    <w:p w14:paraId="454AEB7E">
      <w:pPr>
        <w:bidi w:val="0"/>
        <w:ind w:left="0" w:leftChars="0" w:firstLine="0" w:firstLineChars="0"/>
        <w:jc w:val="center"/>
        <w:rPr>
          <w:rFonts w:hint="eastAsia"/>
          <w:color w:val="000000" w:themeColor="text1"/>
          <w14:textFill>
            <w14:solidFill>
              <w14:schemeClr w14:val="tx1"/>
            </w14:solidFill>
          </w14:textFill>
        </w:rPr>
      </w:pPr>
    </w:p>
    <w:p w14:paraId="21513D33">
      <w:pPr>
        <w:bidi w:val="0"/>
        <w:ind w:left="0" w:leftChars="0" w:firstLine="0" w:firstLineChars="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事故救援程序图：</w:t>
      </w:r>
    </w:p>
    <w:p w14:paraId="40FC7771">
      <w:pPr>
        <w:bidi w:val="0"/>
        <w:ind w:left="0" w:leftChars="0" w:firstLine="0" w:firstLineChars="0"/>
        <w:jc w:val="center"/>
        <w:rPr>
          <w:color w:val="000000" w:themeColor="text1"/>
          <w:position w:val="-257"/>
          <w14:textFill>
            <w14:solidFill>
              <w14:schemeClr w14:val="tx1"/>
            </w14:solidFill>
          </w14:textFill>
        </w:rPr>
      </w:pPr>
      <w:r>
        <w:rPr>
          <w:color w:val="000000" w:themeColor="text1"/>
          <w:position w:val="-257"/>
          <w14:textFill>
            <w14:solidFill>
              <w14:schemeClr w14:val="tx1"/>
            </w14:solidFill>
          </w14:textFill>
        </w:rPr>
        <w:drawing>
          <wp:inline distT="0" distB="0" distL="0" distR="0">
            <wp:extent cx="5865495" cy="8185150"/>
            <wp:effectExtent l="0" t="0" r="1905" b="635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43"/>
                    <a:stretch>
                      <a:fillRect/>
                    </a:stretch>
                  </pic:blipFill>
                  <pic:spPr>
                    <a:xfrm>
                      <a:off x="0" y="0"/>
                      <a:ext cx="5865875" cy="8185404"/>
                    </a:xfrm>
                    <a:prstGeom prst="rect">
                      <a:avLst/>
                    </a:prstGeom>
                  </pic:spPr>
                </pic:pic>
              </a:graphicData>
            </a:graphic>
          </wp:inline>
        </w:drawing>
      </w:r>
    </w:p>
    <w:p w14:paraId="71D32D10">
      <w:pPr>
        <w:bidi w:val="0"/>
        <w:ind w:left="0" w:leftChars="0" w:firstLine="0" w:firstLineChars="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项目部应急救援物资管理台账：</w:t>
      </w:r>
    </w:p>
    <w:tbl>
      <w:tblPr>
        <w:tblStyle w:val="31"/>
        <w:tblW w:w="851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64"/>
        <w:gridCol w:w="2835"/>
        <w:gridCol w:w="2307"/>
        <w:gridCol w:w="2104"/>
      </w:tblGrid>
      <w:tr w14:paraId="6FD998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264" w:type="dxa"/>
            <w:vAlign w:val="center"/>
          </w:tcPr>
          <w:p w14:paraId="54B8BB4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序号</w:t>
            </w:r>
          </w:p>
        </w:tc>
        <w:tc>
          <w:tcPr>
            <w:tcW w:w="2835" w:type="dxa"/>
            <w:vAlign w:val="center"/>
          </w:tcPr>
          <w:p w14:paraId="1297045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7"/>
                <w:kern w:val="0"/>
                <w:sz w:val="24"/>
                <w:szCs w:val="24"/>
                <w:lang w:val="en-US" w:eastAsia="en-US" w:bidi="ar-SA"/>
                <w14:textFill>
                  <w14:solidFill>
                    <w14:schemeClr w14:val="tx1"/>
                  </w14:solidFill>
                </w14:textFill>
              </w:rPr>
              <w:t>名称</w:t>
            </w:r>
          </w:p>
        </w:tc>
        <w:tc>
          <w:tcPr>
            <w:tcW w:w="2307" w:type="dxa"/>
            <w:vAlign w:val="center"/>
          </w:tcPr>
          <w:p w14:paraId="4D6A2E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6"/>
                <w:kern w:val="0"/>
                <w:sz w:val="24"/>
                <w:szCs w:val="24"/>
                <w:lang w:val="en-US" w:eastAsia="en-US" w:bidi="ar-SA"/>
                <w14:textFill>
                  <w14:solidFill>
                    <w14:schemeClr w14:val="tx1"/>
                  </w14:solidFill>
                </w14:textFill>
              </w:rPr>
              <w:t>数量</w:t>
            </w:r>
          </w:p>
        </w:tc>
        <w:tc>
          <w:tcPr>
            <w:tcW w:w="2104" w:type="dxa"/>
            <w:vAlign w:val="center"/>
          </w:tcPr>
          <w:p w14:paraId="06D4D6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状态</w:t>
            </w:r>
          </w:p>
        </w:tc>
      </w:tr>
      <w:tr w14:paraId="140C95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43809BE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1</w:t>
            </w:r>
          </w:p>
        </w:tc>
        <w:tc>
          <w:tcPr>
            <w:tcW w:w="2835" w:type="dxa"/>
            <w:vAlign w:val="center"/>
          </w:tcPr>
          <w:p w14:paraId="2C93975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安全帽</w:t>
            </w:r>
          </w:p>
        </w:tc>
        <w:tc>
          <w:tcPr>
            <w:tcW w:w="2307" w:type="dxa"/>
            <w:vAlign w:val="center"/>
          </w:tcPr>
          <w:p w14:paraId="3F39414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50</w:t>
            </w:r>
            <w:r>
              <w:rPr>
                <w:rFonts w:hint="eastAsia" w:ascii="Times New Roman" w:hAnsi="Times New Roman" w:eastAsia="宋体" w:cs="Times New Roman"/>
                <w:snapToGrid w:val="0"/>
                <w:color w:val="000000" w:themeColor="text1"/>
                <w:spacing w:val="-5"/>
                <w:kern w:val="0"/>
                <w:sz w:val="24"/>
                <w:szCs w:val="24"/>
                <w:lang w:val="en-US" w:eastAsia="zh-CN" w:bidi="ar-SA"/>
                <w14:textFill>
                  <w14:solidFill>
                    <w14:schemeClr w14:val="tx1"/>
                  </w14:solidFill>
                </w14:textFill>
              </w:rPr>
              <w:t>顶</w:t>
            </w:r>
          </w:p>
        </w:tc>
        <w:tc>
          <w:tcPr>
            <w:tcW w:w="2104" w:type="dxa"/>
            <w:vAlign w:val="center"/>
          </w:tcPr>
          <w:p w14:paraId="273A087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2953AF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49553D1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2</w:t>
            </w:r>
          </w:p>
        </w:tc>
        <w:tc>
          <w:tcPr>
            <w:tcW w:w="2835" w:type="dxa"/>
            <w:vAlign w:val="center"/>
          </w:tcPr>
          <w:p w14:paraId="27BF11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安全带</w:t>
            </w:r>
          </w:p>
        </w:tc>
        <w:tc>
          <w:tcPr>
            <w:tcW w:w="2307" w:type="dxa"/>
            <w:vAlign w:val="center"/>
          </w:tcPr>
          <w:p w14:paraId="69DEDDA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pacing w:val="-10"/>
                <w:kern w:val="0"/>
                <w:sz w:val="24"/>
                <w:szCs w:val="24"/>
                <w:lang w:val="en-US" w:eastAsia="zh-CN" w:bidi="ar-SA"/>
                <w14:textFill>
                  <w14:solidFill>
                    <w14:schemeClr w14:val="tx1"/>
                  </w14:solidFill>
                </w14:textFill>
              </w:rPr>
              <w:t>10条</w:t>
            </w:r>
          </w:p>
        </w:tc>
        <w:tc>
          <w:tcPr>
            <w:tcW w:w="2104" w:type="dxa"/>
            <w:vAlign w:val="center"/>
          </w:tcPr>
          <w:p w14:paraId="001D385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20C3CD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0EF58CC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3</w:t>
            </w:r>
          </w:p>
        </w:tc>
        <w:tc>
          <w:tcPr>
            <w:tcW w:w="2835" w:type="dxa"/>
            <w:vAlign w:val="center"/>
          </w:tcPr>
          <w:p w14:paraId="1F70413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安全网</w:t>
            </w:r>
          </w:p>
        </w:tc>
        <w:tc>
          <w:tcPr>
            <w:tcW w:w="2307" w:type="dxa"/>
            <w:vAlign w:val="center"/>
          </w:tcPr>
          <w:p w14:paraId="3ECC004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pacing w:val="-7"/>
                <w:kern w:val="0"/>
                <w:sz w:val="24"/>
                <w:szCs w:val="24"/>
                <w:lang w:val="en-US" w:eastAsia="zh-CN" w:bidi="ar-SA"/>
                <w14:textFill>
                  <w14:solidFill>
                    <w14:schemeClr w14:val="tx1"/>
                  </w14:solidFill>
                </w14:textFill>
              </w:rPr>
              <w:t>100张</w:t>
            </w:r>
          </w:p>
        </w:tc>
        <w:tc>
          <w:tcPr>
            <w:tcW w:w="2104" w:type="dxa"/>
            <w:vAlign w:val="center"/>
          </w:tcPr>
          <w:p w14:paraId="3701F92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7AC698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jc w:val="center"/>
        </w:trPr>
        <w:tc>
          <w:tcPr>
            <w:tcW w:w="1264" w:type="dxa"/>
            <w:vAlign w:val="center"/>
          </w:tcPr>
          <w:p w14:paraId="2062DF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4</w:t>
            </w:r>
          </w:p>
        </w:tc>
        <w:tc>
          <w:tcPr>
            <w:tcW w:w="2835" w:type="dxa"/>
            <w:vAlign w:val="center"/>
          </w:tcPr>
          <w:p w14:paraId="5ED1890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4"/>
                <w:szCs w:val="24"/>
                <w:lang w:val="en-US" w:eastAsia="en-US" w:bidi="ar-SA"/>
                <w14:textFill>
                  <w14:solidFill>
                    <w14:schemeClr w14:val="tx1"/>
                  </w14:solidFill>
                </w14:textFill>
              </w:rPr>
              <w:t>绝缘鞋</w:t>
            </w:r>
          </w:p>
        </w:tc>
        <w:tc>
          <w:tcPr>
            <w:tcW w:w="2307" w:type="dxa"/>
            <w:vAlign w:val="center"/>
          </w:tcPr>
          <w:p w14:paraId="0E4D15A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30</w:t>
            </w:r>
            <w:r>
              <w:rPr>
                <w:rFonts w:hint="eastAsia" w:ascii="Times New Roman" w:hAnsi="Times New Roman" w:eastAsia="宋体" w:cs="Times New Roman"/>
                <w:snapToGrid w:val="0"/>
                <w:color w:val="000000" w:themeColor="text1"/>
                <w:spacing w:val="-5"/>
                <w:kern w:val="0"/>
                <w:sz w:val="24"/>
                <w:szCs w:val="24"/>
                <w:lang w:val="en-US" w:eastAsia="zh-CN" w:bidi="ar-SA"/>
                <w14:textFill>
                  <w14:solidFill>
                    <w14:schemeClr w14:val="tx1"/>
                  </w14:solidFill>
                </w14:textFill>
              </w:rPr>
              <w:t>双</w:t>
            </w:r>
          </w:p>
        </w:tc>
        <w:tc>
          <w:tcPr>
            <w:tcW w:w="2104" w:type="dxa"/>
            <w:vAlign w:val="center"/>
          </w:tcPr>
          <w:p w14:paraId="794BE2F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67F1A7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264" w:type="dxa"/>
            <w:vAlign w:val="center"/>
          </w:tcPr>
          <w:p w14:paraId="4BF8368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5</w:t>
            </w:r>
          </w:p>
        </w:tc>
        <w:tc>
          <w:tcPr>
            <w:tcW w:w="2835" w:type="dxa"/>
            <w:vAlign w:val="center"/>
          </w:tcPr>
          <w:p w14:paraId="3E0C6C5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3"/>
                <w:kern w:val="0"/>
                <w:sz w:val="24"/>
                <w:szCs w:val="24"/>
                <w:lang w:val="en-US" w:eastAsia="en-US" w:bidi="ar-SA"/>
                <w14:textFill>
                  <w14:solidFill>
                    <w14:schemeClr w14:val="tx1"/>
                  </w14:solidFill>
                </w14:textFill>
              </w:rPr>
              <w:t>对讲机</w:t>
            </w:r>
          </w:p>
        </w:tc>
        <w:tc>
          <w:tcPr>
            <w:tcW w:w="2307" w:type="dxa"/>
            <w:vAlign w:val="center"/>
          </w:tcPr>
          <w:p w14:paraId="5AD0BA5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10"/>
                <w:kern w:val="0"/>
                <w:sz w:val="24"/>
                <w:szCs w:val="24"/>
                <w:lang w:val="en-US" w:eastAsia="en-US" w:bidi="ar-SA"/>
                <w14:textFill>
                  <w14:solidFill>
                    <w14:schemeClr w14:val="tx1"/>
                  </w14:solidFill>
                </w14:textFill>
              </w:rPr>
              <w:t>10</w:t>
            </w:r>
            <w:r>
              <w:rPr>
                <w:rFonts w:hint="eastAsia" w:ascii="Times New Roman" w:hAnsi="Times New Roman" w:eastAsia="宋体" w:cs="Times New Roman"/>
                <w:snapToGrid w:val="0"/>
                <w:color w:val="000000" w:themeColor="text1"/>
                <w:spacing w:val="-10"/>
                <w:kern w:val="0"/>
                <w:sz w:val="24"/>
                <w:szCs w:val="24"/>
                <w:lang w:val="en-US" w:eastAsia="zh-CN" w:bidi="ar-SA"/>
                <w14:textFill>
                  <w14:solidFill>
                    <w14:schemeClr w14:val="tx1"/>
                  </w14:solidFill>
                </w14:textFill>
              </w:rPr>
              <w:t>台</w:t>
            </w:r>
          </w:p>
        </w:tc>
        <w:tc>
          <w:tcPr>
            <w:tcW w:w="2104" w:type="dxa"/>
            <w:vAlign w:val="center"/>
          </w:tcPr>
          <w:p w14:paraId="4D65132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49BB5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4F74D16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6</w:t>
            </w:r>
          </w:p>
        </w:tc>
        <w:tc>
          <w:tcPr>
            <w:tcW w:w="2835" w:type="dxa"/>
            <w:vAlign w:val="center"/>
          </w:tcPr>
          <w:p w14:paraId="28C4E75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急救药箱</w:t>
            </w:r>
          </w:p>
        </w:tc>
        <w:tc>
          <w:tcPr>
            <w:tcW w:w="2307" w:type="dxa"/>
            <w:vAlign w:val="center"/>
          </w:tcPr>
          <w:p w14:paraId="688CAD6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3</w:t>
            </w:r>
            <w:r>
              <w:rPr>
                <w:rFonts w:hint="eastAsia" w:ascii="Times New Roman" w:hAnsi="Times New Roman" w:eastAsia="宋体" w:cs="Times New Roman"/>
                <w:snapToGrid w:val="0"/>
                <w:color w:val="000000" w:themeColor="text1"/>
                <w:spacing w:val="-8"/>
                <w:kern w:val="0"/>
                <w:sz w:val="24"/>
                <w:szCs w:val="24"/>
                <w:lang w:val="en-US" w:eastAsia="zh-CN" w:bidi="ar-SA"/>
                <w14:textFill>
                  <w14:solidFill>
                    <w14:schemeClr w14:val="tx1"/>
                  </w14:solidFill>
                </w14:textFill>
              </w:rPr>
              <w:t>个</w:t>
            </w:r>
          </w:p>
        </w:tc>
        <w:tc>
          <w:tcPr>
            <w:tcW w:w="2104" w:type="dxa"/>
            <w:vAlign w:val="center"/>
          </w:tcPr>
          <w:p w14:paraId="5917DDC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171F7C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1D73CA5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7</w:t>
            </w:r>
          </w:p>
        </w:tc>
        <w:tc>
          <w:tcPr>
            <w:tcW w:w="2835" w:type="dxa"/>
            <w:vAlign w:val="center"/>
          </w:tcPr>
          <w:p w14:paraId="6EABA5C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灭火器</w:t>
            </w:r>
          </w:p>
        </w:tc>
        <w:tc>
          <w:tcPr>
            <w:tcW w:w="2307" w:type="dxa"/>
            <w:vAlign w:val="center"/>
          </w:tcPr>
          <w:p w14:paraId="7AA4F53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50</w:t>
            </w:r>
            <w:r>
              <w:rPr>
                <w:rFonts w:hint="eastAsia" w:ascii="Times New Roman" w:hAnsi="Times New Roman" w:eastAsia="宋体" w:cs="Times New Roman"/>
                <w:snapToGrid w:val="0"/>
                <w:color w:val="000000" w:themeColor="text1"/>
                <w:spacing w:val="-8"/>
                <w:kern w:val="0"/>
                <w:sz w:val="24"/>
                <w:szCs w:val="24"/>
                <w:lang w:val="en-US" w:eastAsia="zh-CN" w:bidi="ar-SA"/>
                <w14:textFill>
                  <w14:solidFill>
                    <w14:schemeClr w14:val="tx1"/>
                  </w14:solidFill>
                </w14:textFill>
              </w:rPr>
              <w:t>个</w:t>
            </w:r>
          </w:p>
        </w:tc>
        <w:tc>
          <w:tcPr>
            <w:tcW w:w="2104" w:type="dxa"/>
            <w:vAlign w:val="center"/>
          </w:tcPr>
          <w:p w14:paraId="61D4DBD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5761FA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72EA769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8</w:t>
            </w:r>
          </w:p>
        </w:tc>
        <w:tc>
          <w:tcPr>
            <w:tcW w:w="2835" w:type="dxa"/>
            <w:vAlign w:val="center"/>
          </w:tcPr>
          <w:p w14:paraId="41ADE5F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警戒带</w:t>
            </w:r>
          </w:p>
        </w:tc>
        <w:tc>
          <w:tcPr>
            <w:tcW w:w="2307" w:type="dxa"/>
            <w:vAlign w:val="center"/>
          </w:tcPr>
          <w:p w14:paraId="5F627D9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10"/>
                <w:kern w:val="0"/>
                <w:sz w:val="24"/>
                <w:szCs w:val="24"/>
                <w:lang w:val="en-US" w:eastAsia="en-US" w:bidi="ar-SA"/>
                <w14:textFill>
                  <w14:solidFill>
                    <w14:schemeClr w14:val="tx1"/>
                  </w14:solidFill>
                </w14:textFill>
              </w:rPr>
              <w:t>10</w:t>
            </w:r>
            <w:r>
              <w:rPr>
                <w:rFonts w:hint="eastAsia" w:ascii="Times New Roman" w:hAnsi="Times New Roman" w:eastAsia="宋体" w:cs="Times New Roman"/>
                <w:snapToGrid w:val="0"/>
                <w:color w:val="000000" w:themeColor="text1"/>
                <w:spacing w:val="-10"/>
                <w:kern w:val="0"/>
                <w:sz w:val="24"/>
                <w:szCs w:val="24"/>
                <w:lang w:val="en-US" w:eastAsia="zh-CN" w:bidi="ar-SA"/>
                <w14:textFill>
                  <w14:solidFill>
                    <w14:schemeClr w14:val="tx1"/>
                  </w14:solidFill>
                </w14:textFill>
              </w:rPr>
              <w:t>卷</w:t>
            </w:r>
          </w:p>
        </w:tc>
        <w:tc>
          <w:tcPr>
            <w:tcW w:w="2104" w:type="dxa"/>
            <w:vAlign w:val="center"/>
          </w:tcPr>
          <w:p w14:paraId="7BA8792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38D40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30F1B47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9</w:t>
            </w:r>
          </w:p>
        </w:tc>
        <w:tc>
          <w:tcPr>
            <w:tcW w:w="2835" w:type="dxa"/>
            <w:vAlign w:val="center"/>
          </w:tcPr>
          <w:p w14:paraId="0D656D2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6"/>
                <w:kern w:val="0"/>
                <w:sz w:val="24"/>
                <w:szCs w:val="24"/>
                <w:lang w:val="en-US" w:eastAsia="en-US" w:bidi="ar-SA"/>
                <w14:textFill>
                  <w14:solidFill>
                    <w14:schemeClr w14:val="tx1"/>
                  </w14:solidFill>
                </w14:textFill>
              </w:rPr>
              <w:t>担架</w:t>
            </w:r>
          </w:p>
        </w:tc>
        <w:tc>
          <w:tcPr>
            <w:tcW w:w="2307" w:type="dxa"/>
            <w:vAlign w:val="center"/>
          </w:tcPr>
          <w:p w14:paraId="42B8F4D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5</w:t>
            </w:r>
            <w:r>
              <w:rPr>
                <w:rFonts w:hint="eastAsia" w:ascii="Times New Roman" w:hAnsi="Times New Roman" w:eastAsia="宋体" w:cs="Times New Roman"/>
                <w:snapToGrid w:val="0"/>
                <w:color w:val="000000" w:themeColor="text1"/>
                <w:spacing w:val="-8"/>
                <w:kern w:val="0"/>
                <w:sz w:val="24"/>
                <w:szCs w:val="24"/>
                <w:lang w:val="en-US" w:eastAsia="zh-CN" w:bidi="ar-SA"/>
                <w14:textFill>
                  <w14:solidFill>
                    <w14:schemeClr w14:val="tx1"/>
                  </w14:solidFill>
                </w14:textFill>
              </w:rPr>
              <w:t>个</w:t>
            </w:r>
          </w:p>
        </w:tc>
        <w:tc>
          <w:tcPr>
            <w:tcW w:w="2104" w:type="dxa"/>
            <w:vAlign w:val="center"/>
          </w:tcPr>
          <w:p w14:paraId="4DD040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59E74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5CFF257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4"/>
                <w:kern w:val="0"/>
                <w:sz w:val="24"/>
                <w:szCs w:val="24"/>
                <w:lang w:val="en-US" w:eastAsia="en-US" w:bidi="ar-SA"/>
                <w14:textFill>
                  <w14:solidFill>
                    <w14:schemeClr w14:val="tx1"/>
                  </w14:solidFill>
                </w14:textFill>
              </w:rPr>
              <w:t>10</w:t>
            </w:r>
          </w:p>
        </w:tc>
        <w:tc>
          <w:tcPr>
            <w:tcW w:w="2835" w:type="dxa"/>
            <w:vAlign w:val="center"/>
          </w:tcPr>
          <w:p w14:paraId="7CCDC5C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4"/>
                <w:szCs w:val="24"/>
                <w:lang w:val="en-US" w:eastAsia="en-US" w:bidi="ar-SA"/>
                <w14:textFill>
                  <w14:solidFill>
                    <w14:schemeClr w14:val="tx1"/>
                  </w14:solidFill>
                </w14:textFill>
              </w:rPr>
              <w:t>彩条布</w:t>
            </w:r>
          </w:p>
        </w:tc>
        <w:tc>
          <w:tcPr>
            <w:tcW w:w="2307" w:type="dxa"/>
            <w:vAlign w:val="center"/>
          </w:tcPr>
          <w:p w14:paraId="3D64CA7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4"/>
                <w:szCs w:val="24"/>
                <w:lang w:val="en-US" w:eastAsia="en-US" w:bidi="ar-SA"/>
                <w14:textFill>
                  <w14:solidFill>
                    <w14:schemeClr w14:val="tx1"/>
                  </w14:solidFill>
                </w14:textFill>
              </w:rPr>
              <w:t>200</w:t>
            </w:r>
            <w:r>
              <w:rPr>
                <w:rFonts w:hint="eastAsia" w:ascii="Times New Roman" w:hAnsi="Times New Roman" w:eastAsia="宋体" w:cs="Times New Roman"/>
                <w:snapToGrid w:val="0"/>
                <w:color w:val="000000" w:themeColor="text1"/>
                <w:spacing w:val="-4"/>
                <w:kern w:val="0"/>
                <w:sz w:val="24"/>
                <w:szCs w:val="24"/>
                <w:lang w:val="en-US" w:eastAsia="zh-CN" w:bidi="ar-SA"/>
                <w14:textFill>
                  <w14:solidFill>
                    <w14:schemeClr w14:val="tx1"/>
                  </w14:solidFill>
                </w14:textFill>
              </w:rPr>
              <w:t>m</w:t>
            </w:r>
            <w:r>
              <w:rPr>
                <w:rFonts w:hint="eastAsia" w:ascii="Times New Roman" w:hAnsi="Times New Roman" w:eastAsia="宋体" w:cs="Times New Roman"/>
                <w:snapToGrid w:val="0"/>
                <w:color w:val="000000" w:themeColor="text1"/>
                <w:spacing w:val="-4"/>
                <w:kern w:val="0"/>
                <w:sz w:val="24"/>
                <w:szCs w:val="24"/>
                <w:vertAlign w:val="superscript"/>
                <w:lang w:val="en-US" w:eastAsia="zh-CN" w:bidi="ar-SA"/>
                <w14:textFill>
                  <w14:solidFill>
                    <w14:schemeClr w14:val="tx1"/>
                  </w14:solidFill>
                </w14:textFill>
              </w:rPr>
              <w:t>2</w:t>
            </w:r>
          </w:p>
        </w:tc>
        <w:tc>
          <w:tcPr>
            <w:tcW w:w="2104" w:type="dxa"/>
            <w:vAlign w:val="center"/>
          </w:tcPr>
          <w:p w14:paraId="454E268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49EA91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264" w:type="dxa"/>
            <w:vAlign w:val="center"/>
          </w:tcPr>
          <w:p w14:paraId="1897DA7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4"/>
                <w:kern w:val="0"/>
                <w:sz w:val="24"/>
                <w:szCs w:val="24"/>
                <w:lang w:val="en-US" w:eastAsia="en-US" w:bidi="ar-SA"/>
                <w14:textFill>
                  <w14:solidFill>
                    <w14:schemeClr w14:val="tx1"/>
                  </w14:solidFill>
                </w14:textFill>
              </w:rPr>
              <w:t>11</w:t>
            </w:r>
          </w:p>
        </w:tc>
        <w:tc>
          <w:tcPr>
            <w:tcW w:w="2835" w:type="dxa"/>
            <w:vAlign w:val="center"/>
          </w:tcPr>
          <w:p w14:paraId="22BB11E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4"/>
                <w:szCs w:val="24"/>
                <w:lang w:val="en-US" w:eastAsia="en-US" w:bidi="ar-SA"/>
                <w14:textFill>
                  <w14:solidFill>
                    <w14:schemeClr w14:val="tx1"/>
                  </w14:solidFill>
                </w14:textFill>
              </w:rPr>
              <w:t>强光手电</w:t>
            </w:r>
          </w:p>
        </w:tc>
        <w:tc>
          <w:tcPr>
            <w:tcW w:w="2307" w:type="dxa"/>
            <w:vAlign w:val="center"/>
          </w:tcPr>
          <w:p w14:paraId="34A58C2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0"/>
                <w:kern w:val="0"/>
                <w:sz w:val="24"/>
                <w:szCs w:val="24"/>
                <w:lang w:val="en-US" w:eastAsia="en-US" w:bidi="ar-SA"/>
                <w14:textFill>
                  <w14:solidFill>
                    <w14:schemeClr w14:val="tx1"/>
                  </w14:solidFill>
                </w14:textFill>
              </w:rPr>
              <w:t>10</w:t>
            </w:r>
            <w:r>
              <w:rPr>
                <w:rFonts w:hint="eastAsia" w:ascii="Times New Roman" w:hAnsi="Times New Roman" w:eastAsia="宋体" w:cs="Times New Roman"/>
                <w:snapToGrid w:val="0"/>
                <w:color w:val="000000" w:themeColor="text1"/>
                <w:spacing w:val="-8"/>
                <w:kern w:val="0"/>
                <w:sz w:val="24"/>
                <w:szCs w:val="24"/>
                <w:lang w:val="en-US" w:eastAsia="zh-CN" w:bidi="ar-SA"/>
                <w14:textFill>
                  <w14:solidFill>
                    <w14:schemeClr w14:val="tx1"/>
                  </w14:solidFill>
                </w14:textFill>
              </w:rPr>
              <w:t>个</w:t>
            </w:r>
          </w:p>
        </w:tc>
        <w:tc>
          <w:tcPr>
            <w:tcW w:w="2104" w:type="dxa"/>
            <w:vAlign w:val="center"/>
          </w:tcPr>
          <w:p w14:paraId="59D5E7C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27B6B3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5659557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4"/>
                <w:kern w:val="0"/>
                <w:sz w:val="24"/>
                <w:szCs w:val="24"/>
                <w:lang w:val="en-US" w:eastAsia="en-US" w:bidi="ar-SA"/>
                <w14:textFill>
                  <w14:solidFill>
                    <w14:schemeClr w14:val="tx1"/>
                  </w14:solidFill>
                </w14:textFill>
              </w:rPr>
              <w:t>12</w:t>
            </w:r>
          </w:p>
        </w:tc>
        <w:tc>
          <w:tcPr>
            <w:tcW w:w="2835" w:type="dxa"/>
            <w:vAlign w:val="center"/>
          </w:tcPr>
          <w:p w14:paraId="0E1FA49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4"/>
                <w:kern w:val="0"/>
                <w:sz w:val="24"/>
                <w:szCs w:val="24"/>
                <w:lang w:val="en-US" w:eastAsia="en-US" w:bidi="ar-SA"/>
                <w14:textFill>
                  <w14:solidFill>
                    <w14:schemeClr w14:val="tx1"/>
                  </w14:solidFill>
                </w14:textFill>
              </w:rPr>
              <w:t>应急灯</w:t>
            </w:r>
          </w:p>
        </w:tc>
        <w:tc>
          <w:tcPr>
            <w:tcW w:w="2307" w:type="dxa"/>
            <w:vAlign w:val="center"/>
          </w:tcPr>
          <w:p w14:paraId="3EEF0FE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5</w:t>
            </w:r>
            <w:r>
              <w:rPr>
                <w:rFonts w:hint="eastAsia" w:ascii="Times New Roman" w:hAnsi="Times New Roman" w:eastAsia="宋体" w:cs="Times New Roman"/>
                <w:snapToGrid w:val="0"/>
                <w:color w:val="000000" w:themeColor="text1"/>
                <w:spacing w:val="-10"/>
                <w:kern w:val="0"/>
                <w:sz w:val="24"/>
                <w:szCs w:val="24"/>
                <w:lang w:val="en-US" w:eastAsia="zh-CN" w:bidi="ar-SA"/>
                <w14:textFill>
                  <w14:solidFill>
                    <w14:schemeClr w14:val="tx1"/>
                  </w14:solidFill>
                </w14:textFill>
              </w:rPr>
              <w:t>台</w:t>
            </w:r>
          </w:p>
        </w:tc>
        <w:tc>
          <w:tcPr>
            <w:tcW w:w="2104" w:type="dxa"/>
            <w:vAlign w:val="center"/>
          </w:tcPr>
          <w:p w14:paraId="622B093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5FE2A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jc w:val="center"/>
        </w:trPr>
        <w:tc>
          <w:tcPr>
            <w:tcW w:w="1264" w:type="dxa"/>
            <w:vAlign w:val="center"/>
          </w:tcPr>
          <w:p w14:paraId="3D11149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4"/>
                <w:kern w:val="0"/>
                <w:sz w:val="24"/>
                <w:szCs w:val="24"/>
                <w:lang w:val="en-US" w:eastAsia="en-US" w:bidi="ar-SA"/>
                <w14:textFill>
                  <w14:solidFill>
                    <w14:schemeClr w14:val="tx1"/>
                  </w14:solidFill>
                </w14:textFill>
              </w:rPr>
              <w:t>13</w:t>
            </w:r>
          </w:p>
        </w:tc>
        <w:tc>
          <w:tcPr>
            <w:tcW w:w="2835" w:type="dxa"/>
            <w:vAlign w:val="center"/>
          </w:tcPr>
          <w:p w14:paraId="0D1676B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2"/>
                <w:kern w:val="0"/>
                <w:sz w:val="24"/>
                <w:szCs w:val="24"/>
                <w:lang w:val="en-US" w:eastAsia="en-US" w:bidi="ar-SA"/>
                <w14:textFill>
                  <w14:solidFill>
                    <w14:schemeClr w14:val="tx1"/>
                  </w14:solidFill>
                </w14:textFill>
              </w:rPr>
              <w:t>有毒气体检测仪</w:t>
            </w:r>
          </w:p>
        </w:tc>
        <w:tc>
          <w:tcPr>
            <w:tcW w:w="2307" w:type="dxa"/>
            <w:vAlign w:val="center"/>
          </w:tcPr>
          <w:p w14:paraId="14730E3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7"/>
                <w:kern w:val="0"/>
                <w:sz w:val="24"/>
                <w:szCs w:val="24"/>
                <w:lang w:val="en-US" w:eastAsia="en-US" w:bidi="ar-SA"/>
                <w14:textFill>
                  <w14:solidFill>
                    <w14:schemeClr w14:val="tx1"/>
                  </w14:solidFill>
                </w14:textFill>
              </w:rPr>
              <w:t>2</w:t>
            </w:r>
            <w:r>
              <w:rPr>
                <w:rFonts w:hint="eastAsia" w:ascii="Times New Roman" w:hAnsi="Times New Roman" w:eastAsia="宋体" w:cs="Times New Roman"/>
                <w:snapToGrid w:val="0"/>
                <w:color w:val="000000" w:themeColor="text1"/>
                <w:spacing w:val="-8"/>
                <w:kern w:val="0"/>
                <w:sz w:val="24"/>
                <w:szCs w:val="24"/>
                <w:lang w:val="en-US" w:eastAsia="zh-CN" w:bidi="ar-SA"/>
                <w14:textFill>
                  <w14:solidFill>
                    <w14:schemeClr w14:val="tx1"/>
                  </w14:solidFill>
                </w14:textFill>
              </w:rPr>
              <w:t>个</w:t>
            </w:r>
          </w:p>
        </w:tc>
        <w:tc>
          <w:tcPr>
            <w:tcW w:w="2104" w:type="dxa"/>
            <w:vAlign w:val="center"/>
          </w:tcPr>
          <w:p w14:paraId="5FF7CB7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17E523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1264" w:type="dxa"/>
            <w:vAlign w:val="center"/>
          </w:tcPr>
          <w:p w14:paraId="3B06B71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4"/>
                <w:kern w:val="0"/>
                <w:sz w:val="24"/>
                <w:szCs w:val="24"/>
                <w:lang w:val="en-US" w:eastAsia="en-US" w:bidi="ar-SA"/>
                <w14:textFill>
                  <w14:solidFill>
                    <w14:schemeClr w14:val="tx1"/>
                  </w14:solidFill>
                </w14:textFill>
              </w:rPr>
              <w:t>14</w:t>
            </w:r>
          </w:p>
        </w:tc>
        <w:tc>
          <w:tcPr>
            <w:tcW w:w="2835" w:type="dxa"/>
            <w:vAlign w:val="center"/>
          </w:tcPr>
          <w:p w14:paraId="3D55B1E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5"/>
                <w:kern w:val="0"/>
                <w:sz w:val="24"/>
                <w:szCs w:val="24"/>
                <w:lang w:val="en-US" w:eastAsia="en-US" w:bidi="ar-SA"/>
                <w14:textFill>
                  <w14:solidFill>
                    <w14:schemeClr w14:val="tx1"/>
                  </w14:solidFill>
                </w14:textFill>
              </w:rPr>
              <w:t>发电机</w:t>
            </w:r>
          </w:p>
        </w:tc>
        <w:tc>
          <w:tcPr>
            <w:tcW w:w="2307" w:type="dxa"/>
            <w:vAlign w:val="center"/>
          </w:tcPr>
          <w:p w14:paraId="4545409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4"/>
                <w:kern w:val="0"/>
                <w:sz w:val="24"/>
                <w:szCs w:val="24"/>
                <w:lang w:val="en-US" w:eastAsia="en-US" w:bidi="ar-SA"/>
                <w14:textFill>
                  <w14:solidFill>
                    <w14:schemeClr w14:val="tx1"/>
                  </w14:solidFill>
                </w14:textFill>
              </w:rPr>
              <w:t>1</w:t>
            </w:r>
            <w:r>
              <w:rPr>
                <w:rFonts w:hint="eastAsia" w:ascii="Times New Roman" w:hAnsi="Times New Roman" w:eastAsia="宋体" w:cs="Times New Roman"/>
                <w:snapToGrid w:val="0"/>
                <w:color w:val="000000" w:themeColor="text1"/>
                <w:spacing w:val="-10"/>
                <w:kern w:val="0"/>
                <w:sz w:val="24"/>
                <w:szCs w:val="24"/>
                <w:lang w:val="en-US" w:eastAsia="zh-CN" w:bidi="ar-SA"/>
                <w14:textFill>
                  <w14:solidFill>
                    <w14:schemeClr w14:val="tx1"/>
                  </w14:solidFill>
                </w14:textFill>
              </w:rPr>
              <w:t>台</w:t>
            </w:r>
          </w:p>
        </w:tc>
        <w:tc>
          <w:tcPr>
            <w:tcW w:w="2104" w:type="dxa"/>
            <w:vAlign w:val="center"/>
          </w:tcPr>
          <w:p w14:paraId="135E7EF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r w14:paraId="5E00F8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264" w:type="dxa"/>
            <w:vAlign w:val="center"/>
          </w:tcPr>
          <w:p w14:paraId="07E70B0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14"/>
                <w:kern w:val="0"/>
                <w:sz w:val="24"/>
                <w:szCs w:val="24"/>
                <w:lang w:val="en-US" w:eastAsia="en-US" w:bidi="ar-SA"/>
                <w14:textFill>
                  <w14:solidFill>
                    <w14:schemeClr w14:val="tx1"/>
                  </w14:solidFill>
                </w14:textFill>
              </w:rPr>
              <w:t>15</w:t>
            </w:r>
          </w:p>
        </w:tc>
        <w:tc>
          <w:tcPr>
            <w:tcW w:w="2835" w:type="dxa"/>
            <w:vAlign w:val="center"/>
          </w:tcPr>
          <w:p w14:paraId="4BEA30D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3"/>
                <w:kern w:val="0"/>
                <w:sz w:val="24"/>
                <w:szCs w:val="24"/>
                <w:lang w:val="en-US" w:eastAsia="en-US" w:bidi="ar-SA"/>
                <w14:textFill>
                  <w14:solidFill>
                    <w14:schemeClr w14:val="tx1"/>
                  </w14:solidFill>
                </w14:textFill>
              </w:rPr>
              <w:t>救援车辆</w:t>
            </w:r>
          </w:p>
        </w:tc>
        <w:tc>
          <w:tcPr>
            <w:tcW w:w="2307" w:type="dxa"/>
            <w:vAlign w:val="center"/>
          </w:tcPr>
          <w:p w14:paraId="15DA89A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7"/>
                <w:kern w:val="0"/>
                <w:sz w:val="24"/>
                <w:szCs w:val="24"/>
                <w:lang w:val="en-US" w:eastAsia="en-US" w:bidi="ar-SA"/>
                <w14:textFill>
                  <w14:solidFill>
                    <w14:schemeClr w14:val="tx1"/>
                  </w14:solidFill>
                </w14:textFill>
              </w:rPr>
              <w:t>2</w:t>
            </w:r>
            <w:r>
              <w:rPr>
                <w:rFonts w:hint="eastAsia" w:ascii="Times New Roman" w:hAnsi="Times New Roman" w:eastAsia="宋体" w:cs="Times New Roman"/>
                <w:snapToGrid w:val="0"/>
                <w:color w:val="000000" w:themeColor="text1"/>
                <w:spacing w:val="-7"/>
                <w:kern w:val="0"/>
                <w:sz w:val="24"/>
                <w:szCs w:val="24"/>
                <w:lang w:val="en-US" w:eastAsia="zh-CN" w:bidi="ar-SA"/>
                <w14:textFill>
                  <w14:solidFill>
                    <w14:schemeClr w14:val="tx1"/>
                  </w14:solidFill>
                </w14:textFill>
              </w:rPr>
              <w:t>辆</w:t>
            </w:r>
          </w:p>
        </w:tc>
        <w:tc>
          <w:tcPr>
            <w:tcW w:w="2104" w:type="dxa"/>
            <w:vAlign w:val="center"/>
          </w:tcPr>
          <w:p w14:paraId="7CD0200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spacing w:val="-8"/>
                <w:kern w:val="0"/>
                <w:sz w:val="24"/>
                <w:szCs w:val="24"/>
                <w:lang w:val="en-US" w:eastAsia="en-US" w:bidi="ar-SA"/>
                <w14:textFill>
                  <w14:solidFill>
                    <w14:schemeClr w14:val="tx1"/>
                  </w14:solidFill>
                </w14:textFill>
              </w:rPr>
              <w:t>正常</w:t>
            </w:r>
          </w:p>
        </w:tc>
      </w:tr>
    </w:tbl>
    <w:p w14:paraId="0E76101C">
      <w:pPr>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2. </w:t>
      </w:r>
      <w:r>
        <w:rPr>
          <w:rFonts w:hint="eastAsia"/>
          <w:color w:val="000000" w:themeColor="text1"/>
          <w14:textFill>
            <w14:solidFill>
              <w14:schemeClr w14:val="tx1"/>
            </w14:solidFill>
          </w14:textFill>
        </w:rPr>
        <w:t>基坑危险源识别</w:t>
      </w:r>
    </w:p>
    <w:p w14:paraId="13B9D5A2">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深基坑工程是一项危险性较大的分部分项工程，涉及井坑支护、土方开挖、内支撑结构、地下水处理等多个环节和因素，专业技术的要求非常高。</w:t>
      </w:r>
    </w:p>
    <w:p w14:paraId="41033540">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深基坑支护失稳，坍塌，不但造成施工场所破坏、人员伤亡，往往还引起地面、周边建筑设施的倾斜、塌陷、坍塌、爆炸与火灾等意外。</w:t>
      </w:r>
    </w:p>
    <w:p w14:paraId="200318AF">
      <w:pPr>
        <w:bidi w:val="0"/>
        <w:ind w:left="0" w:leftChars="0" w:firstLine="0" w:firstLineChars="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基坑支护工程危险源分类表</w:t>
      </w:r>
    </w:p>
    <w:tbl>
      <w:tblPr>
        <w:tblStyle w:val="31"/>
        <w:tblW w:w="89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4"/>
        <w:gridCol w:w="4675"/>
        <w:gridCol w:w="1438"/>
        <w:gridCol w:w="1445"/>
      </w:tblGrid>
      <w:tr w14:paraId="384031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74" w:type="dxa"/>
            <w:vAlign w:val="center"/>
          </w:tcPr>
          <w:p w14:paraId="48A0CB9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名称</w:t>
            </w:r>
          </w:p>
        </w:tc>
        <w:tc>
          <w:tcPr>
            <w:tcW w:w="4675" w:type="dxa"/>
            <w:vAlign w:val="center"/>
          </w:tcPr>
          <w:p w14:paraId="00E9F8C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危险源</w:t>
            </w:r>
          </w:p>
        </w:tc>
        <w:tc>
          <w:tcPr>
            <w:tcW w:w="1438" w:type="dxa"/>
            <w:vAlign w:val="center"/>
          </w:tcPr>
          <w:p w14:paraId="63705B8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造成后果</w:t>
            </w:r>
          </w:p>
        </w:tc>
        <w:tc>
          <w:tcPr>
            <w:tcW w:w="1445" w:type="dxa"/>
            <w:vAlign w:val="center"/>
          </w:tcPr>
          <w:p w14:paraId="22ADD43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危险程度</w:t>
            </w:r>
          </w:p>
        </w:tc>
      </w:tr>
      <w:tr w14:paraId="0295F2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1374" w:type="dxa"/>
            <w:vAlign w:val="center"/>
          </w:tcPr>
          <w:p w14:paraId="187F3EA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0C7BE5F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支护设施已经变形未及时调整</w:t>
            </w:r>
          </w:p>
        </w:tc>
        <w:tc>
          <w:tcPr>
            <w:tcW w:w="1438" w:type="dxa"/>
            <w:vAlign w:val="center"/>
          </w:tcPr>
          <w:p w14:paraId="23D363D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坍塌</w:t>
            </w:r>
          </w:p>
        </w:tc>
        <w:tc>
          <w:tcPr>
            <w:tcW w:w="1445" w:type="dxa"/>
            <w:vAlign w:val="center"/>
          </w:tcPr>
          <w:p w14:paraId="2BC0900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重大</w:t>
            </w:r>
          </w:p>
        </w:tc>
      </w:tr>
      <w:tr w14:paraId="4E54E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1374" w:type="dxa"/>
            <w:vAlign w:val="center"/>
          </w:tcPr>
          <w:p w14:paraId="1A94435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593F36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基础施工未有效排水措施</w:t>
            </w:r>
          </w:p>
        </w:tc>
        <w:tc>
          <w:tcPr>
            <w:tcW w:w="1438" w:type="dxa"/>
            <w:vAlign w:val="center"/>
          </w:tcPr>
          <w:p w14:paraId="33C5926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坍塌</w:t>
            </w:r>
          </w:p>
        </w:tc>
        <w:tc>
          <w:tcPr>
            <w:tcW w:w="1445" w:type="dxa"/>
            <w:vAlign w:val="center"/>
          </w:tcPr>
          <w:p w14:paraId="495C56C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71857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374" w:type="dxa"/>
            <w:vAlign w:val="center"/>
          </w:tcPr>
          <w:p w14:paraId="6487AB2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2A84A73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深基坑施工未有防止临近建筑物沉降措施</w:t>
            </w:r>
          </w:p>
        </w:tc>
        <w:tc>
          <w:tcPr>
            <w:tcW w:w="1438" w:type="dxa"/>
            <w:vAlign w:val="center"/>
          </w:tcPr>
          <w:p w14:paraId="2794B39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坍塌</w:t>
            </w:r>
          </w:p>
        </w:tc>
        <w:tc>
          <w:tcPr>
            <w:tcW w:w="1445" w:type="dxa"/>
            <w:vAlign w:val="center"/>
          </w:tcPr>
          <w:p w14:paraId="76150B5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4EFA8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1374" w:type="dxa"/>
            <w:vAlign w:val="center"/>
          </w:tcPr>
          <w:p w14:paraId="6B4D4BB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3D2AC82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井坑边堆物、行车小于有关规定</w:t>
            </w:r>
          </w:p>
        </w:tc>
        <w:tc>
          <w:tcPr>
            <w:tcW w:w="1438" w:type="dxa"/>
            <w:vAlign w:val="center"/>
          </w:tcPr>
          <w:p w14:paraId="4E814C7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坍塌</w:t>
            </w:r>
          </w:p>
        </w:tc>
        <w:tc>
          <w:tcPr>
            <w:tcW w:w="1445" w:type="dxa"/>
            <w:vAlign w:val="center"/>
          </w:tcPr>
          <w:p w14:paraId="5BB1AF4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5085AA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374" w:type="dxa"/>
            <w:vAlign w:val="center"/>
          </w:tcPr>
          <w:p w14:paraId="6CA787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5D4AD57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机器设备在坑边小于安全距离</w:t>
            </w:r>
          </w:p>
        </w:tc>
        <w:tc>
          <w:tcPr>
            <w:tcW w:w="1438" w:type="dxa"/>
            <w:vAlign w:val="center"/>
          </w:tcPr>
          <w:p w14:paraId="21687A6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坍塌</w:t>
            </w:r>
          </w:p>
        </w:tc>
        <w:tc>
          <w:tcPr>
            <w:tcW w:w="1445" w:type="dxa"/>
            <w:vAlign w:val="center"/>
          </w:tcPr>
          <w:p w14:paraId="7354E8D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3DA17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374" w:type="dxa"/>
            <w:vAlign w:val="center"/>
          </w:tcPr>
          <w:p w14:paraId="3F8533E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520C792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人员上下无专用通道或通道不符合要求</w:t>
            </w:r>
          </w:p>
        </w:tc>
        <w:tc>
          <w:tcPr>
            <w:tcW w:w="1438" w:type="dxa"/>
            <w:vAlign w:val="center"/>
          </w:tcPr>
          <w:p w14:paraId="27D071D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高空坠落</w:t>
            </w:r>
          </w:p>
        </w:tc>
        <w:tc>
          <w:tcPr>
            <w:tcW w:w="1445" w:type="dxa"/>
            <w:vAlign w:val="center"/>
          </w:tcPr>
          <w:p w14:paraId="6E62C1C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74BB7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374" w:type="dxa"/>
            <w:vAlign w:val="center"/>
          </w:tcPr>
          <w:p w14:paraId="0107E7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5C148B6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未按规定进行支护变形检测</w:t>
            </w:r>
          </w:p>
        </w:tc>
        <w:tc>
          <w:tcPr>
            <w:tcW w:w="1438" w:type="dxa"/>
            <w:vAlign w:val="center"/>
          </w:tcPr>
          <w:p w14:paraId="1ECE27A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坍塌</w:t>
            </w:r>
          </w:p>
        </w:tc>
        <w:tc>
          <w:tcPr>
            <w:tcW w:w="1445" w:type="dxa"/>
            <w:vAlign w:val="center"/>
          </w:tcPr>
          <w:p w14:paraId="636289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64E3E4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374" w:type="dxa"/>
            <w:vAlign w:val="center"/>
          </w:tcPr>
          <w:p w14:paraId="45FBC08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658B6DE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未按规定对毗邻管路进行沉降检测</w:t>
            </w:r>
          </w:p>
        </w:tc>
        <w:tc>
          <w:tcPr>
            <w:tcW w:w="1438" w:type="dxa"/>
            <w:vAlign w:val="center"/>
          </w:tcPr>
          <w:p w14:paraId="32F2A19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其他伤害</w:t>
            </w:r>
          </w:p>
        </w:tc>
        <w:tc>
          <w:tcPr>
            <w:tcW w:w="1445" w:type="dxa"/>
            <w:vAlign w:val="center"/>
          </w:tcPr>
          <w:p w14:paraId="50850BB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053A8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374" w:type="dxa"/>
            <w:vAlign w:val="center"/>
          </w:tcPr>
          <w:p w14:paraId="4DBC430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446B8FB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井坑内作业人员无安全立足点</w:t>
            </w:r>
          </w:p>
        </w:tc>
        <w:tc>
          <w:tcPr>
            <w:tcW w:w="1438" w:type="dxa"/>
            <w:vAlign w:val="center"/>
          </w:tcPr>
          <w:p w14:paraId="50AE053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各类事故</w:t>
            </w:r>
          </w:p>
        </w:tc>
        <w:tc>
          <w:tcPr>
            <w:tcW w:w="1445" w:type="dxa"/>
            <w:vAlign w:val="center"/>
          </w:tcPr>
          <w:p w14:paraId="4575A15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163FA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374" w:type="dxa"/>
            <w:vAlign w:val="center"/>
          </w:tcPr>
          <w:p w14:paraId="7B64FB7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1B07490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垂直作业上下无隔离</w:t>
            </w:r>
          </w:p>
        </w:tc>
        <w:tc>
          <w:tcPr>
            <w:tcW w:w="1438" w:type="dxa"/>
            <w:vAlign w:val="center"/>
          </w:tcPr>
          <w:p w14:paraId="5690210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物体打击</w:t>
            </w:r>
          </w:p>
        </w:tc>
        <w:tc>
          <w:tcPr>
            <w:tcW w:w="1445" w:type="dxa"/>
            <w:vAlign w:val="center"/>
          </w:tcPr>
          <w:p w14:paraId="6895EE6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3C412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374" w:type="dxa"/>
            <w:vAlign w:val="center"/>
          </w:tcPr>
          <w:p w14:paraId="624407A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2A645DF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现场未有足够的照明</w:t>
            </w:r>
          </w:p>
        </w:tc>
        <w:tc>
          <w:tcPr>
            <w:tcW w:w="1438" w:type="dxa"/>
            <w:vAlign w:val="center"/>
          </w:tcPr>
          <w:p w14:paraId="3CB4DF5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其他伤害</w:t>
            </w:r>
          </w:p>
        </w:tc>
        <w:tc>
          <w:tcPr>
            <w:tcW w:w="1445" w:type="dxa"/>
            <w:vAlign w:val="center"/>
          </w:tcPr>
          <w:p w14:paraId="3578509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一般</w:t>
            </w:r>
          </w:p>
        </w:tc>
      </w:tr>
      <w:tr w14:paraId="2DED8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374" w:type="dxa"/>
            <w:vAlign w:val="center"/>
          </w:tcPr>
          <w:p w14:paraId="071BB5B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37A54A8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机械操作不当</w:t>
            </w:r>
          </w:p>
        </w:tc>
        <w:tc>
          <w:tcPr>
            <w:tcW w:w="1438" w:type="dxa"/>
            <w:vAlign w:val="center"/>
          </w:tcPr>
          <w:p w14:paraId="78B8829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机械伤害</w:t>
            </w:r>
          </w:p>
        </w:tc>
        <w:tc>
          <w:tcPr>
            <w:tcW w:w="1445" w:type="dxa"/>
            <w:vAlign w:val="center"/>
          </w:tcPr>
          <w:p w14:paraId="1BEAD1D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较大</w:t>
            </w:r>
          </w:p>
        </w:tc>
      </w:tr>
      <w:tr w14:paraId="4CCCF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74" w:type="dxa"/>
            <w:vAlign w:val="center"/>
          </w:tcPr>
          <w:p w14:paraId="38ECAF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基坑支护</w:t>
            </w:r>
          </w:p>
        </w:tc>
        <w:tc>
          <w:tcPr>
            <w:tcW w:w="4675" w:type="dxa"/>
            <w:vAlign w:val="center"/>
          </w:tcPr>
          <w:p w14:paraId="5B35702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线缆闸箱管控不严格、不合格</w:t>
            </w:r>
          </w:p>
        </w:tc>
        <w:tc>
          <w:tcPr>
            <w:tcW w:w="1438" w:type="dxa"/>
            <w:vAlign w:val="center"/>
          </w:tcPr>
          <w:p w14:paraId="1C0465C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触电伤害</w:t>
            </w:r>
          </w:p>
        </w:tc>
        <w:tc>
          <w:tcPr>
            <w:tcW w:w="1445" w:type="dxa"/>
            <w:vAlign w:val="center"/>
          </w:tcPr>
          <w:p w14:paraId="308BBE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firstLine="0" w:firstLineChars="0"/>
              <w:jc w:val="center"/>
              <w:textAlignment w:val="baseline"/>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en-US" w:bidi="ar-SA"/>
                <w14:textFill>
                  <w14:solidFill>
                    <w14:schemeClr w14:val="tx1"/>
                  </w14:solidFill>
                </w14:textFill>
              </w:rPr>
              <w:t>较大</w:t>
            </w:r>
          </w:p>
        </w:tc>
      </w:tr>
    </w:tbl>
    <w:p w14:paraId="427E9102">
      <w:pPr>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3. </w:t>
      </w:r>
      <w:r>
        <w:rPr>
          <w:rFonts w:hint="eastAsia"/>
          <w:color w:val="000000" w:themeColor="text1"/>
          <w14:textFill>
            <w14:solidFill>
              <w14:schemeClr w14:val="tx1"/>
            </w14:solidFill>
          </w14:textFill>
        </w:rPr>
        <w:t>基坑稳定应急预案</w:t>
      </w:r>
    </w:p>
    <w:p w14:paraId="24D48D84">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由于地质情况的复杂性和施工过程中有可能出现的一些客观原因，在基坑支护过程中，可能会出现一些问题，需要及时进行处理，根据以往同类工程的成功经验，针对不同的情况，准备了如下相应的应急措施：</w:t>
      </w:r>
    </w:p>
    <w:p w14:paraId="480A174D">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对基坑开挖过程中出现局部坍塌的处理</w:t>
      </w:r>
    </w:p>
    <w:p w14:paraId="7ADB8144">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施工过程中，可能由于个别地段存在上层滞水，土方开挖后，土体不能自稳，还来不及进行支护，土体已坍塌。其处理方法是：在塌方处的口部，向下打入竖向钢筋（或钢管），然后向塌方处填土，填满之后，用加强筋将竖向钢筋（或钢管）焊接成一整体，并与附近格栅进行焊接，编好钢筋网后，喷射砼。同时在坍塌部分的合适位置设置排水孔，并预留一注浆孔，待面层达一定强度后进行压力注浆。对坍塌部分进行充实，增强其承载能力。</w:t>
      </w:r>
    </w:p>
    <w:p w14:paraId="7E0A6CF8">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对基坑开挖过程中出现流沙的处理</w:t>
      </w:r>
    </w:p>
    <w:p w14:paraId="6F99A4AD">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在施工过程中，若出现流沙现象。其处理方法是：在工作坑内增加集水坑进行疏排；减小开挖步距，并及时进行锚喷作业；必要时打设钢板桩。</w:t>
      </w:r>
    </w:p>
    <w:p w14:paraId="7CE81C87">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对基坑开挖过程中边坡位移量增长过快的处理</w:t>
      </w:r>
    </w:p>
    <w:p w14:paraId="2C399621">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基坑开挖过程中，在对边坡位移量进行观测时，发现位移量增长过快，是边坡即将整体失稳的表现。其处理方法是：对边坡进行支护，采用钢木临时支撑方式支护墙体，再根据具体土质情况调整施工方案，确保施工后边坡的稳定。</w:t>
      </w:r>
    </w:p>
    <w:p w14:paraId="18C54577">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4. </w:t>
      </w:r>
      <w:r>
        <w:rPr>
          <w:rFonts w:hint="default"/>
          <w:color w:val="000000" w:themeColor="text1"/>
          <w:lang w:val="en-US" w:eastAsia="zh-CN"/>
          <w14:textFill>
            <w14:solidFill>
              <w14:schemeClr w14:val="tx1"/>
            </w14:solidFill>
          </w14:textFill>
        </w:rPr>
        <w:t>顶管应急预案</w:t>
      </w:r>
    </w:p>
    <w:p w14:paraId="2BF29C7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管道轴线偏差过大：管道轴线与设计轴线偏差过大，使管道发生弯曲，甚至造成管节损坏，接口渗漏。</w:t>
      </w:r>
    </w:p>
    <w:p w14:paraId="75AE9C5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原因分析：地层正面阻力不均匀，使机头受力不均匀，形成导向偏差，造成管道轴线偏差；顶管后背发生位移或不平整，使顶力合力线偏移，造成管道轴线偏差；千斤顶不同步，或千斤顶间顶力相差较大，或安装精度不够，造成顶力合力线偏差，使管道轴线发生偏差。</w:t>
      </w:r>
    </w:p>
    <w:p w14:paraId="75887F0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预防措施：顶管施工前对管道通过地带的地质情况认真调查；纠偏按照</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勤测量、勤纠偏、小量纠</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操作方法进行；采用同种规格的千斤顶，使其顶力、行程、顶速相一致，保持顶力合力线与管道中心线相重合；加强顶管后背施工质量的控制，确保后背不发生位移，并使后背平整，以保证顶进设备的安装精度；顶进过程中随时绘制顶进曲线，以利指导顶进纠偏工作。</w:t>
      </w:r>
    </w:p>
    <w:p w14:paraId="4784ABE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治理方法：重新调整千斤顶行程、顶力、顶速，或重新调整千斤顶的安装精度；对顶管后背进行加固，防止位移继续发展，并确保后背平整；及时收集顶管记录认真分析顶进曲线的发展趋势，采取适当的纠偏量，循序渐进，切不可操之过急，适得其反。</w:t>
      </w:r>
    </w:p>
    <w:p w14:paraId="35EC849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地面沉降：顶管施工过程中或施工后，在管道轴线两侧一定范围内发生地面沉降。</w:t>
      </w:r>
    </w:p>
    <w:p w14:paraId="3DD2154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原因分析：土体不均匀，使机头推进压力与开挖土体压力不平衡，造成地面沉降；管道轴线偏差，或纠偏不当造成的地层土体损失；管道外围环形空隙（机头外径与管外径之差）引起的地层土体损失，或顶管完成后未置换泥浆造成的土体损失；管道接口不严密，造成的水土流失。</w:t>
      </w:r>
    </w:p>
    <w:p w14:paraId="2E33088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防治措施：施工前对工程地质条件和环境情况进行周密细致的调查，制定切实可行的施工方案，正确选用机头，并对距离管道近的建筑物和其它设施采取相应的加固保护措施；及时掌握顶进压力，保持顶进压力与前端土体压力的平衡；严格控制顶管轴线偏差，执行勤测量、勤纠偏、小量纠的操作方法；格控制管道接口的密封质量，防止渗漏。</w:t>
      </w:r>
    </w:p>
    <w:p w14:paraId="6930F6A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顶力突然增大：在顶进过程压力表指针突然增大。</w:t>
      </w:r>
    </w:p>
    <w:p w14:paraId="7A3202E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原因分析：机头前端遇障碍物，使摩阻力增大；管道轴线偏差形成弯曲，使摩阻力增大；顶进设备油泵、油缸、油路发生故障。</w:t>
      </w:r>
    </w:p>
    <w:p w14:paraId="1A443D2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防治措施：顶进施工前对顶进设备进行认真的检修保养；停顶时间不能过久，发生故障及时加以排除。</w:t>
      </w:r>
    </w:p>
    <w:p w14:paraId="1A8CC17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治理方法：发生顶力过大的情况时，立即停止顶进，查找原因，判明情况后采取相应措施进行处理。</w:t>
      </w:r>
    </w:p>
    <w:p w14:paraId="238D7E2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管道接口渗漏：管道接口渗水、漏水。</w:t>
      </w:r>
    </w:p>
    <w:p w14:paraId="74031C1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原因分析：管节和密封材料质量不符合技术标准或在安装顶进过程中管节被损坏；管道轴线偏差过大，造成接口错位，间隙不均匀填充材料不密实；接口或止水装置选型不当。</w:t>
      </w:r>
    </w:p>
    <w:p w14:paraId="0287727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预防措施：严格执行管节和接口密封材料的验收制度，严禁使用不合格产品；严格控制管道轴线，必须按</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勤纠</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小纠</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原则进行，以避免接口不匀而使胶圈减小止水作用；下管时，要在钢丝绳与管口之间加橡胶垫，保护管口；采用F型插口管材，并选用相匹配的橡胶圈，事先检查橡胶圈的质量，临下管前抹好润滑剂，安装要正确。</w:t>
      </w:r>
    </w:p>
    <w:p w14:paraId="794476C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治理方法：如管口破裂，要剔除松散砼，在裂缝处剔除2cm×2cm的槽</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然后用环氧水泥砂浆抹平；如橡胶圈漏水作用</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可采用化学注浆的方法进行处理。</w:t>
      </w:r>
    </w:p>
    <w:p w14:paraId="39B9E79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 机械吊装安全应急预案</w:t>
      </w:r>
    </w:p>
    <w:p w14:paraId="6BC369C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施工作业前，需编制专项吊装方案，并经过公司、监理审核通过后，方可施工。</w:t>
      </w:r>
    </w:p>
    <w:p w14:paraId="71409CA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施工作业前，需对吊装作业人员（司机、信号工）进行教育考核及安全技术交底，且作人员必须持证上岗。</w:t>
      </w:r>
    </w:p>
    <w:p w14:paraId="41DBABC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起重安装作业前清除工地所经道路的障碍物，做到道路畅通整洁。</w:t>
      </w:r>
    </w:p>
    <w:p w14:paraId="4F22E22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吊运机械使用前对钢丝绳、卡具等进行检查验收，符合要求时才使用。</w:t>
      </w:r>
    </w:p>
    <w:p w14:paraId="5CFEBE9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起重挂钩工必须掌握统一规定信号、手势的表达，做到正确、洪亮和清楚，作业时必须鸣哨。</w:t>
      </w:r>
    </w:p>
    <w:p w14:paraId="42A62D7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起重挂钩工必须在上班前严格检查吊运使用的钢丝绳、索具，发现不符合安全使用规定的必须立即更换。</w:t>
      </w:r>
    </w:p>
    <w:p w14:paraId="5971EECB">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起重挂钩工必须严格执行《起重机械操作规范》并遵守</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十不吊</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制度。各种起重机械起吊前，进行试吊。</w:t>
      </w:r>
    </w:p>
    <w:p w14:paraId="66BB511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起吊时必须按照规定的统一信号发出信号以警示人员及时避让。</w:t>
      </w:r>
    </w:p>
    <w:p w14:paraId="4C4003A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吊运散件必须用索具及箱体防止掉出，吊运检查安全可靠后，方可进行吊运工作。</w:t>
      </w:r>
    </w:p>
    <w:p w14:paraId="65B5EE2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r>
        <w:rPr>
          <w:rFonts w:hint="default"/>
          <w:color w:val="000000" w:themeColor="text1"/>
          <w:lang w:val="en-US" w:eastAsia="zh-CN"/>
          <w14:textFill>
            <w14:solidFill>
              <w14:schemeClr w14:val="tx1"/>
            </w14:solidFill>
          </w14:textFill>
        </w:rPr>
        <w:t>起吊重物时，吊具捆扎牢固，以防滑脱。</w:t>
      </w:r>
    </w:p>
    <w:p w14:paraId="3C71242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r>
        <w:rPr>
          <w:rFonts w:hint="default"/>
          <w:color w:val="000000" w:themeColor="text1"/>
          <w:lang w:val="en-US" w:eastAsia="zh-CN"/>
          <w14:textFill>
            <w14:solidFill>
              <w14:schemeClr w14:val="tx1"/>
            </w14:solidFill>
          </w14:textFill>
        </w:rPr>
        <w:t>在起吊时，司机认真操作，严禁吊物撞击工作井内设施，吊机停止作业时，应安全制动，收紧吊钩和钢丝绳。</w:t>
      </w:r>
    </w:p>
    <w:p w14:paraId="6559D33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6. </w:t>
      </w:r>
      <w:r>
        <w:rPr>
          <w:rFonts w:hint="default"/>
          <w:color w:val="000000" w:themeColor="text1"/>
          <w:lang w:val="en-US" w:eastAsia="zh-CN"/>
          <w14:textFill>
            <w14:solidFill>
              <w14:schemeClr w14:val="tx1"/>
            </w14:solidFill>
          </w14:textFill>
        </w:rPr>
        <w:t>高空作业应急预案</w:t>
      </w:r>
    </w:p>
    <w:p w14:paraId="7A97977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（1）基本要求</w:t>
      </w:r>
    </w:p>
    <w:p w14:paraId="3AE4442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1）高处作业必须逐级进行安全技术教育与交底，对各种用于高处作业的设施和设备，投入使用前，经检测合格后方可使用。</w:t>
      </w:r>
    </w:p>
    <w:p w14:paraId="3B3B0C5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）用于高处作业的防护设施，不得擅自拆除，确因作业需要临时拆除必须经过现场负责人同意后，并采取相应可靠的措施，作业后立即恢复。</w:t>
      </w:r>
    </w:p>
    <w:p w14:paraId="03E8202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）高处作业的防护门设施在搭拆过程中应设置相应的警戒区并派人监护，严禁上、下</w:t>
      </w:r>
      <w:r>
        <w:rPr>
          <w:rFonts w:hint="eastAsia"/>
          <w:color w:val="000000" w:themeColor="text1"/>
          <w:lang w:val="en-US" w:eastAsia="zh-CN"/>
          <w14:textFill>
            <w14:solidFill>
              <w14:schemeClr w14:val="tx1"/>
            </w14:solidFill>
          </w14:textFill>
        </w:rPr>
        <w:t>同时</w:t>
      </w:r>
      <w:r>
        <w:rPr>
          <w:rFonts w:hint="default"/>
          <w:color w:val="000000" w:themeColor="text1"/>
          <w:lang w:val="en-US" w:eastAsia="zh-CN"/>
          <w14:textFill>
            <w14:solidFill>
              <w14:schemeClr w14:val="tx1"/>
            </w14:solidFill>
          </w14:textFill>
        </w:rPr>
        <w:t>拆除。</w:t>
      </w:r>
    </w:p>
    <w:p w14:paraId="0ACD15A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）高处作业人员的衣着要灵便，但绝不能赤膊裸身，需佩戴安全帽、栓安全带，脚下要穿软底防滑鞋，禁止穿拖鞋、硬底鞋等。</w:t>
      </w:r>
    </w:p>
    <w:p w14:paraId="63D5237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）高处作业中所用的物料堆放平稳，不可放置在临边，洞口或妨碍通行，对于有可能坠落的物料、工具，应一律先行拆除。</w:t>
      </w:r>
    </w:p>
    <w:p w14:paraId="29F7CB6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）高处作业过程中发现高处作业安全设施有缺陷或隐患，必须及时解决，危机人身安全，必须停止作业。</w:t>
      </w:r>
    </w:p>
    <w:p w14:paraId="2C2ECF6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（2）临边高处作业的安全防护措施</w:t>
      </w:r>
    </w:p>
    <w:p w14:paraId="380842A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1）设置防护栏杆：基坑周边必须设置高度不低于1.2m的防护栏杆，上下横杆间距0.6m，栏杆柱间隔不应大于2m，夜间在沟槽防护栏杆上必须设置红色标志警示灯。</w:t>
      </w:r>
    </w:p>
    <w:p w14:paraId="16EB60C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）深度超过3m的基坑，应分别在基坑两端设置人员上下爬梯或坡道，严禁采用直梯。</w:t>
      </w:r>
    </w:p>
    <w:p w14:paraId="44B589CE">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 地下障碍物应急预案</w:t>
      </w:r>
    </w:p>
    <w:p w14:paraId="0ABCD2C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管道顶进前，首先与穿越地下障碍物的管理单位取得联系，得到允许后方可施工，本工程新建管线需穿越入河雨水管道，已与产权单位村委会协调并得到许可。</w:t>
      </w:r>
    </w:p>
    <w:p w14:paraId="373156B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现有地下障碍物沉降或隆起量较大时，要及时通知其管理单位，对于电信电缆及直埋电力电缆不得私自进行维修。</w:t>
      </w:r>
    </w:p>
    <w:p w14:paraId="05FB997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8. </w:t>
      </w:r>
      <w:r>
        <w:rPr>
          <w:rFonts w:hint="default"/>
          <w:color w:val="000000" w:themeColor="text1"/>
          <w:lang w:val="en-US" w:eastAsia="zh-CN"/>
          <w14:textFill>
            <w14:solidFill>
              <w14:schemeClr w14:val="tx1"/>
            </w14:solidFill>
          </w14:textFill>
        </w:rPr>
        <w:t>施工现场应急预案</w:t>
      </w:r>
    </w:p>
    <w:p w14:paraId="5EA4C13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基坑塌方应急救援措施</w:t>
      </w:r>
    </w:p>
    <w:p w14:paraId="1ABBF30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发生土方坍塌事故时，要立即封闭现场，疏散人员，封锁现场隔离带与事故地点应保证安全距离。</w:t>
      </w:r>
    </w:p>
    <w:p w14:paraId="01E60B0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排险和抢救应由有经验的人统一指挥进行。</w:t>
      </w:r>
    </w:p>
    <w:p w14:paraId="61D7C96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因塌方造成人身事故后，应同时采取两个方面的措施，一方面立即扒土，扒土时必须采取保证遇难者不被伤害的工具，并密切注意伤员情况，防止二次塌方伤及抢救者或加重事故后果。</w:t>
      </w:r>
    </w:p>
    <w:p w14:paraId="62F4698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对危害大的复杂塌方，应由安全部门和工程技术部门共同商定处理方案。</w:t>
      </w:r>
    </w:p>
    <w:p w14:paraId="323F926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加强塌方的预测，定期不定的观测竖井围护结构受力及变形状态，及时发现塌方的可能性及征兆。</w:t>
      </w:r>
    </w:p>
    <w:p w14:paraId="2352E6F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加强塌方初期支护，控制塌方。开挖出工作面后，及时进行锚喷支护，防止局部坍塌，提高围岩整体稳定。</w:t>
      </w:r>
    </w:p>
    <w:p w14:paraId="51AA235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发生塌方，应详细观测塌方范围、形状、塌穴的地质构造，查明塌方发生的原因和地下水活动情况，认真分析，制定处理方案，并及时迅速处理。</w:t>
      </w:r>
    </w:p>
    <w:p w14:paraId="6DE9357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对大塌方，可采用回填土方法，先回填待其基本稳定后，在结构外围采用地表注浆加固方法加固土体后，再按先上部后下部的顺序清除渣体，并尽快进行衬砌。</w:t>
      </w:r>
    </w:p>
    <w:p w14:paraId="42C48AC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高空坠落伤害事故应急救援措施</w:t>
      </w:r>
    </w:p>
    <w:p w14:paraId="2CD7843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发生人员高空坠落事故时，抢救人员必须是经过培训的救护人员，并且根据伤者受伤部位实施抢救工作。</w:t>
      </w:r>
    </w:p>
    <w:p w14:paraId="7A45047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搬运伤者要使用正确的搬运方法和辅助工具，防止因搬运不当加重伤者伤情。</w:t>
      </w:r>
    </w:p>
    <w:p w14:paraId="45E2E64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坠落高度超过2米的临边处设置不低于于1.2米的护栏。</w:t>
      </w:r>
    </w:p>
    <w:p w14:paraId="0F7C48B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作业安全防范措施</w:t>
      </w:r>
    </w:p>
    <w:p w14:paraId="044F960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①起重安装作业前清除工地所经道路的障碍物，做到道路畅通整洁。</w:t>
      </w:r>
    </w:p>
    <w:p w14:paraId="3B3FE1B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②吊运机械使用前对钢丝绳、卡具等进行检查验收，符合要求时才使用。</w:t>
      </w:r>
    </w:p>
    <w:p w14:paraId="3164285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③起重挂钩工必须掌握统一规定信号、手势的表达，做到正确、洪亮和清楚，作业时必须鸣哨。</w:t>
      </w:r>
    </w:p>
    <w:p w14:paraId="447E1AA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④起重挂钩工必须在上班前严格检查吊运使用的钢丝绳、索具、卸克，发现不符合安全使用规定的索具立即更换。</w:t>
      </w:r>
    </w:p>
    <w:p w14:paraId="7F8B0C9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⑤起重挂钩工必须严格执行“起重机械操作规范</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并遵守吊物下严禁站人</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制度。各种起重机械起吊前，进行试吊。</w:t>
      </w:r>
    </w:p>
    <w:p w14:paraId="4993345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⑥起吊时必须按照规定的统一信号发出信号以警示人员及时避让。</w:t>
      </w:r>
    </w:p>
    <w:p w14:paraId="5FB9498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⑦吊运散件必须用索具及箱体防止掉出，吊运检查安全可靠后，方可进行吊运工作。</w:t>
      </w:r>
    </w:p>
    <w:p w14:paraId="3AD73D5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⑧起吊重物时，吊具捆扎牢固，以防滑脱。</w:t>
      </w:r>
    </w:p>
    <w:p w14:paraId="648354A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⑨在起吊时，司机认真操作，严禁吊斗撞击工作井内设施，吊机停止作业时，应安全制动，收紧吊钩和钢丝绳。</w:t>
      </w:r>
    </w:p>
    <w:p w14:paraId="5116B90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触电伤害事故应急救援措施</w:t>
      </w:r>
    </w:p>
    <w:p w14:paraId="46567A3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发生人员触电伤亡事故应立即切断电源；如为低压电，触电距电源开关态远，要用绝缘物拉开触电者或挑开电线。</w:t>
      </w:r>
    </w:p>
    <w:p w14:paraId="1CBD3BE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抢救人员进入事故现场必须穿戴绝缘保护用品，在检测设备和伤亡人员不带电的情况下，实施抢救工作。</w:t>
      </w:r>
    </w:p>
    <w:p w14:paraId="63AC555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对触电者进行抢救，实例表明使用口对口吹气人工呼吸效果最好。</w:t>
      </w:r>
    </w:p>
    <w:p w14:paraId="26CB915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施工设备触及高压电线、挖断电缆，应立即通知所在地区供电局，确定伤员所在准确位置后进行抢救。</w:t>
      </w:r>
    </w:p>
    <w:p w14:paraId="5AEE18A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汽车式起重机触及高压线除按上述措施外，若操作人员未受伤害，应在确保安全情况下离开。</w:t>
      </w:r>
    </w:p>
    <w:p w14:paraId="3E70753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电气线路，灯具架设和安装不符合规范（含工人宿舍工棚），应规范要求整改合格。</w:t>
      </w:r>
    </w:p>
    <w:p w14:paraId="66B88F8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配电箱、开关箱无防雨措施，违反一机一闸规定的，铁制箱无接零（接地）保护的，电制箱卧放在地面的应按照规范进行整改合格并验收。</w:t>
      </w:r>
    </w:p>
    <w:p w14:paraId="46D5817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手持电动工具，潜水泵，移动式电气设备，民工宿舍用电路不按规定装设漏电保护开关，应当强制安装漏电保护开关。</w:t>
      </w:r>
    </w:p>
    <w:p w14:paraId="6AC4695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非专职电气操作人员，不得操作电气设备，应当严格执行持证上岗制度。</w:t>
      </w:r>
    </w:p>
    <w:p w14:paraId="1E9F02F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r>
        <w:rPr>
          <w:rFonts w:hint="default"/>
          <w:color w:val="000000" w:themeColor="text1"/>
          <w:lang w:val="en-US" w:eastAsia="zh-CN"/>
          <w14:textFill>
            <w14:solidFill>
              <w14:schemeClr w14:val="tx1"/>
            </w14:solidFill>
          </w14:textFill>
        </w:rPr>
        <w:t>操作高压电气设备，戴绝缘手套，穿电工绝缘靴并站在绝缘板上。</w:t>
      </w:r>
    </w:p>
    <w:p w14:paraId="285478E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r>
        <w:rPr>
          <w:rFonts w:hint="default"/>
          <w:color w:val="000000" w:themeColor="text1"/>
          <w:lang w:val="en-US" w:eastAsia="zh-CN"/>
          <w14:textFill>
            <w14:solidFill>
              <w14:schemeClr w14:val="tx1"/>
            </w14:solidFill>
          </w14:textFill>
        </w:rPr>
        <w:t>手持式电气设备的操作手柄和工作中必须接触的部位，有良好绝缘，使用前进行绝缘检查。</w:t>
      </w:r>
    </w:p>
    <w:p w14:paraId="67BA576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r>
        <w:rPr>
          <w:rFonts w:hint="default"/>
          <w:color w:val="000000" w:themeColor="text1"/>
          <w:lang w:val="en-US" w:eastAsia="zh-CN"/>
          <w14:textFill>
            <w14:solidFill>
              <w14:schemeClr w14:val="tx1"/>
            </w14:solidFill>
          </w14:textFill>
        </w:rPr>
        <w:t>低压电气设备加装漏电保护。</w:t>
      </w:r>
    </w:p>
    <w:p w14:paraId="2513564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r>
        <w:rPr>
          <w:rFonts w:hint="default"/>
          <w:color w:val="000000" w:themeColor="text1"/>
          <w:lang w:val="en-US" w:eastAsia="zh-CN"/>
          <w14:textFill>
            <w14:solidFill>
              <w14:schemeClr w14:val="tx1"/>
            </w14:solidFill>
          </w14:textFill>
        </w:rPr>
        <w:t>电气设备有良好的接地保护，每班均由专人检查。</w:t>
      </w:r>
    </w:p>
    <w:p w14:paraId="692B767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default"/>
          <w:color w:val="000000" w:themeColor="text1"/>
          <w:lang w:val="en-US" w:eastAsia="zh-CN"/>
          <w14:textFill>
            <w14:solidFill>
              <w14:schemeClr w14:val="tx1"/>
            </w14:solidFill>
          </w14:textFill>
        </w:rPr>
        <w:t>施工现场自备发电机，预防突然停电造成安全事故。</w:t>
      </w:r>
    </w:p>
    <w:p w14:paraId="115E5F5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default"/>
          <w:color w:val="000000" w:themeColor="text1"/>
          <w:lang w:val="en-US" w:eastAsia="zh-CN"/>
          <w14:textFill>
            <w14:solidFill>
              <w14:schemeClr w14:val="tx1"/>
            </w14:solidFill>
          </w14:textFill>
        </w:rPr>
        <w:t>所有施工用电线路均按施组要求分别定位悬挂，由值班电工负责检查管理。</w:t>
      </w:r>
    </w:p>
    <w:p w14:paraId="3B4CE11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交通事故应急救援措施</w:t>
      </w:r>
    </w:p>
    <w:p w14:paraId="3C5D6CF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施工现场车辆或项目部其它车辆发生法律规定自行处理的轻微交通事故，当事驾驶员应根据相关法律要求尽快自行处理，避免堵塞交通。</w:t>
      </w:r>
    </w:p>
    <w:p w14:paraId="592DE66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接到发生一般事故报告后，项目部应急救援机构领导应立即赶赴现场了解情况，并及时向工程处领导及主管部门上报。</w:t>
      </w:r>
    </w:p>
    <w:p w14:paraId="6083028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发生一般以上车物损失或造成人员伤亡的交通事故，应立即拨打</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122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报警，同时采取措施保护事故现场，疏导社会交通，劝阻无关人员不要在现场围观，交警赶到后应听从其指挥，积级配合有关部门进行现场救援和事故处理工作。</w:t>
      </w:r>
    </w:p>
    <w:p w14:paraId="25003F2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发生交通事故后，必须对伤员立即进行有效的现场抢救，包扎伤口止血，在做好现场标记的情况下，迅速送往医院抢救。搬运伤员要使用正确的搬运方法和辅助工具，防止因搬运不当加重伤者伤情。</w:t>
      </w:r>
    </w:p>
    <w:p w14:paraId="620A556B">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因车辆变形或物品挤压造成伤员救援困难时，应根据实际情况，在交管部门的指导下，采用起重、切割、牵引等方法实施救援。</w:t>
      </w:r>
    </w:p>
    <w:p w14:paraId="1E9F6DD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发生财务损失或人员伤亡事故，应及时将事故情况报告项目部应急救援机构、工程处领导和有关主管部门。</w:t>
      </w:r>
    </w:p>
    <w:p w14:paraId="453E2F8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配合工程处事故调查领导小组工作，协助交通民警做好事故调查及死伤者家属善后处理工作。并根据交管部门对事故负任的认定进行相应的赔偿。</w:t>
      </w:r>
    </w:p>
    <w:p w14:paraId="7001729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召开事故分析会，在分析原因的基处上，找出应当吸取的教训，采取有针对性的措施，并写出事故报告，报工程处。</w:t>
      </w:r>
    </w:p>
    <w:p w14:paraId="21A423B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物体打击事故应急救援措施</w:t>
      </w:r>
    </w:p>
    <w:p w14:paraId="40B585A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由于起重机械造成的物体打击事故，应立即停机，在确保安全的情况下卸载。</w:t>
      </w:r>
    </w:p>
    <w:p w14:paraId="727C19B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抢救人员持确保安全的情况下，佩戴安全防护用品进入现场实施抢救。</w:t>
      </w:r>
    </w:p>
    <w:p w14:paraId="18B9BC5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抢救被物料、模板埋压的伤员时，需固定好被压伤员的安全空间，支架临时支架后再实施抢救工作，避免伤员再次伤害。</w:t>
      </w:r>
    </w:p>
    <w:p w14:paraId="0A94E54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抢救重物压伤人员，应调动起重吨位相匹配的设备进入抢救现场，抢救现场应开通紧急安全通道，以便抢救车辆行驶通畅，吊车站位稳定准确，起重物拴接牢固，吊点位置准确，指挥人员、信号工和吊车操作人员配合协调，保证吊物起重平稳。</w:t>
      </w:r>
    </w:p>
    <w:p w14:paraId="7BED2B8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机械伤害事故应急救援措施</w:t>
      </w:r>
    </w:p>
    <w:p w14:paraId="735E43C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各机械开关布局必须合理，必须符合两条件标准：一是便于操作者紧急停车；二是避免误开动其它设备。</w:t>
      </w:r>
    </w:p>
    <w:p w14:paraId="163529E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发生机械事故时要立即停车，切断电源，指派专人看管。</w:t>
      </w:r>
    </w:p>
    <w:p w14:paraId="18AD189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发生断手、断指等严重情况时，对伤害者伤口要进行包扎止血、止痛进行半握拳状的功能固定。对断手、断指用消毒或清洁的敷料包好，速将伤者送医院抢救。</w:t>
      </w:r>
    </w:p>
    <w:p w14:paraId="49A5450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发生搅拌机机械事故后，确定伤员准确位置后进行抢救，如因机件阻碍人体而无法施救时，应拆除机械相应部件或切割机体。</w:t>
      </w:r>
    </w:p>
    <w:p w14:paraId="21205AF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起重机械发生事故后，应及时抢救伤员，并将伤员及时送往医院。</w:t>
      </w:r>
    </w:p>
    <w:p w14:paraId="10BFA8C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起重机械发生事故应立即停机，在确保安全的情况下卸载，妥善保护，使其处于安全位置。</w:t>
      </w:r>
    </w:p>
    <w:p w14:paraId="73DE206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启动项目部应急救援小组，保护好事故现场，抢救人员在确定事故现场安全的情况下，佩带安全防护装置进入现场。</w:t>
      </w:r>
    </w:p>
    <w:p w14:paraId="155FEF3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抢救被挤压伤员，需固定好被挤压伤员的安全空间后，再实施抢救工作，避免伤员二次受伤害。</w:t>
      </w:r>
    </w:p>
    <w:p w14:paraId="1D592E1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抢救重物压伤人员，应立即调动起重吨位相匹配的设备进入抢救现场，开通紧急安全通道，抢救车辆行驶通畅，吊车停放稳定准确，起重物栓接牢固，吊点位置准确，指挥人员、信号工和吊车作业人员配合协调，保证吊物起升平稳。</w:t>
      </w:r>
    </w:p>
    <w:p w14:paraId="0C1ED8E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中毒窒息事故应急救援措施</w:t>
      </w:r>
    </w:p>
    <w:p w14:paraId="2A6E8EA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发生中毒窒息事故时，抢人员必须佩戴防毒面具，防止抢救人员二次中毒。</w:t>
      </w:r>
    </w:p>
    <w:p w14:paraId="3DD2334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如果中毒者时间短，可进行人工呼吸，并及时送往医院，可望获救。</w:t>
      </w:r>
    </w:p>
    <w:p w14:paraId="141D2B8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火灾事故应急救援及防范措施</w:t>
      </w:r>
    </w:p>
    <w:p w14:paraId="5A0FFB5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1）防范措施：</w:t>
      </w:r>
    </w:p>
    <w:p w14:paraId="24306DEF">
      <w:p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①</w:t>
      </w:r>
      <w:r>
        <w:rPr>
          <w:rFonts w:hint="default" w:ascii="Times New Roman" w:hAnsi="Times New Roman" w:cs="Times New Roman"/>
          <w:color w:val="000000" w:themeColor="text1"/>
          <w:lang w:val="en-US" w:eastAsia="zh-CN"/>
          <w14:textFill>
            <w14:solidFill>
              <w14:schemeClr w14:val="tx1"/>
            </w14:solidFill>
          </w14:textFill>
        </w:rPr>
        <w:t>严格执行明火作业审批制度。</w:t>
      </w:r>
    </w:p>
    <w:p w14:paraId="364C9A2B">
      <w:p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②</w:t>
      </w:r>
      <w:r>
        <w:rPr>
          <w:rFonts w:hint="default" w:ascii="Times New Roman" w:hAnsi="Times New Roman" w:cs="Times New Roman"/>
          <w:color w:val="000000" w:themeColor="text1"/>
          <w:lang w:val="en-US" w:eastAsia="zh-CN"/>
          <w14:textFill>
            <w14:solidFill>
              <w14:schemeClr w14:val="tx1"/>
            </w14:solidFill>
          </w14:textFill>
        </w:rPr>
        <w:t>进入施工现场，严禁吸烟。</w:t>
      </w:r>
    </w:p>
    <w:p w14:paraId="597CF547">
      <w:p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③</w:t>
      </w:r>
      <w:r>
        <w:rPr>
          <w:rFonts w:hint="default" w:ascii="Times New Roman" w:hAnsi="Times New Roman" w:cs="Times New Roman"/>
          <w:color w:val="000000" w:themeColor="text1"/>
          <w:lang w:val="en-US" w:eastAsia="zh-CN"/>
          <w14:textFill>
            <w14:solidFill>
              <w14:schemeClr w14:val="tx1"/>
            </w14:solidFill>
          </w14:textFill>
        </w:rPr>
        <w:t>电路按规范敷设，定期检查，老化、破损及时更换。</w:t>
      </w:r>
    </w:p>
    <w:p w14:paraId="6A55D70F">
      <w:p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④</w:t>
      </w:r>
      <w:r>
        <w:rPr>
          <w:rFonts w:hint="default" w:ascii="Times New Roman" w:hAnsi="Times New Roman" w:cs="Times New Roman"/>
          <w:color w:val="000000" w:themeColor="text1"/>
          <w:lang w:val="en-US" w:eastAsia="zh-CN"/>
          <w14:textFill>
            <w14:solidFill>
              <w14:schemeClr w14:val="tx1"/>
            </w14:solidFill>
          </w14:textFill>
        </w:rPr>
        <w:t>电气焊工、防水作业等明火必须持有效证上岗，遵章作业。</w:t>
      </w:r>
    </w:p>
    <w:p w14:paraId="00059CAB">
      <w:p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⑤</w:t>
      </w:r>
      <w:r>
        <w:rPr>
          <w:rFonts w:hint="default" w:ascii="Times New Roman" w:hAnsi="Times New Roman" w:cs="Times New Roman"/>
          <w:color w:val="000000" w:themeColor="text1"/>
          <w:lang w:val="en-US" w:eastAsia="zh-CN"/>
          <w14:textFill>
            <w14:solidFill>
              <w14:schemeClr w14:val="tx1"/>
            </w14:solidFill>
          </w14:textFill>
        </w:rPr>
        <w:t>易燃易爆物品严格管理，专人负责，划定区域。该区城内禁止明火作业。</w:t>
      </w:r>
    </w:p>
    <w:p w14:paraId="48DECC6D">
      <w:pP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⑥</w:t>
      </w:r>
      <w:r>
        <w:rPr>
          <w:rFonts w:hint="default" w:ascii="Times New Roman" w:hAnsi="Times New Roman" w:cs="Times New Roman"/>
          <w:color w:val="000000" w:themeColor="text1"/>
          <w:lang w:val="en-US" w:eastAsia="zh-CN"/>
          <w14:textFill>
            <w14:solidFill>
              <w14:schemeClr w14:val="tx1"/>
            </w14:solidFill>
          </w14:textFill>
        </w:rPr>
        <w:t>配备足够的可操作灭火器，装设消防栓并保证水源，水压。</w:t>
      </w:r>
    </w:p>
    <w:p w14:paraId="5F07A5C4">
      <w:pPr>
        <w:rPr>
          <w:rFonts w:hint="default"/>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⑦</w:t>
      </w:r>
      <w:r>
        <w:rPr>
          <w:rFonts w:hint="default" w:ascii="Times New Roman" w:hAnsi="Times New Roman" w:cs="Times New Roman"/>
          <w:color w:val="000000" w:themeColor="text1"/>
          <w:lang w:val="en-US" w:eastAsia="zh-CN"/>
          <w14:textFill>
            <w14:solidFill>
              <w14:schemeClr w14:val="tx1"/>
            </w14:solidFill>
          </w14:textFill>
        </w:rPr>
        <w:t>木工房专</w:t>
      </w:r>
      <w:r>
        <w:rPr>
          <w:rFonts w:hint="default"/>
          <w:color w:val="000000" w:themeColor="text1"/>
          <w:lang w:val="en-US" w:eastAsia="zh-CN"/>
          <w14:textFill>
            <w14:solidFill>
              <w14:schemeClr w14:val="tx1"/>
            </w14:solidFill>
          </w14:textFill>
        </w:rPr>
        <w:t>人负责，工完场清。机械操作遵守安全操作规程等。</w:t>
      </w:r>
    </w:p>
    <w:p w14:paraId="3C39488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救援措施：</w:t>
      </w:r>
    </w:p>
    <w:p w14:paraId="63FC1436">
      <w:pPr>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①</w:t>
      </w:r>
      <w:r>
        <w:rPr>
          <w:rFonts w:hint="default"/>
          <w:color w:val="000000" w:themeColor="text1"/>
          <w:lang w:val="en-US" w:eastAsia="zh-CN"/>
          <w14:textFill>
            <w14:solidFill>
              <w14:schemeClr w14:val="tx1"/>
            </w14:solidFill>
          </w14:textFill>
        </w:rPr>
        <w:t>立即报警。当接到基地或施工现场火灾发生信息后，指挥小组要立即拨打</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119</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火警电话，并及时通知公司应急抢险领导小组，以便及时扑救火灾事故。</w:t>
      </w:r>
    </w:p>
    <w:p w14:paraId="15303ACE">
      <w:pPr>
        <w:rPr>
          <w:rFonts w:hint="default"/>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②</w:t>
      </w:r>
      <w:r>
        <w:rPr>
          <w:rFonts w:hint="default"/>
          <w:color w:val="000000" w:themeColor="text1"/>
          <w:lang w:val="en-US" w:eastAsia="zh-CN"/>
          <w14:textFill>
            <w14:solidFill>
              <w14:schemeClr w14:val="tx1"/>
            </w14:solidFill>
          </w14:textFill>
        </w:rPr>
        <w:t>组织扑救火灾。当基地或施工现场发生火灾后，除及时报警以外，指挥小组要立即组织义务消防队员和员工进行扑救，扑救火灾时要按照</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先控制、后灭火；救人重于救火；先重点、后一般</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的灭火战术原则。并派人及时切断电源，接通消防水泵电源，组织抢救伤亡人员，隔离火灾危险源和重点物资，充分利用基地或施工现场中的消防设施器材进行灭火。</w:t>
      </w:r>
    </w:p>
    <w:p w14:paraId="496AE63F">
      <w:pPr>
        <w:rPr>
          <w:rFonts w:hint="default"/>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③</w:t>
      </w:r>
      <w:r>
        <w:rPr>
          <w:rFonts w:hint="default"/>
          <w:color w:val="000000" w:themeColor="text1"/>
          <w:lang w:val="en-US" w:eastAsia="zh-CN"/>
          <w14:textFill>
            <w14:solidFill>
              <w14:schemeClr w14:val="tx1"/>
            </w14:solidFill>
          </w14:textFill>
        </w:rPr>
        <w:t>协助消防队灭火。在自救的基础上，当专业消防队到达火灾现场后，火灾事故应急响应指挥小组要简要地向消防队负责人说明火灾情况，并全力支持消防队员灭火，要听从专业消防队的指挥，齐心协力，共同灭火。</w:t>
      </w:r>
    </w:p>
    <w:p w14:paraId="4E2D8B27">
      <w:pPr>
        <w:rPr>
          <w:rFonts w:hint="default"/>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④</w:t>
      </w:r>
      <w:r>
        <w:rPr>
          <w:rFonts w:hint="default"/>
          <w:color w:val="000000" w:themeColor="text1"/>
          <w:lang w:val="en-US" w:eastAsia="zh-CN"/>
          <w14:textFill>
            <w14:solidFill>
              <w14:schemeClr w14:val="tx1"/>
            </w14:solidFill>
          </w14:textFill>
        </w:rPr>
        <w:t>伤员身上燃烧的衣物一时难以脱下时，可让伤员躺在地上滚动，或用水洒扑灭火焰。</w:t>
      </w:r>
    </w:p>
    <w:p w14:paraId="3C4A047D">
      <w:pPr>
        <w:rPr>
          <w:rFonts w:hint="default"/>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⑤</w:t>
      </w:r>
      <w:r>
        <w:rPr>
          <w:rFonts w:hint="default"/>
          <w:color w:val="000000" w:themeColor="text1"/>
          <w:lang w:val="en-US" w:eastAsia="zh-CN"/>
          <w14:textFill>
            <w14:solidFill>
              <w14:schemeClr w14:val="tx1"/>
            </w14:solidFill>
          </w14:textFill>
        </w:rPr>
        <w:t>现场保护。当火灾发生时和扑救完毕后，指挥小组要派人保护好现场，维护好现场秩序，等待对事故原因及责任人的调查。同时应立即采取善后工作，及时清理，将火灾造成的垃圾分类处理并采取其他有效措施，从而将火灾事故对环境造成的污染能降低到最低限度。</w:t>
      </w:r>
    </w:p>
    <w:p w14:paraId="73767DE7">
      <w:pPr>
        <w:rPr>
          <w:rFonts w:hint="default"/>
          <w:color w:val="000000" w:themeColor="text1"/>
          <w:lang w:val="en-US" w:eastAsia="zh-CN"/>
          <w14:textFill>
            <w14:solidFill>
              <w14:schemeClr w14:val="tx1"/>
            </w14:solidFill>
          </w14:textFill>
        </w:rPr>
      </w:pPr>
      <w:r>
        <w:rPr>
          <w:rFonts w:hint="default" w:ascii="Times New Roman" w:hAnsi="Times New Roman" w:eastAsia="微软雅黑" w:cs="Times New Roman"/>
          <w:color w:val="000000" w:themeColor="text1"/>
          <w:lang w:val="en-US" w:eastAsia="zh-CN"/>
          <w14:textFill>
            <w14:solidFill>
              <w14:schemeClr w14:val="tx1"/>
            </w14:solidFill>
          </w14:textFill>
        </w:rPr>
        <w:t>⑥</w:t>
      </w:r>
      <w:r>
        <w:rPr>
          <w:rFonts w:hint="default"/>
          <w:color w:val="000000" w:themeColor="text1"/>
          <w:lang w:val="en-US" w:eastAsia="zh-CN"/>
          <w14:textFill>
            <w14:solidFill>
              <w14:schemeClr w14:val="tx1"/>
            </w14:solidFill>
          </w14:textFill>
        </w:rPr>
        <w:t>火灾事故调查处置。按照公司事故（事件）报告分析处理制度规定，项目部火灾事故应急准备和响应指挥小组在调查和审查事故情况报告出来以后，应作出有关处理决定，重新落实防范措施。并报公司应急抢险领导小组和上级主管部门。</w:t>
      </w:r>
    </w:p>
    <w:p w14:paraId="003AF3DF">
      <w:pPr>
        <w:numPr>
          <w:ilvl w:val="0"/>
          <w:numId w:val="0"/>
        </w:numPr>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9.</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教育培训和应急演练</w:t>
      </w:r>
    </w:p>
    <w:p w14:paraId="5BB1238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教育培训</w:t>
      </w:r>
    </w:p>
    <w:p w14:paraId="5F73AD3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培训对象：项目经理部及应急事件处理小组所有成员。</w:t>
      </w:r>
    </w:p>
    <w:p w14:paraId="3DDA26A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培训内容：本应急预案处理程序及现场处理措施等知识。</w:t>
      </w:r>
    </w:p>
    <w:p w14:paraId="7E2CB8E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项目部设立突发事件紧急抢险领导小组，对于本项目发生的各类突发事件处理均承担组织处理和上报的职责。应急指挥中心设在项目部综合办公室，紧急状态下各类应急资源由指挥中心统一调配，并由组长决定联系上报和救援事宜。</w:t>
      </w:r>
    </w:p>
    <w:p w14:paraId="3CE2256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应急救援演练</w:t>
      </w:r>
    </w:p>
    <w:p w14:paraId="47599D3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应急救援演练包括准备、实施和总结三个阶段。在正常施工状态下，由作业面带班/工长报告模拟事件信号，启动处理程序，验证各类物资、工具、人员到位情况，是否能够满足应急处理要求。通过应急救援演练，培训应急队伍，落实岗位责任，熟悉应急工作的指挥机制、决策、协调和处置的程序，识别资源需求，评价应急准备状态，检验预案的可行性，提高全员应急救援能力。</w:t>
      </w:r>
    </w:p>
    <w:p w14:paraId="4DB549D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br w:type="page"/>
      </w:r>
    </w:p>
    <w:p w14:paraId="5A9D1470">
      <w:pPr>
        <w:pStyle w:val="2"/>
        <w:numPr>
          <w:ilvl w:val="0"/>
          <w:numId w:val="2"/>
        </w:numPr>
        <w:bidi w:val="0"/>
        <w:ind w:left="0" w:leftChars="0" w:firstLine="0" w:firstLineChars="0"/>
        <w:rPr>
          <w:rFonts w:hint="default"/>
          <w:color w:val="000000" w:themeColor="text1"/>
          <w:lang w:val="en-US" w:eastAsia="zh-CN"/>
          <w14:textFill>
            <w14:solidFill>
              <w14:schemeClr w14:val="tx1"/>
            </w14:solidFill>
          </w14:textFill>
        </w:rPr>
      </w:pPr>
      <w:bookmarkStart w:id="62" w:name="_Toc21423"/>
      <w:r>
        <w:rPr>
          <w:rFonts w:hint="default"/>
          <w:color w:val="000000" w:themeColor="text1"/>
          <w:lang w:val="en-US" w:eastAsia="zh-CN"/>
          <w14:textFill>
            <w14:solidFill>
              <w14:schemeClr w14:val="tx1"/>
            </w14:solidFill>
          </w14:textFill>
        </w:rPr>
        <w:t>危险有害因素辨识</w:t>
      </w:r>
      <w:bookmarkEnd w:id="62"/>
    </w:p>
    <w:p w14:paraId="36245BE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危险因素是指能对人造成伤亡或对物造成突发性损坏的因素；有害因素是指能影响人的身体健康，导致疾病，或对物造成慢性损坏的因素。危险、有害因素辨识和分析是安全评</w:t>
      </w:r>
      <w:r>
        <w:rPr>
          <w:rFonts w:hint="eastAsia"/>
          <w:color w:val="000000" w:themeColor="text1"/>
          <w:lang w:val="en-US" w:eastAsia="zh-CN"/>
          <w14:textFill>
            <w14:solidFill>
              <w14:schemeClr w14:val="tx1"/>
            </w14:solidFill>
          </w14:textFill>
        </w:rPr>
        <w:t>估</w:t>
      </w:r>
      <w:r>
        <w:rPr>
          <w:rFonts w:hint="default"/>
          <w:color w:val="000000" w:themeColor="text1"/>
          <w:lang w:val="en-US" w:eastAsia="zh-CN"/>
          <w14:textFill>
            <w14:solidFill>
              <w14:schemeClr w14:val="tx1"/>
            </w14:solidFill>
          </w14:textFill>
        </w:rPr>
        <w:t>的基础。</w:t>
      </w:r>
    </w:p>
    <w:p w14:paraId="1B26CC5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针对该施工方案，结合现场实际情况，该施工方案在实施过程中可能存在既有交通车辆对施工的影响以及安装施工过程中产生的危险有害因素。</w:t>
      </w:r>
    </w:p>
    <w:p w14:paraId="3065178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本工程的危险有害因素辨识与分析分为两个阶段：施工安全生产管理阶段危险有害因素辨识与分析、施工阶段危险有害因素辨识与分析。</w:t>
      </w:r>
    </w:p>
    <w:p w14:paraId="17D3D0F2">
      <w:pPr>
        <w:pStyle w:val="3"/>
        <w:bidi w:val="0"/>
        <w:rPr>
          <w:rFonts w:hint="default"/>
          <w:color w:val="000000" w:themeColor="text1"/>
          <w:lang w:val="en-US" w:eastAsia="zh-CN"/>
          <w14:textFill>
            <w14:solidFill>
              <w14:schemeClr w14:val="tx1"/>
            </w14:solidFill>
          </w14:textFill>
        </w:rPr>
      </w:pPr>
      <w:bookmarkStart w:id="63" w:name="_Toc647"/>
      <w:r>
        <w:rPr>
          <w:rFonts w:hint="default"/>
          <w:color w:val="000000" w:themeColor="text1"/>
          <w:lang w:val="en-US" w:eastAsia="zh-CN"/>
          <w14:textFill>
            <w14:solidFill>
              <w14:schemeClr w14:val="tx1"/>
            </w14:solidFill>
          </w14:textFill>
        </w:rPr>
        <w:t>3.1 安全管理危险有害因素辨识与分析</w:t>
      </w:r>
      <w:bookmarkEnd w:id="63"/>
    </w:p>
    <w:p w14:paraId="01D7549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人的不安全行为和物的不安全状态，是造成绝大部分事故的两个潜在的不安全因素，通常称事故隐患。事故潜在的不安全因素是造成人的伤害、物的损失事故的先决条件，各种人身伤害事故均离不开物与人这两个因素。人身伤害事故就是人与物之间产生的一种意外现象。在人与物两个因素中人的因素是最根本的，因为物的不安全状态的背后，实质上还是隐含着人的因素。分析大量事故的原因可以得知，单纯由于物的原因的不安全状态或者单纯由于人的不安全行为导致的事故情况并不多，几乎都是由多种原因交织而形成的，总的说是由人的不安全因素和物的不安全状态以及管理的缺陷等多方面原因结合而形成的。</w:t>
      </w:r>
    </w:p>
    <w:p w14:paraId="6AE25AF5">
      <w:pPr>
        <w:pStyle w:val="4"/>
        <w:bidi w:val="0"/>
        <w:rPr>
          <w:rFonts w:hint="default"/>
          <w:color w:val="000000" w:themeColor="text1"/>
          <w:lang w:val="en-US" w:eastAsia="zh-CN"/>
          <w14:textFill>
            <w14:solidFill>
              <w14:schemeClr w14:val="tx1"/>
            </w14:solidFill>
          </w14:textFill>
        </w:rPr>
      </w:pPr>
      <w:bookmarkStart w:id="64" w:name="_Toc9513"/>
      <w:r>
        <w:rPr>
          <w:rFonts w:hint="default"/>
          <w:color w:val="000000" w:themeColor="text1"/>
          <w:lang w:val="en-US" w:eastAsia="zh-CN"/>
          <w14:textFill>
            <w14:solidFill>
              <w14:schemeClr w14:val="tx1"/>
            </w14:solidFill>
          </w14:textFill>
        </w:rPr>
        <w:t>3.1.1 人员的安全管理危险性分析</w:t>
      </w:r>
      <w:bookmarkEnd w:id="64"/>
    </w:p>
    <w:p w14:paraId="7C0A0A0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现场作业是人、物、环境的直接交叉点，在施工工程中起着主导作用。直接从事施工操作的人，随时随地活动于危险状态的威胁和伤害，随时受到自身行为和危险状态的威胁和伤害。人为的因素导致事故占80%以上。人的行为是可控又是难控的，人员的安全管理是安全生产管理的重点和难点。</w:t>
      </w:r>
    </w:p>
    <w:p w14:paraId="34D1A59E">
      <w:pPr>
        <w:numPr>
          <w:ilvl w:val="0"/>
          <w:numId w:val="0"/>
        </w:numPr>
        <w:ind w:firstLine="560" w:firstLineChars="200"/>
        <w:rPr>
          <w:rFonts w:hint="default"/>
          <w:color w:val="000000" w:themeColor="text1"/>
          <w:lang w:val="en-US" w:eastAsia="zh-CN"/>
          <w14:textFill>
            <w14:solidFill>
              <w14:schemeClr w14:val="tx1"/>
            </w14:solidFill>
          </w14:textFill>
        </w:rPr>
      </w:pPr>
      <w:r>
        <w:rPr>
          <w:rFonts w:hint="eastAsia" w:cs="Times New Roman"/>
          <w:color w:val="000000" w:themeColor="text1"/>
          <w:kern w:val="2"/>
          <w:sz w:val="28"/>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人的不安全因素</w:t>
      </w:r>
    </w:p>
    <w:p w14:paraId="4F5CADA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1）生理上的不安全因素</w:t>
      </w:r>
    </w:p>
    <w:p w14:paraId="0A1F43F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包括不适合作业岗位要求的疾病，年龄，体能，疲劳和洒醉或刚睡过觉，感觉朦胧，视觉、听觉等感觉器官不适应作业岗位要求的等因素。</w:t>
      </w:r>
    </w:p>
    <w:p w14:paraId="03FA5E9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2）心理上不安全因素</w:t>
      </w:r>
    </w:p>
    <w:p w14:paraId="3F835B3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指人在心理上具有影响安全的性格、气质、和情绪（如急躁、懒散、粗心等）</w:t>
      </w:r>
    </w:p>
    <w:p w14:paraId="50DE3B0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3）能力上的不安全因素</w:t>
      </w:r>
    </w:p>
    <w:p w14:paraId="2BDDBC2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包括知识技能、应变能力、资格等不能适应工作环境和作业岗位要求的影响因素。</w:t>
      </w:r>
    </w:p>
    <w:p w14:paraId="61950BE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人的不安全行为</w:t>
      </w:r>
    </w:p>
    <w:p w14:paraId="6399714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1）产生不安全行为的主要原因</w:t>
      </w:r>
    </w:p>
    <w:p w14:paraId="263E5A7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主要有工作上的原因，发及系统、组织上的原因，思想上责任性的原因。</w:t>
      </w:r>
    </w:p>
    <w:p w14:paraId="5ABFD52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2）主要工作上的原因</w:t>
      </w:r>
    </w:p>
    <w:p w14:paraId="5A7FFDB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主要有作业速度不适应、工作知识的不足或工作方法不适当，技能不熟练或经验不充分，工作不当，但又不听或不注意管理提示</w:t>
      </w:r>
    </w:p>
    <w:p w14:paraId="52A76CAB">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3）不安全行为在施工现场的表现</w:t>
      </w:r>
    </w:p>
    <w:p w14:paraId="3502624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1）不安全装束</w:t>
      </w:r>
    </w:p>
    <w:p w14:paraId="7C02FA6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2）物体存放不当</w:t>
      </w:r>
    </w:p>
    <w:p w14:paraId="0CE0121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3）造成安全装置失效</w:t>
      </w:r>
    </w:p>
    <w:p w14:paraId="2CF057C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4）冒险进入危险场所</w:t>
      </w:r>
    </w:p>
    <w:p w14:paraId="00DB551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5）徒手代替工具操作</w:t>
      </w:r>
    </w:p>
    <w:p w14:paraId="56E9056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6）有分散注意力行为</w:t>
      </w:r>
    </w:p>
    <w:p w14:paraId="3AFC1DF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7）操作失误、忽视安全、忽视警告</w:t>
      </w:r>
    </w:p>
    <w:p w14:paraId="0B5CC49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8）对易燃易爆等危险品处理错误</w:t>
      </w:r>
    </w:p>
    <w:p w14:paraId="185C0C6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9）使用不安全设备</w:t>
      </w:r>
    </w:p>
    <w:p w14:paraId="0180ED8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10）攀爬不安全位置</w:t>
      </w:r>
    </w:p>
    <w:p w14:paraId="5FD42CA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11）在起吊物下作业、停留</w:t>
      </w:r>
    </w:p>
    <w:p w14:paraId="5336617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12）没有正确使用个人防护用品、用具</w:t>
      </w:r>
    </w:p>
    <w:p w14:paraId="5FCABB9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13）在机器运转时进行检查、维修、保养等工作</w:t>
      </w:r>
    </w:p>
    <w:p w14:paraId="1DC898D3">
      <w:pPr>
        <w:pStyle w:val="4"/>
        <w:bidi w:val="0"/>
        <w:rPr>
          <w:rFonts w:hint="default"/>
          <w:color w:val="000000" w:themeColor="text1"/>
          <w:lang w:val="en-US" w:eastAsia="zh-CN"/>
          <w14:textFill>
            <w14:solidFill>
              <w14:schemeClr w14:val="tx1"/>
            </w14:solidFill>
          </w14:textFill>
        </w:rPr>
      </w:pPr>
      <w:bookmarkStart w:id="65" w:name="_Toc16438"/>
      <w:r>
        <w:rPr>
          <w:rFonts w:hint="default"/>
          <w:color w:val="000000" w:themeColor="text1"/>
          <w:lang w:val="en-US" w:eastAsia="zh-CN"/>
          <w14:textFill>
            <w14:solidFill>
              <w14:schemeClr w14:val="tx1"/>
            </w14:solidFill>
          </w14:textFill>
        </w:rPr>
        <w:t>3.1.2 设备设施的的安全管理危险性分析</w:t>
      </w:r>
      <w:bookmarkEnd w:id="65"/>
    </w:p>
    <w:p w14:paraId="7CCB6A1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物的不安全状态的内容</w:t>
      </w:r>
    </w:p>
    <w:p w14:paraId="0535BFC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1）安全防护方面的缺陷</w:t>
      </w:r>
    </w:p>
    <w:p w14:paraId="0517A89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2）作业方法导致的物的不安全状态</w:t>
      </w:r>
    </w:p>
    <w:p w14:paraId="2C085D7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3）外部的和自然界的不安全状态</w:t>
      </w:r>
    </w:p>
    <w:p w14:paraId="786918D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4）作业环境场所的缺陷</w:t>
      </w:r>
    </w:p>
    <w:p w14:paraId="7149958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5）保护器具信号、标志和个体防护用品的缺陷</w:t>
      </w:r>
    </w:p>
    <w:p w14:paraId="4ED7BA5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6）物的放置方法的缺陷</w:t>
      </w:r>
    </w:p>
    <w:p w14:paraId="674DCBE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7）物（包括机器、设备、工具、物质等）本身存在的缺陷</w:t>
      </w:r>
    </w:p>
    <w:p w14:paraId="5133C80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物的不安全状态的类型</w:t>
      </w:r>
    </w:p>
    <w:p w14:paraId="0BB8E9B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1）防护等装置缺乏或有防护装置但存在缺陷</w:t>
      </w:r>
    </w:p>
    <w:p w14:paraId="1E4A7C2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2）设备、设施、工具、附件有缺陷</w:t>
      </w:r>
    </w:p>
    <w:p w14:paraId="5B2F8DA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3）个人防护用品用具缺少或有防护用品但存在缺陷</w:t>
      </w:r>
    </w:p>
    <w:p w14:paraId="3C1B3DC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4）生产（施工）场地环境不良</w:t>
      </w:r>
    </w:p>
    <w:p w14:paraId="5DCDB64D">
      <w:pPr>
        <w:pStyle w:val="4"/>
        <w:bidi w:val="0"/>
        <w:rPr>
          <w:rFonts w:hint="default"/>
          <w:color w:val="000000" w:themeColor="text1"/>
          <w:lang w:val="en-US" w:eastAsia="zh-CN"/>
          <w14:textFill>
            <w14:solidFill>
              <w14:schemeClr w14:val="tx1"/>
            </w14:solidFill>
          </w14:textFill>
        </w:rPr>
      </w:pPr>
      <w:bookmarkStart w:id="66" w:name="_Toc29924"/>
      <w:r>
        <w:rPr>
          <w:rFonts w:hint="default"/>
          <w:color w:val="000000" w:themeColor="text1"/>
          <w:lang w:val="en-US" w:eastAsia="zh-CN"/>
          <w14:textFill>
            <w14:solidFill>
              <w14:schemeClr w14:val="tx1"/>
            </w14:solidFill>
          </w14:textFill>
        </w:rPr>
        <w:t>3.1.3 安全管理危险性分析</w:t>
      </w:r>
      <w:bookmarkEnd w:id="66"/>
    </w:p>
    <w:p w14:paraId="4A1776B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施工现场不安全因素还存在有组织管理工作上的不安全因素，通常称为组织管理上的缺陷，它也是事故潜在的不安全因素，作为间接的原因共有以下方面：</w:t>
      </w:r>
    </w:p>
    <w:p w14:paraId="2A04A1DE">
      <w:pPr>
        <w:numPr>
          <w:ilvl w:val="0"/>
          <w:numId w:val="0"/>
        </w:numPr>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1.</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技术上的缺陷</w:t>
      </w:r>
    </w:p>
    <w:p w14:paraId="696D638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教育上的缺陷</w:t>
      </w:r>
    </w:p>
    <w:p w14:paraId="728F03B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管理工作上的缺陷</w:t>
      </w:r>
    </w:p>
    <w:p w14:paraId="7EB7C38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生理上的缺陷</w:t>
      </w:r>
    </w:p>
    <w:p w14:paraId="6A45EA6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心理上的缺陷</w:t>
      </w:r>
    </w:p>
    <w:p w14:paraId="02DC708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学校教育和社会、历史上的原因造成的缺陷</w:t>
      </w:r>
    </w:p>
    <w:p w14:paraId="222F890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所以，工程施工现场安全管理人员应从</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人</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和</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物</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两个方面入手，在组织管理等方面加大工作力度，消除人和物的不安全因素以及管理上的缺陷，预防各类安全事故发生。</w:t>
      </w:r>
    </w:p>
    <w:p w14:paraId="4049C199">
      <w:pPr>
        <w:pStyle w:val="4"/>
        <w:bidi w:val="0"/>
        <w:rPr>
          <w:rFonts w:hint="default"/>
          <w:color w:val="000000" w:themeColor="text1"/>
          <w:lang w:val="en-US" w:eastAsia="zh-CN"/>
          <w14:textFill>
            <w14:solidFill>
              <w14:schemeClr w14:val="tx1"/>
            </w14:solidFill>
          </w14:textFill>
        </w:rPr>
      </w:pPr>
      <w:bookmarkStart w:id="67" w:name="_Toc22860"/>
      <w:r>
        <w:rPr>
          <w:rFonts w:hint="default"/>
          <w:color w:val="000000" w:themeColor="text1"/>
          <w:lang w:val="en-US" w:eastAsia="zh-CN"/>
          <w14:textFill>
            <w14:solidFill>
              <w14:schemeClr w14:val="tx1"/>
            </w14:solidFill>
          </w14:textFill>
        </w:rPr>
        <w:t>3.1.4 安全标志、照明设备防护设备设施危险有害因素分析</w:t>
      </w:r>
      <w:bookmarkEnd w:id="67"/>
    </w:p>
    <w:p w14:paraId="563F0D6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设计中应考虑交通信号、交通照明设备等配套设施，否则不仅会对公路安全使用造成威胁。同时还会经常发生交通安全事故，在交通事故中，由于安全保证措施不到位的案例很多。特别是在考虑其它因素时，容易忽略交通安全保证措施。导致路面塌陷而发生的交通事故。</w:t>
      </w:r>
    </w:p>
    <w:p w14:paraId="6F5828E1">
      <w:pPr>
        <w:pStyle w:val="3"/>
        <w:bidi w:val="0"/>
        <w:rPr>
          <w:rFonts w:hint="default"/>
          <w:color w:val="000000" w:themeColor="text1"/>
          <w:lang w:val="en-US" w:eastAsia="zh-CN"/>
          <w14:textFill>
            <w14:solidFill>
              <w14:schemeClr w14:val="tx1"/>
            </w14:solidFill>
          </w14:textFill>
        </w:rPr>
      </w:pPr>
      <w:bookmarkStart w:id="68" w:name="_Toc10475"/>
      <w:r>
        <w:rPr>
          <w:rFonts w:hint="default"/>
          <w:color w:val="000000" w:themeColor="text1"/>
          <w:lang w:val="en-US" w:eastAsia="zh-CN"/>
          <w14:textFill>
            <w14:solidFill>
              <w14:schemeClr w14:val="tx1"/>
            </w14:solidFill>
          </w14:textFill>
        </w:rPr>
        <w:t>3.2 项目施工过程危险有害因素辨识与分析</w:t>
      </w:r>
      <w:bookmarkEnd w:id="68"/>
    </w:p>
    <w:p w14:paraId="0DF5045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穿越车头路，采用多功能微顶管施工，减小了对道路的影响，方案选择较为合理。但是若位置选择不当，会影响路政交通安全规划组织，降低项目本质安全度，影响行车和交通安全，影响车头路安全运营。因此在可行性研究阶段必须加强选址的论证研究。</w:t>
      </w:r>
    </w:p>
    <w:p w14:paraId="5B7ED11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本工程施工过程中存在坍塌、触电、物体打击、车辆伤害、机械伤害、起重伤害、高处坠落、火灾、噪声、高低温和其他伤害等危险有害因素。现根据项目特点，从工程施工个要素对本工程分析如下：</w:t>
      </w:r>
    </w:p>
    <w:p w14:paraId="37F881BE">
      <w:pPr>
        <w:pStyle w:val="4"/>
        <w:bidi w:val="0"/>
        <w:rPr>
          <w:rFonts w:hint="default"/>
          <w:color w:val="000000" w:themeColor="text1"/>
          <w:lang w:val="en-US" w:eastAsia="zh-CN"/>
          <w14:textFill>
            <w14:solidFill>
              <w14:schemeClr w14:val="tx1"/>
            </w14:solidFill>
          </w14:textFill>
        </w:rPr>
      </w:pPr>
      <w:bookmarkStart w:id="69" w:name="_Toc30459"/>
      <w:r>
        <w:rPr>
          <w:rFonts w:hint="default"/>
          <w:color w:val="000000" w:themeColor="text1"/>
          <w:lang w:val="en-US" w:eastAsia="zh-CN"/>
          <w14:textFill>
            <w14:solidFill>
              <w14:schemeClr w14:val="tx1"/>
            </w14:solidFill>
          </w14:textFill>
        </w:rPr>
        <w:t>3.2.1 坍塌</w:t>
      </w:r>
      <w:bookmarkEnd w:id="69"/>
    </w:p>
    <w:p w14:paraId="41DF970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施工过程中，危险作业中有：不良地质条件下的潜在危险性的土方、石方开挖；滑坡和高边坡处理；桩基础、挡墙基础、深水基础及围堰工程；大型临时工程中的大型支架、模板、便桥架设与拆除；起重吊装工程等，都是容易引起坍塌事故。</w:t>
      </w:r>
    </w:p>
    <w:p w14:paraId="523A286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本项目多功能微顶管深度达到</w:t>
      </w:r>
      <w:r>
        <w:rPr>
          <w:rFonts w:hint="eastAsia"/>
          <w:color w:val="000000" w:themeColor="text1"/>
          <w:lang w:val="en-US" w:eastAsia="zh-CN"/>
          <w14:textFill>
            <w14:solidFill>
              <w14:schemeClr w14:val="tx1"/>
            </w14:solidFill>
          </w14:textFill>
        </w:rPr>
        <w:t>4.05</w:t>
      </w:r>
      <w:r>
        <w:rPr>
          <w:rFonts w:hint="default"/>
          <w:color w:val="000000" w:themeColor="text1"/>
          <w:lang w:val="en-US" w:eastAsia="zh-CN"/>
          <w14:textFill>
            <w14:solidFill>
              <w14:schemeClr w14:val="tx1"/>
            </w14:solidFill>
          </w14:textFill>
        </w:rPr>
        <w:t>m，在施工过程中，需要设置工作井、接收井等，可能会引发坍塌事故，坍塌的主要引发原因有：</w:t>
      </w:r>
    </w:p>
    <w:p w14:paraId="4C79047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1、基坑开挖过程中，未设防井壁坍塌安全设施，或防井壁坍塌安全设施设置不当；</w:t>
      </w:r>
    </w:p>
    <w:p w14:paraId="29EE841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2、施工过程中，由于施工作业不当、保护措施不到位以及暴雨洪水等自然因素，可能导致泥浆露失等问题，引发基坑坍塌。</w:t>
      </w:r>
    </w:p>
    <w:p w14:paraId="39FA3D32">
      <w:pPr>
        <w:pStyle w:val="4"/>
        <w:bidi w:val="0"/>
        <w:rPr>
          <w:rFonts w:hint="default"/>
          <w:color w:val="000000" w:themeColor="text1"/>
          <w:lang w:val="en-US" w:eastAsia="zh-CN"/>
          <w14:textFill>
            <w14:solidFill>
              <w14:schemeClr w14:val="tx1"/>
            </w14:solidFill>
          </w14:textFill>
        </w:rPr>
      </w:pPr>
      <w:bookmarkStart w:id="70" w:name="_Toc31666"/>
      <w:r>
        <w:rPr>
          <w:rFonts w:hint="default"/>
          <w:color w:val="000000" w:themeColor="text1"/>
          <w:lang w:val="en-US" w:eastAsia="zh-CN"/>
          <w14:textFill>
            <w14:solidFill>
              <w14:schemeClr w14:val="tx1"/>
            </w14:solidFill>
          </w14:textFill>
        </w:rPr>
        <w:t>3.2.2 触电</w:t>
      </w:r>
      <w:bookmarkEnd w:id="70"/>
    </w:p>
    <w:p w14:paraId="2DE5BEA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各类施工过程中以电为动力进行作业，机上有较多的电机和动力、控制线路，如果因为绝缘不良、设备无接地保护或人体直接接触带电体可发生触电事故，造成电气伤害。</w:t>
      </w:r>
    </w:p>
    <w:p w14:paraId="30EEBA7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电气伤害的表现形式主要有二种，电击和电灼伤。电击是电流通过人体使得器官功能受干扰或丧失，人体对电流最敏感的是心脏，当电流超过50mA时即可引起心脏胫孪、甚至于停止跳动导致死亡；电灼伤是电流通过人体触电部位产生强大的电流，瞬间产生的电弧热触电部位热灼伤、皮肤金属化，严重可肢体烧伤炭化。</w:t>
      </w:r>
    </w:p>
    <w:p w14:paraId="45918BF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本评估项目作业区</w:t>
      </w:r>
      <w:r>
        <w:rPr>
          <w:rFonts w:hint="eastAsia"/>
          <w:color w:val="000000" w:themeColor="text1"/>
          <w:lang w:val="en-US" w:eastAsia="zh-CN"/>
          <w14:textFill>
            <w14:solidFill>
              <w14:schemeClr w14:val="tx1"/>
            </w14:solidFill>
          </w14:textFill>
        </w:rPr>
        <w:t>若</w:t>
      </w:r>
      <w:r>
        <w:rPr>
          <w:rFonts w:hint="default"/>
          <w:color w:val="000000" w:themeColor="text1"/>
          <w:lang w:val="en-US" w:eastAsia="zh-CN"/>
          <w14:textFill>
            <w14:solidFill>
              <w14:schemeClr w14:val="tx1"/>
            </w14:solidFill>
          </w14:textFill>
        </w:rPr>
        <w:t>发生雷击可直接导致人员伤亡、设备设施和建构筑物损坏，并可间接引发火灾。</w:t>
      </w:r>
    </w:p>
    <w:p w14:paraId="288D69C7">
      <w:pPr>
        <w:pStyle w:val="4"/>
        <w:bidi w:val="0"/>
        <w:rPr>
          <w:rFonts w:hint="default"/>
          <w:color w:val="000000" w:themeColor="text1"/>
          <w:lang w:val="en-US" w:eastAsia="zh-CN"/>
          <w14:textFill>
            <w14:solidFill>
              <w14:schemeClr w14:val="tx1"/>
            </w14:solidFill>
          </w14:textFill>
        </w:rPr>
      </w:pPr>
      <w:bookmarkStart w:id="71" w:name="_Toc28618"/>
      <w:r>
        <w:rPr>
          <w:rFonts w:hint="default"/>
          <w:color w:val="000000" w:themeColor="text1"/>
          <w:lang w:val="en-US" w:eastAsia="zh-CN"/>
          <w14:textFill>
            <w14:solidFill>
              <w14:schemeClr w14:val="tx1"/>
            </w14:solidFill>
          </w14:textFill>
        </w:rPr>
        <w:t>3.2.3 物体打击</w:t>
      </w:r>
      <w:bookmarkEnd w:id="71"/>
    </w:p>
    <w:p w14:paraId="146C7B0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物体打击是指物体在重力或其他外力的作用下产生运动，打击人体造成人身伤亡事故，不包括因机械设备、车辆、起重机械、坍塌等引发的物体打击。</w:t>
      </w:r>
    </w:p>
    <w:p w14:paraId="55AEFB8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施工现场物料堆放区如果堆码不整齐或堆垛不牢固，可能会引起堆垛倒塌，导致物体打击事故的发生。高空作业、吊装作业都会引起此类事故发生。</w:t>
      </w:r>
    </w:p>
    <w:p w14:paraId="32A0583A">
      <w:pPr>
        <w:pStyle w:val="4"/>
        <w:bidi w:val="0"/>
        <w:rPr>
          <w:rFonts w:hint="default"/>
          <w:color w:val="000000" w:themeColor="text1"/>
          <w:lang w:val="en-US" w:eastAsia="zh-CN"/>
          <w14:textFill>
            <w14:solidFill>
              <w14:schemeClr w14:val="tx1"/>
            </w14:solidFill>
          </w14:textFill>
        </w:rPr>
      </w:pPr>
      <w:bookmarkStart w:id="72" w:name="_Toc24576"/>
      <w:r>
        <w:rPr>
          <w:rFonts w:hint="default"/>
          <w:color w:val="000000" w:themeColor="text1"/>
          <w:lang w:val="en-US" w:eastAsia="zh-CN"/>
          <w14:textFill>
            <w14:solidFill>
              <w14:schemeClr w14:val="tx1"/>
            </w14:solidFill>
          </w14:textFill>
        </w:rPr>
        <w:t>3.2.4 车辆伤害</w:t>
      </w:r>
      <w:bookmarkEnd w:id="72"/>
    </w:p>
    <w:p w14:paraId="5D031EE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车辆伤害是指企业机动车辆在行驶中引起的人体坠落和物体倒塌、飞落、挤压伤亡事故，不包括起重设备提升、牵引车辆和车辆停驶时发生的事故。</w:t>
      </w:r>
    </w:p>
    <w:p w14:paraId="681276B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车辆在运行过程中可能会引起车辆伤害事故的发生，作业需运输物料，可能因违章驾驶、制动失效、超速行驶、视线不良等，容易造成车辆伤害。施工时因占道、材料掉落公路上等事件可能引发交通事故。公路行驶车辆发生车辆事故、故障造成施工人员设备设施破坏。</w:t>
      </w:r>
    </w:p>
    <w:p w14:paraId="1AFED9A8">
      <w:pPr>
        <w:pStyle w:val="4"/>
        <w:bidi w:val="0"/>
        <w:rPr>
          <w:rFonts w:hint="default"/>
          <w:color w:val="000000" w:themeColor="text1"/>
          <w:lang w:val="en-US" w:eastAsia="zh-CN"/>
          <w14:textFill>
            <w14:solidFill>
              <w14:schemeClr w14:val="tx1"/>
            </w14:solidFill>
          </w14:textFill>
        </w:rPr>
      </w:pPr>
      <w:bookmarkStart w:id="73" w:name="_Toc28751"/>
      <w:r>
        <w:rPr>
          <w:rFonts w:hint="default"/>
          <w:color w:val="000000" w:themeColor="text1"/>
          <w:lang w:val="en-US" w:eastAsia="zh-CN"/>
          <w14:textFill>
            <w14:solidFill>
              <w14:schemeClr w14:val="tx1"/>
            </w14:solidFill>
          </w14:textFill>
        </w:rPr>
        <w:t>3.2.5 机械伤害</w:t>
      </w:r>
      <w:bookmarkEnd w:id="73"/>
    </w:p>
    <w:p w14:paraId="1EAD8BF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机械伤害是指机械设备运动（静止）部件、工具、加工件直接与人体接触引起的夹击、碰撞、剪切、卷入、绞、碾、割、刺等伤害，不包括车辆、起重机械引起的机械伤害。</w:t>
      </w:r>
    </w:p>
    <w:p w14:paraId="1C531F8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机械伤害发生的主要原因</w:t>
      </w:r>
    </w:p>
    <w:p w14:paraId="06AC6D7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1）机械设备的传动、转动部件无有效防护装置。</w:t>
      </w:r>
    </w:p>
    <w:p w14:paraId="3830965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2）人员不小心触及到机械设备的静止危险部位。</w:t>
      </w:r>
    </w:p>
    <w:p w14:paraId="534EA5F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3）操作人员未穿戴劳保用品或劳保用品穿戴不当：</w:t>
      </w:r>
    </w:p>
    <w:p w14:paraId="2BE0CAE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4）违章作业。</w:t>
      </w:r>
    </w:p>
    <w:p w14:paraId="49C2B88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一些机械设备，作业人员容易接近设备，如果在设备有缺陷或作业人员发生误操作等特定条件下可以对作业人员造成挤压、碰撞、撞击、夹断、擦伤等机械伤害。</w:t>
      </w:r>
    </w:p>
    <w:p w14:paraId="3E859D0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施工过程中存在较多金属部件、工具及加工件，加工及安装过程中，均存在机械伤害的可能。</w:t>
      </w:r>
    </w:p>
    <w:p w14:paraId="7B1730F8">
      <w:pPr>
        <w:pStyle w:val="4"/>
        <w:bidi w:val="0"/>
        <w:rPr>
          <w:rFonts w:hint="default"/>
          <w:color w:val="000000" w:themeColor="text1"/>
          <w:lang w:val="en-US" w:eastAsia="zh-CN"/>
          <w14:textFill>
            <w14:solidFill>
              <w14:schemeClr w14:val="tx1"/>
            </w14:solidFill>
          </w14:textFill>
        </w:rPr>
      </w:pPr>
      <w:bookmarkStart w:id="74" w:name="_Toc2361"/>
      <w:r>
        <w:rPr>
          <w:rFonts w:hint="default"/>
          <w:color w:val="000000" w:themeColor="text1"/>
          <w:lang w:val="en-US" w:eastAsia="zh-CN"/>
          <w14:textFill>
            <w14:solidFill>
              <w14:schemeClr w14:val="tx1"/>
            </w14:solidFill>
          </w14:textFill>
        </w:rPr>
        <w:t>3.2.6 起重伤害</w:t>
      </w:r>
      <w:bookmarkEnd w:id="74"/>
    </w:p>
    <w:p w14:paraId="0F0D132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起重伤害是指各种起重作业（包括起重机安装、检修、试验）中发生的挤压、坠落、（吊具、吊重）物体打击和触电。</w:t>
      </w:r>
    </w:p>
    <w:p w14:paraId="631E176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本工程涉及起重作业，如果操作不当或设备受不良环境的影响，可能会引起起重伤害事故的发生。</w:t>
      </w:r>
    </w:p>
    <w:p w14:paraId="6DBD2C4C">
      <w:pPr>
        <w:pStyle w:val="4"/>
        <w:bidi w:val="0"/>
        <w:rPr>
          <w:rFonts w:hint="default"/>
          <w:color w:val="000000" w:themeColor="text1"/>
          <w:lang w:val="en-US" w:eastAsia="zh-CN"/>
          <w14:textFill>
            <w14:solidFill>
              <w14:schemeClr w14:val="tx1"/>
            </w14:solidFill>
          </w14:textFill>
        </w:rPr>
      </w:pPr>
      <w:bookmarkStart w:id="75" w:name="_Toc23274"/>
      <w:r>
        <w:rPr>
          <w:rFonts w:hint="default"/>
          <w:color w:val="000000" w:themeColor="text1"/>
          <w:lang w:val="en-US" w:eastAsia="zh-CN"/>
          <w14:textFill>
            <w14:solidFill>
              <w14:schemeClr w14:val="tx1"/>
            </w14:solidFill>
          </w14:textFill>
        </w:rPr>
        <w:t>3.2.7 高处坠落</w:t>
      </w:r>
      <w:bookmarkEnd w:id="75"/>
    </w:p>
    <w:p w14:paraId="7AAAB4F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施工过程中涉及登高设施，如操作人处于地坪2m以上高处作业的平台、若损坏、松动、打滑或不符合规范要求等，或当作业人员在巡检或操作不慎而失去平衡极有可能造成高处坠落。</w:t>
      </w:r>
    </w:p>
    <w:p w14:paraId="06C4ECD5">
      <w:pPr>
        <w:pStyle w:val="4"/>
        <w:bidi w:val="0"/>
        <w:rPr>
          <w:rFonts w:hint="default"/>
          <w:color w:val="000000" w:themeColor="text1"/>
          <w:lang w:val="en-US" w:eastAsia="zh-CN"/>
          <w14:textFill>
            <w14:solidFill>
              <w14:schemeClr w14:val="tx1"/>
            </w14:solidFill>
          </w14:textFill>
        </w:rPr>
      </w:pPr>
      <w:bookmarkStart w:id="76" w:name="_Toc25274"/>
      <w:r>
        <w:rPr>
          <w:rFonts w:hint="default"/>
          <w:color w:val="000000" w:themeColor="text1"/>
          <w:lang w:val="en-US" w:eastAsia="zh-CN"/>
          <w14:textFill>
            <w14:solidFill>
              <w14:schemeClr w14:val="tx1"/>
            </w14:solidFill>
          </w14:textFill>
        </w:rPr>
        <w:t>3.2.8 火灾爆炸</w:t>
      </w:r>
      <w:bookmarkEnd w:id="76"/>
    </w:p>
    <w:p w14:paraId="659FCFF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工程机械在施工过程中可能因燃料泄漏、电路老化短路引起火灾，机械使用的柴油、各类润滑油、机油为丙类火灾危险物质。遇明火、电火花、静电、雷电等可点燃，酿成火灾或者车辆发生自燃。</w:t>
      </w:r>
    </w:p>
    <w:p w14:paraId="46887AE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2. </w:t>
      </w:r>
      <w:r>
        <w:rPr>
          <w:rFonts w:hint="default"/>
          <w:color w:val="000000" w:themeColor="text1"/>
          <w:lang w:val="en-US" w:eastAsia="zh-CN"/>
          <w14:textFill>
            <w14:solidFill>
              <w14:schemeClr w14:val="tx1"/>
            </w14:solidFill>
          </w14:textFill>
        </w:rPr>
        <w:t>施工作业人员抽烟、其它用火引燃可燃物引起火灾事故。</w:t>
      </w:r>
    </w:p>
    <w:p w14:paraId="4F37C19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3. </w:t>
      </w:r>
      <w:r>
        <w:rPr>
          <w:rFonts w:hint="default"/>
          <w:color w:val="000000" w:themeColor="text1"/>
          <w:lang w:val="en-US" w:eastAsia="zh-CN"/>
          <w14:textFill>
            <w14:solidFill>
              <w14:schemeClr w14:val="tx1"/>
            </w14:solidFill>
          </w14:textFill>
        </w:rPr>
        <w:t>运输车辆也可能因漏电、漏油或摩擦过热发生车辆火灾。</w:t>
      </w:r>
    </w:p>
    <w:p w14:paraId="16A1646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4. </w:t>
      </w:r>
      <w:r>
        <w:rPr>
          <w:rFonts w:hint="default"/>
          <w:color w:val="000000" w:themeColor="text1"/>
          <w:lang w:val="en-US" w:eastAsia="zh-CN"/>
          <w14:textFill>
            <w14:solidFill>
              <w14:schemeClr w14:val="tx1"/>
            </w14:solidFill>
          </w14:textFill>
        </w:rPr>
        <w:t>施工现场临时办公用房也可因用电不慎、短路、漏电和不安全用火引起火灾。</w:t>
      </w:r>
    </w:p>
    <w:p w14:paraId="29FDA3C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工程机械在施工过程中可能因燃料泄漏、电路老化短路引起火灾，本项目可能涉及使用电气焊，电气焊需要使用到氧气、乙炔、液化石油气等易燃易爆及氧化性物资钢瓶，如操作不当或发生泄漏，会导致发生火灾爆炸事故。</w:t>
      </w:r>
    </w:p>
    <w:p w14:paraId="717194A8">
      <w:pPr>
        <w:pStyle w:val="4"/>
        <w:bidi w:val="0"/>
        <w:rPr>
          <w:rFonts w:hint="default"/>
          <w:color w:val="000000" w:themeColor="text1"/>
          <w:lang w:val="en-US" w:eastAsia="zh-CN"/>
          <w14:textFill>
            <w14:solidFill>
              <w14:schemeClr w14:val="tx1"/>
            </w14:solidFill>
          </w14:textFill>
        </w:rPr>
      </w:pPr>
      <w:bookmarkStart w:id="77" w:name="_Toc7696"/>
      <w:r>
        <w:rPr>
          <w:rFonts w:hint="default"/>
          <w:color w:val="000000" w:themeColor="text1"/>
          <w:lang w:val="en-US" w:eastAsia="zh-CN"/>
          <w14:textFill>
            <w14:solidFill>
              <w14:schemeClr w14:val="tx1"/>
            </w14:solidFill>
          </w14:textFill>
        </w:rPr>
        <w:t>3.2.9 噪声</w:t>
      </w:r>
      <w:bookmarkEnd w:id="77"/>
    </w:p>
    <w:p w14:paraId="504EA26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噪声源来自于机械，施工人员加工工件时，可能会受到机械加工带来的噪声影响。</w:t>
      </w:r>
    </w:p>
    <w:p w14:paraId="01B0012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噪声对人体的危害是多方面的，对听觉系统会造成永久性的听觉损伤，形成噪声性耳聋，此外，噪声还会对机体的神经系统，心血管系统，消化系统等产生不良影响。</w:t>
      </w:r>
    </w:p>
    <w:p w14:paraId="03E160F8">
      <w:pPr>
        <w:pStyle w:val="4"/>
        <w:bidi w:val="0"/>
        <w:rPr>
          <w:rFonts w:hint="default"/>
          <w:color w:val="000000" w:themeColor="text1"/>
          <w:lang w:val="en-US" w:eastAsia="zh-CN"/>
          <w14:textFill>
            <w14:solidFill>
              <w14:schemeClr w14:val="tx1"/>
            </w14:solidFill>
          </w14:textFill>
        </w:rPr>
      </w:pPr>
      <w:bookmarkStart w:id="78" w:name="_Toc22382"/>
      <w:r>
        <w:rPr>
          <w:rFonts w:hint="default"/>
          <w:color w:val="000000" w:themeColor="text1"/>
          <w:lang w:val="en-US" w:eastAsia="zh-CN"/>
          <w14:textFill>
            <w14:solidFill>
              <w14:schemeClr w14:val="tx1"/>
            </w14:solidFill>
          </w14:textFill>
        </w:rPr>
        <w:t>3.2.10 高、低温</w:t>
      </w:r>
      <w:bookmarkEnd w:id="78"/>
    </w:p>
    <w:p w14:paraId="176FA8F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施工为露天作业，有可能受气候影响，如出现高气温会造成人员中暑。低气温可能造成人员冻伤等事故。</w:t>
      </w:r>
    </w:p>
    <w:p w14:paraId="0E62C740">
      <w:pPr>
        <w:pStyle w:val="4"/>
        <w:bidi w:val="0"/>
        <w:rPr>
          <w:rFonts w:hint="default"/>
          <w:color w:val="000000" w:themeColor="text1"/>
          <w:lang w:val="en-US" w:eastAsia="zh-CN"/>
          <w14:textFill>
            <w14:solidFill>
              <w14:schemeClr w14:val="tx1"/>
            </w14:solidFill>
          </w14:textFill>
        </w:rPr>
      </w:pPr>
      <w:bookmarkStart w:id="79" w:name="_Toc32290"/>
      <w:r>
        <w:rPr>
          <w:rFonts w:hint="default"/>
          <w:color w:val="000000" w:themeColor="text1"/>
          <w:lang w:val="en-US" w:eastAsia="zh-CN"/>
          <w14:textFill>
            <w14:solidFill>
              <w14:schemeClr w14:val="tx1"/>
            </w14:solidFill>
          </w14:textFill>
        </w:rPr>
        <w:t>3.2.11 其它伤害</w:t>
      </w:r>
      <w:bookmarkEnd w:id="79"/>
    </w:p>
    <w:p w14:paraId="0694D12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施工过程中，如出现暴雨，会影响人员作业，雨水引起土壤滑坡。</w:t>
      </w:r>
    </w:p>
    <w:p w14:paraId="3C1A258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br w:type="page"/>
      </w:r>
    </w:p>
    <w:p w14:paraId="39EE15F4">
      <w:pPr>
        <w:pStyle w:val="2"/>
        <w:numPr>
          <w:ilvl w:val="0"/>
          <w:numId w:val="2"/>
        </w:numPr>
        <w:bidi w:val="0"/>
        <w:ind w:left="0" w:leftChars="0" w:firstLine="0" w:firstLineChars="0"/>
        <w:rPr>
          <w:rFonts w:hint="default"/>
          <w:color w:val="000000" w:themeColor="text1"/>
          <w:lang w:val="en-US" w:eastAsia="zh-CN"/>
          <w14:textFill>
            <w14:solidFill>
              <w14:schemeClr w14:val="tx1"/>
            </w14:solidFill>
          </w14:textFill>
        </w:rPr>
      </w:pPr>
      <w:bookmarkStart w:id="80" w:name="_Toc4812"/>
      <w:r>
        <w:rPr>
          <w:rFonts w:hint="default"/>
          <w:color w:val="000000" w:themeColor="text1"/>
          <w:lang w:val="en-US" w:eastAsia="zh-CN"/>
          <w14:textFill>
            <w14:solidFill>
              <w14:schemeClr w14:val="tx1"/>
            </w14:solidFill>
          </w14:textFill>
        </w:rPr>
        <w:t>安全评估单元与评估方法</w:t>
      </w:r>
      <w:bookmarkEnd w:id="80"/>
    </w:p>
    <w:p w14:paraId="313AA29C">
      <w:pPr>
        <w:pStyle w:val="3"/>
        <w:bidi w:val="0"/>
        <w:rPr>
          <w:rFonts w:hint="default"/>
          <w:color w:val="000000" w:themeColor="text1"/>
          <w:lang w:val="en-US" w:eastAsia="zh-CN"/>
          <w14:textFill>
            <w14:solidFill>
              <w14:schemeClr w14:val="tx1"/>
            </w14:solidFill>
          </w14:textFill>
        </w:rPr>
      </w:pPr>
      <w:bookmarkStart w:id="81" w:name="_Toc30448"/>
      <w:r>
        <w:rPr>
          <w:rFonts w:hint="default"/>
          <w:color w:val="000000" w:themeColor="text1"/>
          <w:lang w:val="en-US" w:eastAsia="zh-CN"/>
          <w14:textFill>
            <w14:solidFill>
              <w14:schemeClr w14:val="tx1"/>
            </w14:solidFill>
          </w14:textFill>
        </w:rPr>
        <w:t>4.1 评估单元划分</w:t>
      </w:r>
      <w:bookmarkEnd w:id="81"/>
    </w:p>
    <w:p w14:paraId="420BDBD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根据本评估的目的，并结合实际情况，评估单元总体划分为一个单元，即赣州市污水处理有限公司赣州市中心城区生活污水处理厂网一体化（一期）经开区污水管网完善工程车头路多功能微顶管施工作业。</w:t>
      </w:r>
    </w:p>
    <w:p w14:paraId="19EEAD7C">
      <w:pPr>
        <w:pStyle w:val="3"/>
        <w:bidi w:val="0"/>
        <w:rPr>
          <w:rFonts w:hint="default"/>
          <w:color w:val="000000" w:themeColor="text1"/>
          <w:lang w:val="en-US" w:eastAsia="zh-CN"/>
          <w14:textFill>
            <w14:solidFill>
              <w14:schemeClr w14:val="tx1"/>
            </w14:solidFill>
          </w14:textFill>
        </w:rPr>
      </w:pPr>
      <w:bookmarkStart w:id="82" w:name="_Toc28364"/>
      <w:r>
        <w:rPr>
          <w:rFonts w:hint="default"/>
          <w:color w:val="000000" w:themeColor="text1"/>
          <w:lang w:val="en-US" w:eastAsia="zh-CN"/>
          <w14:textFill>
            <w14:solidFill>
              <w14:schemeClr w14:val="tx1"/>
            </w14:solidFill>
          </w14:textFill>
        </w:rPr>
        <w:t>4.2 评估方法选择</w:t>
      </w:r>
      <w:bookmarkEnd w:id="82"/>
    </w:p>
    <w:p w14:paraId="7EBB7E0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安全评估方法是对系统的危险性、有害性进行分析、评估的工具。目前</w:t>
      </w:r>
      <w:r>
        <w:rPr>
          <w:rFonts w:hint="eastAsia"/>
          <w:color w:val="000000" w:themeColor="text1"/>
          <w:lang w:val="en-US" w:eastAsia="zh-CN"/>
          <w14:textFill>
            <w14:solidFill>
              <w14:schemeClr w14:val="tx1"/>
            </w14:solidFill>
          </w14:textFill>
        </w:rPr>
        <w:t>已</w:t>
      </w:r>
      <w:r>
        <w:rPr>
          <w:rFonts w:hint="default"/>
          <w:color w:val="000000" w:themeColor="text1"/>
          <w:lang w:val="en-US" w:eastAsia="zh-CN"/>
          <w14:textFill>
            <w14:solidFill>
              <w14:schemeClr w14:val="tx1"/>
            </w14:solidFill>
          </w14:textFill>
        </w:rPr>
        <w:t>开发出数十种不同特点、适用范围和应用条件的评估方法，各种评估方法的原理、目标、应用条件、使用对象、工作量均不尽相同，各具特色。</w:t>
      </w:r>
    </w:p>
    <w:p w14:paraId="5B79A38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根据本工程的特点，结合对系统危险、有害因素的分析结果，评估选用预先危险性分析法和安全检查表法。</w:t>
      </w:r>
    </w:p>
    <w:p w14:paraId="0F3FDEDF">
      <w:pPr>
        <w:pStyle w:val="3"/>
        <w:bidi w:val="0"/>
        <w:rPr>
          <w:rFonts w:hint="default"/>
          <w:color w:val="000000" w:themeColor="text1"/>
          <w:lang w:val="en-US" w:eastAsia="zh-CN"/>
          <w14:textFill>
            <w14:solidFill>
              <w14:schemeClr w14:val="tx1"/>
            </w14:solidFill>
          </w14:textFill>
        </w:rPr>
      </w:pPr>
      <w:bookmarkStart w:id="83" w:name="_Toc14929"/>
      <w:r>
        <w:rPr>
          <w:rFonts w:hint="default"/>
          <w:color w:val="000000" w:themeColor="text1"/>
          <w:lang w:val="en-US" w:eastAsia="zh-CN"/>
          <w14:textFill>
            <w14:solidFill>
              <w14:schemeClr w14:val="tx1"/>
            </w14:solidFill>
          </w14:textFill>
        </w:rPr>
        <w:t>4.3 评估方法介绍</w:t>
      </w:r>
      <w:bookmarkEnd w:id="83"/>
    </w:p>
    <w:p w14:paraId="19D3F0B2">
      <w:pPr>
        <w:pStyle w:val="4"/>
        <w:bidi w:val="0"/>
        <w:rPr>
          <w:rFonts w:hint="default"/>
          <w:color w:val="000000" w:themeColor="text1"/>
          <w:lang w:val="en-US" w:eastAsia="zh-CN"/>
          <w14:textFill>
            <w14:solidFill>
              <w14:schemeClr w14:val="tx1"/>
            </w14:solidFill>
          </w14:textFill>
        </w:rPr>
      </w:pPr>
      <w:bookmarkStart w:id="84" w:name="_Toc7844"/>
      <w:r>
        <w:rPr>
          <w:rFonts w:hint="default"/>
          <w:color w:val="000000" w:themeColor="text1"/>
          <w:lang w:val="en-US" w:eastAsia="zh-CN"/>
          <w14:textFill>
            <w14:solidFill>
              <w14:schemeClr w14:val="tx1"/>
            </w14:solidFill>
          </w14:textFill>
        </w:rPr>
        <w:t>4.3.1 预先危险性分析</w:t>
      </w:r>
      <w:bookmarkEnd w:id="84"/>
    </w:p>
    <w:p w14:paraId="7EC37A2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预先危险分析法是一种起源于美国军用标准安全计划要求方法。主要用于对危险物质和装置的主要区域等进行分析，包括设计、施工和生产前，首先对系统中存在的危险性类别、出现条件、导致事故的后果进行分析，其目的是识别系统中的潜在危险，确定其危险等级，防止危险发展成事故。</w:t>
      </w:r>
    </w:p>
    <w:p w14:paraId="4FEC1845">
      <w:pPr>
        <w:pStyle w:val="4"/>
        <w:bidi w:val="0"/>
        <w:rPr>
          <w:rFonts w:hint="default"/>
          <w:color w:val="000000" w:themeColor="text1"/>
          <w:lang w:val="en-US" w:eastAsia="zh-CN"/>
          <w14:textFill>
            <w14:solidFill>
              <w14:schemeClr w14:val="tx1"/>
            </w14:solidFill>
          </w14:textFill>
        </w:rPr>
      </w:pPr>
      <w:bookmarkStart w:id="85" w:name="_Toc15479"/>
      <w:r>
        <w:rPr>
          <w:rFonts w:hint="default"/>
          <w:color w:val="000000" w:themeColor="text1"/>
          <w:lang w:val="en-US" w:eastAsia="zh-CN"/>
          <w14:textFill>
            <w14:solidFill>
              <w14:schemeClr w14:val="tx1"/>
            </w14:solidFill>
          </w14:textFill>
        </w:rPr>
        <w:t>4.3.2 安全检查表分析</w:t>
      </w:r>
      <w:bookmarkEnd w:id="85"/>
    </w:p>
    <w:p w14:paraId="6E16D09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安全检查表法是为了查找工程、系统中各种设备设施、物料、工件、操作、管理、组织措施中的危险、有害因素，事先反检查对象加以分解，将大系统分割成小系统，以提问、打分的形式，将检查项目列表逐项检查，避免漏洞，这种表称为安全检查表。</w:t>
      </w:r>
    </w:p>
    <w:p w14:paraId="3CC2A5F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以国家相关法律法规、标准、规范等，在大量收集评估单元资料的基础上编制安全检查表。用安全检查表对项目进行相关检查。是将一系列分析项目列出检查表进行检查、分析，以确定系统的状态，这些项目可包括设备、设施、工艺、操作、管理等各个方面。安全检查表分析法既可以用于简单的快速分析，也可以用于深层次的细致地分析，是识别</w:t>
      </w:r>
      <w:r>
        <w:rPr>
          <w:rFonts w:hint="eastAsia"/>
          <w:color w:val="000000" w:themeColor="text1"/>
          <w:lang w:val="en-US" w:eastAsia="zh-CN"/>
          <w14:textFill>
            <w14:solidFill>
              <w14:schemeClr w14:val="tx1"/>
            </w14:solidFill>
          </w14:textFill>
        </w:rPr>
        <w:t>已</w:t>
      </w:r>
      <w:r>
        <w:rPr>
          <w:rFonts w:hint="default"/>
          <w:color w:val="000000" w:themeColor="text1"/>
          <w:lang w:val="en-US" w:eastAsia="zh-CN"/>
          <w14:textFill>
            <w14:solidFill>
              <w14:schemeClr w14:val="tx1"/>
            </w14:solidFill>
          </w14:textFill>
        </w:rPr>
        <w:t>知危险的较为有效的分析方法之一。</w:t>
      </w:r>
    </w:p>
    <w:p w14:paraId="3DB25BD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br w:type="page"/>
      </w:r>
    </w:p>
    <w:p w14:paraId="4C5B7254">
      <w:pPr>
        <w:pStyle w:val="2"/>
        <w:numPr>
          <w:ilvl w:val="0"/>
          <w:numId w:val="2"/>
        </w:numPr>
        <w:bidi w:val="0"/>
        <w:ind w:left="0" w:leftChars="0" w:firstLine="0" w:firstLineChars="0"/>
        <w:rPr>
          <w:rFonts w:hint="default"/>
          <w:color w:val="000000" w:themeColor="text1"/>
          <w:lang w:val="en-US" w:eastAsia="zh-CN"/>
          <w14:textFill>
            <w14:solidFill>
              <w14:schemeClr w14:val="tx1"/>
            </w14:solidFill>
          </w14:textFill>
        </w:rPr>
      </w:pPr>
      <w:bookmarkStart w:id="86" w:name="_Toc25671"/>
      <w:r>
        <w:rPr>
          <w:rFonts w:hint="default"/>
          <w:color w:val="000000" w:themeColor="text1"/>
          <w:lang w:val="en-US" w:eastAsia="zh-CN"/>
          <w14:textFill>
            <w14:solidFill>
              <w14:schemeClr w14:val="tx1"/>
            </w14:solidFill>
          </w14:textFill>
        </w:rPr>
        <w:t>安全评估</w:t>
      </w:r>
      <w:bookmarkEnd w:id="86"/>
    </w:p>
    <w:p w14:paraId="73CA7909">
      <w:pPr>
        <w:pStyle w:val="3"/>
        <w:bidi w:val="0"/>
        <w:rPr>
          <w:rFonts w:hint="default"/>
          <w:color w:val="000000" w:themeColor="text1"/>
          <w:lang w:val="en-US" w:eastAsia="zh-CN"/>
          <w14:textFill>
            <w14:solidFill>
              <w14:schemeClr w14:val="tx1"/>
            </w14:solidFill>
          </w14:textFill>
        </w:rPr>
      </w:pPr>
      <w:bookmarkStart w:id="87" w:name="_Toc1002"/>
      <w:r>
        <w:rPr>
          <w:rFonts w:hint="default"/>
          <w:color w:val="000000" w:themeColor="text1"/>
          <w:lang w:val="en-US" w:eastAsia="zh-CN"/>
          <w14:textFill>
            <w14:solidFill>
              <w14:schemeClr w14:val="tx1"/>
            </w14:solidFill>
          </w14:textFill>
        </w:rPr>
        <w:t>5.1 预先危险性分析法评估</w:t>
      </w:r>
      <w:bookmarkEnd w:id="87"/>
    </w:p>
    <w:p w14:paraId="3557F79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赣州市污水处理有限公司赣州市中心城区生活污水处理厂网一体化（一期）经开区污水管网完善工程车头路多功能微顶管施工现场预先危险性分析见表5-1。</w:t>
      </w:r>
    </w:p>
    <w:p w14:paraId="75254DCC">
      <w:pPr>
        <w:ind w:left="0" w:leftChars="0"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表5-1 预先危险性分析评估表（PHA）</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87"/>
        <w:gridCol w:w="7784"/>
      </w:tblGrid>
      <w:tr w14:paraId="13F1B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D01272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76315A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一、机械伤害</w:t>
            </w:r>
          </w:p>
        </w:tc>
      </w:tr>
      <w:tr w14:paraId="44877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E36AD5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1A5ECDF">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机械设备运行失常</w:t>
            </w:r>
          </w:p>
        </w:tc>
      </w:tr>
      <w:tr w14:paraId="2C6D0E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76CFD4F">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E1B6A9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1、机械设备缺乏安全防护装置，本身的结构、强度等不台理。</w:t>
            </w:r>
          </w:p>
          <w:p w14:paraId="02CFA26C">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2、运行部件飞出。</w:t>
            </w:r>
          </w:p>
          <w:p w14:paraId="07A7CB9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3、安装维修不当，使设备的安全性能不佳。</w:t>
            </w:r>
          </w:p>
          <w:p w14:paraId="658BFB90">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4、工作场所环境不良，如空间狭窄，设备布局不合理等。</w:t>
            </w:r>
          </w:p>
          <w:p w14:paraId="6009C4B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5、旋转、往复、滑动物撞击人体。</w:t>
            </w:r>
          </w:p>
          <w:p w14:paraId="52C9EA4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6、违反操作规程。</w:t>
            </w:r>
          </w:p>
          <w:p w14:paraId="13B0F92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7、运行状态时打扫卫生。</w:t>
            </w:r>
          </w:p>
          <w:p w14:paraId="4FC4A75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8、设备有故障。</w:t>
            </w:r>
          </w:p>
        </w:tc>
      </w:tr>
      <w:tr w14:paraId="2FFAD4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8858F7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2637CA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设备失灵，作业人员安全意识淡薄。</w:t>
            </w:r>
          </w:p>
        </w:tc>
      </w:tr>
      <w:tr w14:paraId="2FE54E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709D2B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733C34C">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1、未设置防护罩部件装置。</w:t>
            </w:r>
          </w:p>
          <w:p w14:paraId="774A866F">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2、作业时注意力不集中。</w:t>
            </w:r>
          </w:p>
          <w:p w14:paraId="0EF8C74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3、劳动保护用品未正确穿戴。</w:t>
            </w:r>
          </w:p>
          <w:p w14:paraId="4F7565A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4、违章作业。</w:t>
            </w:r>
          </w:p>
          <w:p w14:paraId="721836E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5、在检查维修设备或加工、安装标志时不注意被夹击、碰撞、剪切、割、刺等。</w:t>
            </w:r>
          </w:p>
          <w:p w14:paraId="306B466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6、衣物等被绞入转动设备。</w:t>
            </w:r>
          </w:p>
        </w:tc>
      </w:tr>
      <w:tr w14:paraId="6A11B4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B96EFD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C825A7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人员伤害、设备停止运行或损坏。</w:t>
            </w:r>
          </w:p>
        </w:tc>
      </w:tr>
      <w:tr w14:paraId="055B51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DAA055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2B69B7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eastAsia" w:ascii="宋体" w:hAnsi="宋体" w:eastAsia="宋体" w:cs="宋体"/>
                <w:snapToGrid w:val="0"/>
                <w:color w:val="000000" w:themeColor="text1"/>
                <w:spacing w:val="0"/>
                <w:kern w:val="0"/>
                <w:sz w:val="21"/>
                <w:szCs w:val="21"/>
                <w14:textFill>
                  <w14:solidFill>
                    <w14:schemeClr w14:val="tx1"/>
                  </w14:solidFill>
                </w14:textFill>
              </w:rPr>
              <w:t>Ⅱ</w:t>
            </w:r>
          </w:p>
        </w:tc>
      </w:tr>
      <w:tr w14:paraId="19443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3533DD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AF1CE8C">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1、作业时应注意力集中。</w:t>
            </w:r>
          </w:p>
          <w:p w14:paraId="63A91F3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2、正确穿戴劳动保护用品。</w:t>
            </w:r>
          </w:p>
          <w:p w14:paraId="07EBC26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3、机械设备的可外露可动部件应设防护罩、护套或防护栏。</w:t>
            </w:r>
          </w:p>
          <w:p w14:paraId="76702AE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4、在作业场所设置安全警示标志。</w:t>
            </w:r>
          </w:p>
          <w:p w14:paraId="1FE6CE2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5、设备朝向有利于采光，使操作人员不受眩光影响。</w:t>
            </w:r>
          </w:p>
        </w:tc>
      </w:tr>
      <w:tr w14:paraId="31FA01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9FEB1DF">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B6B0333">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二、车辆伤害</w:t>
            </w:r>
          </w:p>
        </w:tc>
      </w:tr>
      <w:tr w14:paraId="17A75D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F5EF0AC">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B9E4F6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运输车辆状况不良，驾驶员素质差，道路环境缺陷。</w:t>
            </w:r>
          </w:p>
        </w:tc>
      </w:tr>
      <w:tr w14:paraId="0F8B9A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23FC65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766D5B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机件失灵，无证操作，制动失效车辆误入施工现场。</w:t>
            </w:r>
          </w:p>
        </w:tc>
      </w:tr>
      <w:tr w14:paraId="0E98A7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CFF100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468C1A3">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运输车辆撞人或物体</w:t>
            </w:r>
          </w:p>
        </w:tc>
      </w:tr>
      <w:tr w14:paraId="70E083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25BF50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74E108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1、运输车辆维修保养不良。</w:t>
            </w:r>
          </w:p>
          <w:p w14:paraId="52D8AB20">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2、驾驶员未进行特种作业培训、无证上岗。</w:t>
            </w:r>
          </w:p>
          <w:p w14:paraId="449E17B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3、违章作业，疲劳驾驶。</w:t>
            </w:r>
          </w:p>
          <w:p w14:paraId="6DEC8D4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4、车辆误入施工现场。</w:t>
            </w:r>
          </w:p>
          <w:p w14:paraId="51C0364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5、未设警示标志。</w:t>
            </w:r>
          </w:p>
          <w:p w14:paraId="6AF16F0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6、未设防护设施或防护设施不当或强度不够。</w:t>
            </w:r>
          </w:p>
        </w:tc>
      </w:tr>
      <w:tr w14:paraId="5C3E4E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710B45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7BE810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人员伤害、车辆损坏</w:t>
            </w:r>
          </w:p>
        </w:tc>
      </w:tr>
      <w:tr w14:paraId="1E30C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5FCF6D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CB8729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eastAsia" w:ascii="宋体" w:hAnsi="宋体" w:eastAsia="宋体" w:cs="宋体"/>
                <w:snapToGrid w:val="0"/>
                <w:color w:val="000000" w:themeColor="text1"/>
                <w:spacing w:val="0"/>
                <w:kern w:val="0"/>
                <w:sz w:val="21"/>
                <w:szCs w:val="21"/>
                <w14:textFill>
                  <w14:solidFill>
                    <w14:schemeClr w14:val="tx1"/>
                  </w14:solidFill>
                </w14:textFill>
              </w:rPr>
              <w:t>Ⅱ</w:t>
            </w:r>
          </w:p>
        </w:tc>
      </w:tr>
      <w:tr w14:paraId="63B69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9143DD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5EF477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 xml:space="preserve">1、对驾驶员进行安全培训，做到持证上岗。 </w:t>
            </w:r>
          </w:p>
          <w:p w14:paraId="365A906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2、保证运输车辆经常处于良好的技术状态。</w:t>
            </w:r>
          </w:p>
          <w:p w14:paraId="3A43856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3、正确穿戴劳动防护用品。</w:t>
            </w:r>
          </w:p>
          <w:p w14:paraId="657932D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4、车辆限速行驶，设置安全警示标志。</w:t>
            </w:r>
          </w:p>
        </w:tc>
      </w:tr>
      <w:tr w14:paraId="5FAB1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A8F7C4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017B99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三、触电、雷击</w:t>
            </w:r>
          </w:p>
        </w:tc>
      </w:tr>
      <w:tr w14:paraId="122571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4C9615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4A5B50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在供电条件下作业，在雷雨季节作业。</w:t>
            </w:r>
          </w:p>
        </w:tc>
      </w:tr>
      <w:tr w14:paraId="546885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D60307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DCECDA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在供电条件下作业时．安全防护设置不完全，在雷雨季节作业时，未设置防雷防护。</w:t>
            </w:r>
          </w:p>
        </w:tc>
      </w:tr>
      <w:tr w14:paraId="64263A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17B40C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E4D736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带电作业、雷雨季节</w:t>
            </w:r>
          </w:p>
        </w:tc>
      </w:tr>
      <w:tr w14:paraId="11D1AF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7A83AA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955C7C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夏季雨天野外作业容易遭雷击。</w:t>
            </w:r>
          </w:p>
        </w:tc>
      </w:tr>
      <w:tr w14:paraId="1F3567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BD1EAF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535E3A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人员伤亡</w:t>
            </w:r>
          </w:p>
        </w:tc>
      </w:tr>
      <w:tr w14:paraId="05D577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C9F6B9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80B1BC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宋体" w:hAnsi="宋体" w:eastAsia="宋体" w:cs="宋体"/>
                <w:snapToGrid w:val="0"/>
                <w:color w:val="000000" w:themeColor="text1"/>
                <w:spacing w:val="0"/>
                <w:kern w:val="0"/>
                <w:sz w:val="21"/>
                <w:szCs w:val="21"/>
                <w14:textFill>
                  <w14:solidFill>
                    <w14:schemeClr w14:val="tx1"/>
                  </w14:solidFill>
                </w14:textFill>
              </w:rPr>
              <w:t>Ⅱ</w:t>
            </w:r>
          </w:p>
        </w:tc>
      </w:tr>
      <w:tr w14:paraId="51092C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B284F4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805F1B3">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严禁在雷雨时分进行作业。</w:t>
            </w:r>
          </w:p>
        </w:tc>
      </w:tr>
      <w:tr w14:paraId="67EB1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5687FC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8CA004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四、坍塌</w:t>
            </w:r>
          </w:p>
        </w:tc>
      </w:tr>
      <w:tr w14:paraId="65AF86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1B910D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738ECB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土地下陷导致公路坍塌</w:t>
            </w:r>
          </w:p>
        </w:tc>
      </w:tr>
      <w:tr w14:paraId="6C59D7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915F18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B9D5E8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在多功能微顶管施工作业时．操作失误，未按照设计路线进行，地质勘探不准确。</w:t>
            </w:r>
          </w:p>
        </w:tc>
      </w:tr>
      <w:tr w14:paraId="26AE79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9A7CF3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B72ECF8">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土地下陷造成坍塌</w:t>
            </w:r>
          </w:p>
        </w:tc>
      </w:tr>
      <w:tr w14:paraId="3F469D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CD85F6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18AAF9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1、地质原因</w:t>
            </w:r>
          </w:p>
          <w:p w14:paraId="1CF7FC5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2、设计缺陷</w:t>
            </w:r>
          </w:p>
          <w:p w14:paraId="3126D65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3、质量原因</w:t>
            </w:r>
          </w:p>
          <w:p w14:paraId="2221714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4、施工组织不严</w:t>
            </w:r>
          </w:p>
          <w:p w14:paraId="2AB2ED4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5、违背操作规程</w:t>
            </w:r>
          </w:p>
          <w:p w14:paraId="0993F19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6、安全技术专项方案不合格</w:t>
            </w:r>
          </w:p>
        </w:tc>
      </w:tr>
      <w:tr w14:paraId="1BCCD6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A0F718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D60C8A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人员伤亡</w:t>
            </w:r>
          </w:p>
        </w:tc>
      </w:tr>
      <w:tr w14:paraId="5A1E90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BA6147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461670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宋体" w:hAnsi="宋体" w:eastAsia="宋体" w:cs="宋体"/>
                <w:snapToGrid w:val="0"/>
                <w:color w:val="000000" w:themeColor="text1"/>
                <w:spacing w:val="0"/>
                <w:kern w:val="0"/>
                <w:sz w:val="21"/>
                <w:szCs w:val="21"/>
                <w14:textFill>
                  <w14:solidFill>
                    <w14:schemeClr w14:val="tx1"/>
                  </w14:solidFill>
                </w14:textFill>
              </w:rPr>
              <w:t>Ⅱ</w:t>
            </w:r>
          </w:p>
        </w:tc>
      </w:tr>
      <w:tr w14:paraId="0315A3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574349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65F560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1、找具有专业资质的地质勘探机构进行地质勘探工作，并出具真实的地质勘探说明；</w:t>
            </w:r>
          </w:p>
          <w:p w14:paraId="66976399">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textAlignment w:val="center"/>
              <w:rPr>
                <w:rFonts w:hint="default" w:ascii="Times New Roman" w:hAnsi="Times New Roman" w:eastAsia="宋体" w:cs="Times New Roman"/>
                <w:b w:val="0"/>
                <w:bCs/>
                <w:snapToGrid w:val="0"/>
                <w:color w:val="000000" w:themeColor="text1"/>
                <w:spacing w:val="0"/>
                <w:kern w:val="0"/>
                <w14:textFill>
                  <w14:solidFill>
                    <w14:schemeClr w14:val="tx1"/>
                  </w14:solidFill>
                </w14:textFill>
              </w:rPr>
            </w:pPr>
            <w:r>
              <w:rPr>
                <w:rFonts w:hint="default" w:ascii="Times New Roman" w:hAnsi="Times New Roman" w:eastAsia="宋体" w:cs="Times New Roman"/>
                <w:b w:val="0"/>
                <w:bCs/>
                <w:snapToGrid w:val="0"/>
                <w:color w:val="000000" w:themeColor="text1"/>
                <w:spacing w:val="0"/>
                <w:kern w:val="0"/>
                <w14:textFill>
                  <w14:solidFill>
                    <w14:schemeClr w14:val="tx1"/>
                  </w14:solidFill>
                </w14:textFill>
              </w:rPr>
              <w:t>2、找具有资质的设计单位进行设计；</w:t>
            </w:r>
          </w:p>
          <w:p w14:paraId="0C66249A">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textAlignment w:val="center"/>
              <w:rPr>
                <w:rFonts w:hint="default" w:ascii="Times New Roman" w:hAnsi="Times New Roman" w:eastAsia="宋体" w:cs="Times New Roman"/>
                <w:b w:val="0"/>
                <w:bCs/>
                <w:snapToGrid w:val="0"/>
                <w:color w:val="000000" w:themeColor="text1"/>
                <w:spacing w:val="0"/>
                <w:kern w:val="0"/>
                <w14:textFill>
                  <w14:solidFill>
                    <w14:schemeClr w14:val="tx1"/>
                  </w14:solidFill>
                </w14:textFill>
              </w:rPr>
            </w:pPr>
            <w:r>
              <w:rPr>
                <w:rFonts w:hint="default" w:ascii="Times New Roman" w:hAnsi="Times New Roman" w:eastAsia="宋体" w:cs="Times New Roman"/>
                <w:b w:val="0"/>
                <w:bCs/>
                <w:snapToGrid w:val="0"/>
                <w:color w:val="000000" w:themeColor="text1"/>
                <w:spacing w:val="0"/>
                <w:kern w:val="0"/>
                <w14:textFill>
                  <w14:solidFill>
                    <w14:schemeClr w14:val="tx1"/>
                  </w14:solidFill>
                </w14:textFill>
              </w:rPr>
              <w:t>3、设备和材料采购或租用时应找正规厂家；拒绝使用三无低质伪劣产品；</w:t>
            </w:r>
          </w:p>
          <w:p w14:paraId="5AA1E63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4、严格把关施工现场组织，做好相关施工组织制度要求；</w:t>
            </w:r>
          </w:p>
          <w:p w14:paraId="0A22B38A">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textAlignment w:val="center"/>
              <w:rPr>
                <w:rFonts w:hint="default" w:ascii="Times New Roman" w:hAnsi="Times New Roman" w:eastAsia="宋体" w:cs="Times New Roman"/>
                <w:b w:val="0"/>
                <w:snapToGrid w:val="0"/>
                <w:color w:val="000000" w:themeColor="text1"/>
                <w:spacing w:val="0"/>
                <w:kern w:val="0"/>
                <w:szCs w:val="21"/>
                <w14:textFill>
                  <w14:solidFill>
                    <w14:schemeClr w14:val="tx1"/>
                  </w14:solidFill>
                </w14:textFill>
              </w:rPr>
            </w:pPr>
            <w:r>
              <w:rPr>
                <w:rFonts w:hint="default" w:ascii="Times New Roman" w:hAnsi="Times New Roman" w:eastAsia="宋体" w:cs="Times New Roman"/>
                <w:b w:val="0"/>
                <w:snapToGrid w:val="0"/>
                <w:color w:val="000000" w:themeColor="text1"/>
                <w:spacing w:val="0"/>
                <w:kern w:val="0"/>
                <w:szCs w:val="21"/>
                <w14:textFill>
                  <w14:solidFill>
                    <w14:schemeClr w14:val="tx1"/>
                  </w14:solidFill>
                </w14:textFill>
              </w:rPr>
              <w:t>5、加强现场管理以及对现场人员的安全教育、制定相应的操作规程并严格执行；</w:t>
            </w:r>
          </w:p>
          <w:p w14:paraId="1ADA433C">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firstLine="0"/>
              <w:textAlignment w:val="center"/>
              <w:rPr>
                <w:rFonts w:hint="default" w:ascii="Times New Roman" w:hAnsi="Times New Roman" w:eastAsia="宋体" w:cs="Times New Roman"/>
                <w:snapToGrid w:val="0"/>
                <w:color w:val="000000" w:themeColor="text1"/>
                <w:spacing w:val="0"/>
                <w:kern w:val="0"/>
                <w14:textFill>
                  <w14:solidFill>
                    <w14:schemeClr w14:val="tx1"/>
                  </w14:solidFill>
                </w14:textFill>
              </w:rPr>
            </w:pPr>
            <w:r>
              <w:rPr>
                <w:rFonts w:hint="default" w:ascii="Times New Roman" w:hAnsi="Times New Roman" w:eastAsia="宋体" w:cs="Times New Roman"/>
                <w:b w:val="0"/>
                <w:snapToGrid w:val="0"/>
                <w:color w:val="000000" w:themeColor="text1"/>
                <w:spacing w:val="0"/>
                <w:kern w:val="0"/>
                <w:szCs w:val="21"/>
                <w14:textFill>
                  <w14:solidFill>
                    <w14:schemeClr w14:val="tx1"/>
                  </w14:solidFill>
                </w14:textFill>
              </w:rPr>
              <w:t>6、制定合格的安全技术专项方案。</w:t>
            </w:r>
          </w:p>
        </w:tc>
      </w:tr>
      <w:tr w14:paraId="4F7052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82952C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1F52EC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五、起重伤害</w:t>
            </w:r>
          </w:p>
        </w:tc>
      </w:tr>
      <w:tr w14:paraId="69A75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5D67AD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F1CE7D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起重事故</w:t>
            </w:r>
          </w:p>
        </w:tc>
      </w:tr>
      <w:tr w14:paraId="6DDB6D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4C7C18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7BC1C7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起重作业时操作失误，安全措施不到位，设备本身存在故障缺陷</w:t>
            </w:r>
          </w:p>
        </w:tc>
      </w:tr>
      <w:tr w14:paraId="1A941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B80C76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90D82F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脱钩，断线</w:t>
            </w:r>
          </w:p>
        </w:tc>
      </w:tr>
      <w:tr w14:paraId="301297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A6574C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9DAD29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1、违反操作规程；</w:t>
            </w:r>
          </w:p>
          <w:p w14:paraId="71DD675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2、设备故障；</w:t>
            </w:r>
          </w:p>
          <w:p w14:paraId="31BC1E4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3、不良环境。</w:t>
            </w:r>
          </w:p>
        </w:tc>
      </w:tr>
      <w:tr w14:paraId="601641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151226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04E1B9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人员伤亡</w:t>
            </w:r>
          </w:p>
        </w:tc>
      </w:tr>
      <w:tr w14:paraId="0649EB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2BC600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A5BE2B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宋体" w:hAnsi="宋体" w:eastAsia="宋体" w:cs="宋体"/>
                <w:snapToGrid w:val="0"/>
                <w:color w:val="000000" w:themeColor="text1"/>
                <w:spacing w:val="0"/>
                <w:kern w:val="0"/>
                <w:sz w:val="21"/>
                <w:szCs w:val="21"/>
                <w14:textFill>
                  <w14:solidFill>
                    <w14:schemeClr w14:val="tx1"/>
                  </w14:solidFill>
                </w14:textFill>
              </w:rPr>
              <w:t>Ⅱ</w:t>
            </w:r>
          </w:p>
        </w:tc>
      </w:tr>
      <w:tr w14:paraId="3E80DB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B02726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D9E878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1、制定相应的操作规程并严格执行，加强起重作业现场管理，加强对作业人员的安全教育；</w:t>
            </w:r>
          </w:p>
          <w:p w14:paraId="4997E938">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2、作业前应先对设备进行检测，使用具有合格检测报告的正规生产厂家的起重设备；</w:t>
            </w:r>
          </w:p>
          <w:p w14:paraId="50B97C83">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textAlignment w:val="center"/>
              <w:rPr>
                <w:rFonts w:hint="default" w:ascii="Times New Roman" w:hAnsi="Times New Roman" w:eastAsia="宋体" w:cs="Times New Roman"/>
                <w:snapToGrid w:val="0"/>
                <w:color w:val="000000" w:themeColor="text1"/>
                <w:spacing w:val="0"/>
                <w:kern w:val="0"/>
                <w14:textFill>
                  <w14:solidFill>
                    <w14:schemeClr w14:val="tx1"/>
                  </w14:solidFill>
                </w14:textFill>
              </w:rPr>
            </w:pPr>
            <w:r>
              <w:rPr>
                <w:rFonts w:hint="default" w:ascii="Times New Roman" w:hAnsi="Times New Roman" w:eastAsia="宋体" w:cs="Times New Roman"/>
                <w:b w:val="0"/>
                <w:bCs/>
                <w:snapToGrid w:val="0"/>
                <w:color w:val="000000" w:themeColor="text1"/>
                <w:spacing w:val="0"/>
                <w:kern w:val="0"/>
                <w14:textFill>
                  <w14:solidFill>
                    <w14:schemeClr w14:val="tx1"/>
                  </w14:solidFill>
                </w14:textFill>
              </w:rPr>
              <w:t>3、起重作业时应确保不存在不良环境下进行。</w:t>
            </w:r>
          </w:p>
        </w:tc>
      </w:tr>
      <w:tr w14:paraId="003FA4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EDF5CE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D0FEE4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六、物体打击</w:t>
            </w:r>
          </w:p>
        </w:tc>
      </w:tr>
      <w:tr w14:paraId="46DF8C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A0A29A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61B7C4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物体打击</w:t>
            </w:r>
          </w:p>
        </w:tc>
      </w:tr>
      <w:tr w14:paraId="642BEA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6FF552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CC7D8B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坠落物体击中人体</w:t>
            </w:r>
          </w:p>
        </w:tc>
      </w:tr>
      <w:tr w14:paraId="7F7211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9CA1B2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F444278">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物体坠落或飞出</w:t>
            </w:r>
          </w:p>
        </w:tc>
      </w:tr>
      <w:tr w14:paraId="70D9F3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8F3D6F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5FA9FE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1、未戴安全帽；</w:t>
            </w:r>
          </w:p>
          <w:p w14:paraId="5BC5847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2、起重或高处作业区域行进、停留；</w:t>
            </w:r>
          </w:p>
          <w:p w14:paraId="3E05690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3、在高处有浮物或设施不牢，即将倒塌的地方行进或停留；</w:t>
            </w:r>
          </w:p>
          <w:p w14:paraId="755656E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4、吊具缺陷严重</w:t>
            </w:r>
            <w: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如因吊具磨损而强度不够、吊索选用不当等</w:t>
            </w:r>
            <w: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w:t>
            </w:r>
          </w:p>
        </w:tc>
      </w:tr>
      <w:tr w14:paraId="2BA124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B06D34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CE536D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人员伤亡</w:t>
            </w:r>
          </w:p>
        </w:tc>
      </w:tr>
      <w:tr w14:paraId="71F721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E130FB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E1469D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宋体" w:hAnsi="宋体" w:eastAsia="宋体" w:cs="宋体"/>
                <w:snapToGrid w:val="0"/>
                <w:color w:val="000000" w:themeColor="text1"/>
                <w:spacing w:val="0"/>
                <w:kern w:val="0"/>
                <w:sz w:val="21"/>
                <w:szCs w:val="21"/>
                <w14:textFill>
                  <w14:solidFill>
                    <w14:schemeClr w14:val="tx1"/>
                  </w14:solidFill>
                </w14:textFill>
              </w:rPr>
              <w:t>Ⅱ</w:t>
            </w:r>
          </w:p>
        </w:tc>
      </w:tr>
      <w:tr w14:paraId="7BE359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D99F03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815E3A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l、高处需要的物件必须合理摆放并固定牢靠；</w:t>
            </w:r>
          </w:p>
          <w:p w14:paraId="2AB9370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2、及时清除、加固可能倒塌的设施；</w:t>
            </w:r>
          </w:p>
          <w:p w14:paraId="5A285B1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3、保证检修作业场所、吊装场所有足够的空间；</w:t>
            </w:r>
          </w:p>
          <w:p w14:paraId="77C3BDE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4、堆垛要齐、稳、牢；</w:t>
            </w:r>
          </w:p>
          <w:p w14:paraId="39895BD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5、严禁上下抛接检修工具、螺栓等物件；</w:t>
            </w:r>
          </w:p>
          <w:p w14:paraId="0DF69A8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6、设立警示标志；</w:t>
            </w:r>
          </w:p>
          <w:p w14:paraId="30642E3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7、加强对员工的安全意识教育，杜绝“三违”；</w:t>
            </w:r>
          </w:p>
          <w:p w14:paraId="6D24571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8、加强防止物体打击的检查和安全管理工作</w:t>
            </w:r>
          </w:p>
          <w:p w14:paraId="2D8B22B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b/>
                <w:snapToGrid w:val="0"/>
                <w:color w:val="000000" w:themeColor="text1"/>
                <w:spacing w:val="0"/>
                <w:kern w:val="0"/>
                <w:sz w:val="21"/>
                <w:szCs w:val="44"/>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9、作业人员、进入现场的其他人员都应穿戴必要的防护用品，特别是安全帽。</w:t>
            </w:r>
          </w:p>
        </w:tc>
      </w:tr>
      <w:tr w14:paraId="315C74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E3A7F1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3A8453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七、高处坠落</w:t>
            </w:r>
          </w:p>
        </w:tc>
      </w:tr>
      <w:tr w14:paraId="4C03DA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24AEFA3">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C2B279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进行登高检查、检修等作业</w:t>
            </w:r>
          </w:p>
        </w:tc>
      </w:tr>
      <w:tr w14:paraId="2D3711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5A2E383">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7DB6EB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1、梯子无防滑措施，或强度不够、固定不牢造成跌落；</w:t>
            </w:r>
          </w:p>
          <w:p w14:paraId="7A44602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2、管线架桥及护栏等缺失或锈蚀，强度不够造成坠落；</w:t>
            </w:r>
          </w:p>
          <w:p w14:paraId="6ECF783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3、防护用品穿戴不当，造成滑跌坠落；</w:t>
            </w:r>
          </w:p>
          <w:p w14:paraId="05AB254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4、在大风、暴雨、雷电、霜冻、积雪条件下登高作业，不慎跌落；</w:t>
            </w:r>
          </w:p>
          <w:p w14:paraId="576AB52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5、身体不适造成跌落；</w:t>
            </w:r>
          </w:p>
          <w:p w14:paraId="1581B64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6、作业时嬉戏打闹。</w:t>
            </w:r>
          </w:p>
        </w:tc>
      </w:tr>
      <w:tr w14:paraId="41D4B9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40B5A3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F4B5A9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二米以上高处作业；作业面下是设备或硬质地面。</w:t>
            </w:r>
          </w:p>
        </w:tc>
      </w:tr>
      <w:tr w14:paraId="6589D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35A041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6CE6D9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1、未戴安全帽；</w:t>
            </w:r>
          </w:p>
          <w:p w14:paraId="6C5DEAF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2、起重或高处作业区域行进、停留；</w:t>
            </w:r>
          </w:p>
          <w:p w14:paraId="468701E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3、在高处有浮物或设施不牢，即将倒塌的地方行进或停留；</w:t>
            </w:r>
          </w:p>
          <w:p w14:paraId="47F10E18">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4、吊具缺陷严重</w:t>
            </w:r>
            <w: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如因吊具磨损而强度不够、吊索选用不当等</w:t>
            </w:r>
            <w: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w:t>
            </w:r>
          </w:p>
        </w:tc>
      </w:tr>
      <w:tr w14:paraId="0B7D65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EF8338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319852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人员伤亡</w:t>
            </w:r>
          </w:p>
        </w:tc>
      </w:tr>
      <w:tr w14:paraId="5D34D2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767A1C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F20431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eastAsia" w:ascii="宋体" w:hAnsi="宋体" w:eastAsia="宋体" w:cs="宋体"/>
                <w:snapToGrid w:val="0"/>
                <w:color w:val="000000" w:themeColor="text1"/>
                <w:spacing w:val="0"/>
                <w:kern w:val="0"/>
                <w:sz w:val="21"/>
                <w:szCs w:val="21"/>
                <w14:textFill>
                  <w14:solidFill>
                    <w14:schemeClr w14:val="tx1"/>
                  </w14:solidFill>
                </w14:textFill>
              </w:rPr>
              <w:t>Ⅱ</w:t>
            </w:r>
          </w:p>
        </w:tc>
      </w:tr>
      <w:tr w14:paraId="314A5C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92ECAE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C5B84F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1、登高作业人员必须在身心健康状态下登高作业，必须严格执行“十不登高”；</w:t>
            </w:r>
          </w:p>
          <w:p w14:paraId="1799BB38">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2、登高作业人员必须穿戴防滑鞋、紧身工作服、安全帽，系好安全带；</w:t>
            </w:r>
          </w:p>
          <w:p w14:paraId="2437B10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3、按规定搭设脚手架等安全设施；</w:t>
            </w:r>
          </w:p>
          <w:p w14:paraId="12FFF38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 xml:space="preserve">4、安全带、安全网、栏杆、护墙、平台要定期检查确保完好； </w:t>
            </w:r>
          </w:p>
          <w:p w14:paraId="4D9E04C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5、六级以上大风天气不安排高处作业，暴雨、雷电、霜冻、大雾、积雪等恶劣气候条件下尽可能避免高处作业；</w:t>
            </w:r>
          </w:p>
          <w:p w14:paraId="5F5AD61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6、可以在地面做的作业，尽量不要安排在高处做，即“尽可能高处作业平地做”</w:t>
            </w:r>
          </w:p>
          <w:p w14:paraId="5D544F9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7、加强对登高作业人员的安全教育、培训、考核工作；</w:t>
            </w:r>
          </w:p>
          <w:p w14:paraId="03887AD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b/>
                <w:snapToGrid w:val="0"/>
                <w:color w:val="000000" w:themeColor="text1"/>
                <w:spacing w:val="0"/>
                <w:kern w:val="0"/>
                <w:sz w:val="21"/>
                <w:szCs w:val="44"/>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8、坚决杜绝登高作业中的“三违”。</w:t>
            </w:r>
          </w:p>
        </w:tc>
      </w:tr>
      <w:tr w14:paraId="10F434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316E46D">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0437F87">
            <w:pPr>
              <w:widowControl w:val="0"/>
              <w:wordWrap w:val="0"/>
              <w:bidi w:val="0"/>
              <w:spacing w:after="0" w:line="240" w:lineRule="auto"/>
              <w:ind w:firstLine="0" w:firstLineChars="0"/>
              <w:jc w:val="both"/>
              <w:textAlignment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t>八</w:t>
            </w:r>
            <w:r>
              <w:rPr>
                <w:rFonts w:hint="eastAsia" w:ascii="Times New Roman" w:hAnsi="Times New Roman" w:eastAsia="宋体" w:cs="Times New Roman"/>
                <w:b/>
                <w:bCs/>
                <w:color w:val="000000" w:themeColor="text1"/>
                <w:kern w:val="0"/>
                <w:sz w:val="21"/>
                <w:szCs w:val="21"/>
                <w14:textFill>
                  <w14:solidFill>
                    <w14:schemeClr w14:val="tx1"/>
                  </w14:solidFill>
                </w14:textFill>
              </w:rPr>
              <w:t>、火灾</w:t>
            </w:r>
            <w: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t>爆炸</w:t>
            </w:r>
          </w:p>
        </w:tc>
      </w:tr>
      <w:tr w14:paraId="307177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0C9C0FB">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9E7D2E3">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易燃易爆化学品气瓶、</w:t>
            </w:r>
            <w:r>
              <w:rPr>
                <w:rFonts w:hint="eastAsia" w:ascii="Times New Roman" w:hAnsi="Times New Roman" w:eastAsia="宋体" w:cs="Times New Roman"/>
                <w:color w:val="000000" w:themeColor="text1"/>
                <w:sz w:val="21"/>
                <w:szCs w:val="21"/>
                <w14:textFill>
                  <w14:solidFill>
                    <w14:schemeClr w14:val="tx1"/>
                  </w14:solidFill>
                </w14:textFill>
              </w:rPr>
              <w:t>可燃物质起火，电气火灾</w:t>
            </w:r>
          </w:p>
        </w:tc>
      </w:tr>
      <w:tr w14:paraId="129571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9378AC5">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89912AB">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14:textFill>
                  <w14:solidFill>
                    <w14:schemeClr w14:val="tx1"/>
                  </w14:solidFill>
                </w14:textFill>
              </w:rPr>
              <w:t>1</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ascii="Times New Roman" w:hAnsi="Times New Roman" w:eastAsia="宋体" w:cs="Times New Roman"/>
                <w:color w:val="000000" w:themeColor="text1"/>
                <w:kern w:val="0"/>
                <w:sz w:val="21"/>
                <w:szCs w:val="21"/>
                <w14:textFill>
                  <w14:solidFill>
                    <w14:schemeClr w14:val="tx1"/>
                  </w14:solidFill>
                </w14:textFill>
              </w:rPr>
              <w:t>用电管理不善，引发电气火灾；</w:t>
            </w:r>
          </w:p>
          <w:p w14:paraId="07F7FD3A">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2</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ascii="Times New Roman" w:hAnsi="Times New Roman" w:eastAsia="宋体" w:cs="Times New Roman"/>
                <w:color w:val="000000" w:themeColor="text1"/>
                <w:kern w:val="0"/>
                <w:sz w:val="21"/>
                <w:szCs w:val="21"/>
                <w14:textFill>
                  <w14:solidFill>
                    <w14:schemeClr w14:val="tx1"/>
                  </w14:solidFill>
                </w14:textFill>
              </w:rPr>
              <w:t>火源管理不善，引发火灾；</w:t>
            </w:r>
          </w:p>
          <w:p w14:paraId="285E321B">
            <w:pPr>
              <w:widowControl w:val="0"/>
              <w:wordWrap w:val="0"/>
              <w:bidi w:val="0"/>
              <w:spacing w:after="0" w:line="240" w:lineRule="auto"/>
              <w:ind w:firstLine="0" w:firstLineChars="0"/>
              <w:jc w:val="both"/>
              <w:textAlignment w:val="center"/>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3</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ascii="Times New Roman" w:hAnsi="Times New Roman" w:eastAsia="宋体" w:cs="Times New Roman"/>
                <w:color w:val="000000" w:themeColor="text1"/>
                <w:kern w:val="0"/>
                <w:sz w:val="21"/>
                <w:szCs w:val="21"/>
                <w14:textFill>
                  <w14:solidFill>
                    <w14:schemeClr w14:val="tx1"/>
                  </w14:solidFill>
                </w14:textFill>
              </w:rPr>
              <w:t>防火管理措施不严，存在明火、明电</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p>
          <w:p w14:paraId="2642E3C3">
            <w:pPr>
              <w:widowControl w:val="0"/>
              <w:wordWrap w:val="0"/>
              <w:bidi w:val="0"/>
              <w:spacing w:after="0" w:line="240" w:lineRule="auto"/>
              <w:ind w:firstLine="0" w:firstLineChars="0"/>
              <w:jc w:val="both"/>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4、电气焊作业时气瓶泄露，作业时操作不当引发附近可燃物起火。</w:t>
            </w:r>
          </w:p>
        </w:tc>
      </w:tr>
      <w:tr w14:paraId="0B621A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D7C8464">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14:textFill>
                  <w14:solidFill>
                    <w14:schemeClr w14:val="tx1"/>
                  </w14:solidFill>
                </w14:textFill>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A34ED8B">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14:textFill>
                  <w14:solidFill>
                    <w14:schemeClr w14:val="tx1"/>
                  </w14:solidFill>
                </w14:textFill>
              </w:rPr>
              <w:t>电线短路、</w:t>
            </w:r>
            <w:r>
              <w:rPr>
                <w:rFonts w:ascii="Times New Roman" w:hAnsi="Times New Roman" w:eastAsia="宋体" w:cs="Times New Roman"/>
                <w:color w:val="000000" w:themeColor="text1"/>
                <w:kern w:val="0"/>
                <w:sz w:val="21"/>
                <w:szCs w:val="21"/>
                <w14:textFill>
                  <w14:solidFill>
                    <w14:schemeClr w14:val="tx1"/>
                  </w14:solidFill>
                </w14:textFill>
              </w:rPr>
              <w:t>作业人员安全意识淡薄。</w:t>
            </w:r>
          </w:p>
        </w:tc>
      </w:tr>
      <w:tr w14:paraId="400518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B4B9279">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14:textFill>
                  <w14:solidFill>
                    <w14:schemeClr w14:val="tx1"/>
                  </w14:solidFill>
                </w14:textFill>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BB2C4F3">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1、</w:t>
            </w:r>
            <w:r>
              <w:rPr>
                <w:rFonts w:hint="eastAsia" w:ascii="Times New Roman" w:hAnsi="Times New Roman" w:eastAsia="宋体" w:cs="Times New Roman"/>
                <w:color w:val="000000" w:themeColor="text1"/>
                <w:kern w:val="0"/>
                <w:sz w:val="21"/>
                <w:szCs w:val="21"/>
                <w14:textFill>
                  <w14:solidFill>
                    <w14:schemeClr w14:val="tx1"/>
                  </w14:solidFill>
                </w14:textFill>
              </w:rPr>
              <w:t>设备电线短路引发电气火灾</w:t>
            </w:r>
          </w:p>
          <w:p w14:paraId="0647C953">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2、作业人员</w:t>
            </w:r>
            <w:r>
              <w:rPr>
                <w:rFonts w:hint="eastAsia" w:ascii="Times New Roman" w:hAnsi="Times New Roman" w:eastAsia="宋体" w:cs="Times New Roman"/>
                <w:color w:val="000000" w:themeColor="text1"/>
                <w:kern w:val="0"/>
                <w:sz w:val="21"/>
                <w:szCs w:val="21"/>
                <w14:textFill>
                  <w14:solidFill>
                    <w14:schemeClr w14:val="tx1"/>
                  </w14:solidFill>
                </w14:textFill>
              </w:rPr>
              <w:t>防火</w:t>
            </w:r>
            <w:r>
              <w:rPr>
                <w:rFonts w:ascii="Times New Roman" w:hAnsi="Times New Roman" w:eastAsia="宋体" w:cs="Times New Roman"/>
                <w:color w:val="000000" w:themeColor="text1"/>
                <w:kern w:val="0"/>
                <w:sz w:val="21"/>
                <w:szCs w:val="21"/>
                <w14:textFill>
                  <w14:solidFill>
                    <w14:schemeClr w14:val="tx1"/>
                  </w14:solidFill>
                </w14:textFill>
              </w:rPr>
              <w:t>安全意识淡薄。</w:t>
            </w:r>
          </w:p>
          <w:p w14:paraId="0863C71A">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14:textFill>
                  <w14:solidFill>
                    <w14:schemeClr w14:val="tx1"/>
                  </w14:solidFill>
                </w14:textFill>
              </w:rPr>
              <w:t>3</w:t>
            </w:r>
            <w:r>
              <w:rPr>
                <w:rFonts w:ascii="Times New Roman" w:hAnsi="Times New Roman" w:eastAsia="宋体" w:cs="Times New Roman"/>
                <w:color w:val="000000" w:themeColor="text1"/>
                <w:kern w:val="0"/>
                <w:sz w:val="21"/>
                <w:szCs w:val="21"/>
                <w14:textFill>
                  <w14:solidFill>
                    <w14:schemeClr w14:val="tx1"/>
                  </w14:solidFill>
                </w14:textFill>
              </w:rPr>
              <w:t>、违章</w:t>
            </w:r>
            <w:r>
              <w:rPr>
                <w:rFonts w:hint="eastAsia" w:ascii="Times New Roman" w:hAnsi="Times New Roman" w:eastAsia="宋体" w:cs="Times New Roman"/>
                <w:color w:val="000000" w:themeColor="text1"/>
                <w:kern w:val="0"/>
                <w:sz w:val="21"/>
                <w:szCs w:val="21"/>
                <w14:textFill>
                  <w14:solidFill>
                    <w14:schemeClr w14:val="tx1"/>
                  </w14:solidFill>
                </w14:textFill>
              </w:rPr>
              <w:t>动火</w:t>
            </w:r>
            <w:r>
              <w:rPr>
                <w:rFonts w:ascii="Times New Roman" w:hAnsi="Times New Roman" w:eastAsia="宋体" w:cs="Times New Roman"/>
                <w:color w:val="000000" w:themeColor="text1"/>
                <w:kern w:val="0"/>
                <w:sz w:val="21"/>
                <w:szCs w:val="21"/>
                <w14:textFill>
                  <w14:solidFill>
                    <w14:schemeClr w14:val="tx1"/>
                  </w14:solidFill>
                </w14:textFill>
              </w:rPr>
              <w:t>作业。</w:t>
            </w:r>
          </w:p>
          <w:p w14:paraId="488C3BE5">
            <w:pPr>
              <w:widowControl w:val="0"/>
              <w:wordWrap w:val="0"/>
              <w:bidi w:val="0"/>
              <w:spacing w:after="0" w:line="240" w:lineRule="auto"/>
              <w:ind w:firstLine="0" w:firstLineChars="0"/>
              <w:jc w:val="both"/>
              <w:textAlignment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14:textFill>
                  <w14:solidFill>
                    <w14:schemeClr w14:val="tx1"/>
                  </w14:solidFill>
                </w14:textFill>
              </w:rPr>
              <w:t>4</w:t>
            </w:r>
            <w:r>
              <w:rPr>
                <w:rFonts w:ascii="Times New Roman" w:hAnsi="Times New Roman" w:eastAsia="宋体" w:cs="Times New Roman"/>
                <w:color w:val="000000" w:themeColor="text1"/>
                <w:kern w:val="0"/>
                <w:sz w:val="21"/>
                <w:szCs w:val="21"/>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可燃</w:t>
            </w:r>
            <w:r>
              <w:rPr>
                <w:rFonts w:hint="eastAsia" w:ascii="Times New Roman" w:hAnsi="Times New Roman" w:eastAsia="宋体" w:cs="Times New Roman"/>
                <w:color w:val="000000" w:themeColor="text1"/>
                <w:kern w:val="0"/>
                <w:sz w:val="21"/>
                <w:szCs w:val="21"/>
                <w14:textFill>
                  <w14:solidFill>
                    <w14:schemeClr w14:val="tx1"/>
                  </w14:solidFill>
                </w14:textFill>
              </w:rPr>
              <w:t>物质</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泄露</w:t>
            </w:r>
            <w:r>
              <w:rPr>
                <w:rFonts w:hint="eastAsia" w:ascii="Times New Roman" w:hAnsi="Times New Roman" w:eastAsia="宋体" w:cs="Times New Roman"/>
                <w:color w:val="000000" w:themeColor="text1"/>
                <w:kern w:val="0"/>
                <w:sz w:val="21"/>
                <w:szCs w:val="21"/>
                <w14:textFill>
                  <w14:solidFill>
                    <w14:schemeClr w14:val="tx1"/>
                  </w14:solidFill>
                </w14:textFill>
              </w:rPr>
              <w:t>被点燃引发火灾</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爆炸</w:t>
            </w:r>
          </w:p>
        </w:tc>
      </w:tr>
      <w:tr w14:paraId="270CA5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D4B24D8">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14:textFill>
                  <w14:solidFill>
                    <w14:schemeClr w14:val="tx1"/>
                  </w14:solidFill>
                </w14:textFill>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3094605">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人员伤亡财产损失</w:t>
            </w:r>
          </w:p>
        </w:tc>
      </w:tr>
      <w:tr w14:paraId="47214A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1502837">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14:textFill>
                  <w14:solidFill>
                    <w14:schemeClr w14:val="tx1"/>
                  </w14:solidFill>
                </w14:textFill>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3B7B7B3">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spacing w:val="0"/>
                <w:kern w:val="0"/>
                <w:sz w:val="21"/>
                <w:szCs w:val="21"/>
                <w14:textFill>
                  <w14:solidFill>
                    <w14:schemeClr w14:val="tx1"/>
                  </w14:solidFill>
                </w14:textFill>
              </w:rPr>
              <w:t>Ⅱ</w:t>
            </w:r>
          </w:p>
        </w:tc>
      </w:tr>
      <w:tr w14:paraId="612FD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F6D52D5">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000000" w:themeColor="text1"/>
                <w:kern w:val="0"/>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47FF600">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1</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ascii="Times New Roman" w:hAnsi="Times New Roman" w:eastAsia="宋体" w:cs="Times New Roman"/>
                <w:color w:val="000000" w:themeColor="text1"/>
                <w:kern w:val="0"/>
                <w:sz w:val="21"/>
                <w:szCs w:val="21"/>
                <w14:textFill>
                  <w14:solidFill>
                    <w14:schemeClr w14:val="tx1"/>
                  </w14:solidFill>
                </w14:textFill>
              </w:rPr>
              <w:t>加强用电管理，杜绝电气火源；</w:t>
            </w:r>
          </w:p>
          <w:p w14:paraId="0253512B">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2</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ascii="Times New Roman" w:hAnsi="Times New Roman" w:eastAsia="宋体" w:cs="Times New Roman"/>
                <w:color w:val="000000" w:themeColor="text1"/>
                <w:kern w:val="0"/>
                <w:sz w:val="21"/>
                <w:szCs w:val="21"/>
                <w14:textFill>
                  <w14:solidFill>
                    <w14:schemeClr w14:val="tx1"/>
                  </w14:solidFill>
                </w14:textFill>
              </w:rPr>
              <w:t>加强动火作业</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管理</w:t>
            </w:r>
            <w:r>
              <w:rPr>
                <w:rFonts w:ascii="Times New Roman" w:hAnsi="Times New Roman" w:eastAsia="宋体" w:cs="Times New Roman"/>
                <w:color w:val="000000" w:themeColor="text1"/>
                <w:kern w:val="0"/>
                <w:sz w:val="21"/>
                <w:szCs w:val="21"/>
                <w14:textFill>
                  <w14:solidFill>
                    <w14:schemeClr w14:val="tx1"/>
                  </w14:solidFill>
                </w14:textFill>
              </w:rPr>
              <w:t>，动火作业必须制定安全措施和防火措施；</w:t>
            </w:r>
          </w:p>
          <w:p w14:paraId="14ABAFAF">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3</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ascii="Times New Roman" w:hAnsi="Times New Roman" w:eastAsia="宋体" w:cs="Times New Roman"/>
                <w:color w:val="000000" w:themeColor="text1"/>
                <w:kern w:val="0"/>
                <w:sz w:val="21"/>
                <w:szCs w:val="21"/>
                <w14:textFill>
                  <w14:solidFill>
                    <w14:schemeClr w14:val="tx1"/>
                  </w14:solidFill>
                </w14:textFill>
              </w:rPr>
              <w:t>加强对明火等火源管理；</w:t>
            </w:r>
          </w:p>
          <w:p w14:paraId="3E5D4688">
            <w:pPr>
              <w:widowControl w:val="0"/>
              <w:wordWrap w:val="0"/>
              <w:bidi w:val="0"/>
              <w:spacing w:after="0" w:line="240" w:lineRule="auto"/>
              <w:ind w:firstLine="0" w:firstLineChars="0"/>
              <w:jc w:val="both"/>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4</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ascii="Times New Roman" w:hAnsi="Times New Roman" w:eastAsia="宋体" w:cs="Times New Roman"/>
                <w:color w:val="000000" w:themeColor="text1"/>
                <w:kern w:val="0"/>
                <w:sz w:val="21"/>
                <w:szCs w:val="21"/>
                <w14:textFill>
                  <w14:solidFill>
                    <w14:schemeClr w14:val="tx1"/>
                  </w14:solidFill>
                </w14:textFill>
              </w:rPr>
              <w:t>加强对可燃物储存</w:t>
            </w:r>
            <w:r>
              <w:rPr>
                <w:rFonts w:hint="eastAsia" w:ascii="Times New Roman" w:hAnsi="Times New Roman" w:eastAsia="宋体" w:cs="Times New Roman"/>
                <w:color w:val="000000" w:themeColor="text1"/>
                <w:kern w:val="0"/>
                <w:sz w:val="21"/>
                <w:szCs w:val="21"/>
                <w14:textFill>
                  <w14:solidFill>
                    <w14:schemeClr w14:val="tx1"/>
                  </w14:solidFill>
                </w14:textFill>
              </w:rPr>
              <w:t>区域</w:t>
            </w:r>
            <w:r>
              <w:rPr>
                <w:rFonts w:ascii="Times New Roman" w:hAnsi="Times New Roman" w:eastAsia="宋体" w:cs="Times New Roman"/>
                <w:color w:val="000000" w:themeColor="text1"/>
                <w:kern w:val="0"/>
                <w:sz w:val="21"/>
                <w:szCs w:val="21"/>
                <w14:textFill>
                  <w14:solidFill>
                    <w14:schemeClr w14:val="tx1"/>
                  </w14:solidFill>
                </w14:textFill>
              </w:rPr>
              <w:t>的消防管理，可燃物储存</w:t>
            </w:r>
            <w:r>
              <w:rPr>
                <w:rFonts w:hint="eastAsia" w:ascii="Times New Roman" w:hAnsi="Times New Roman" w:eastAsia="宋体" w:cs="Times New Roman"/>
                <w:color w:val="000000" w:themeColor="text1"/>
                <w:kern w:val="0"/>
                <w:sz w:val="21"/>
                <w:szCs w:val="21"/>
                <w14:textFill>
                  <w14:solidFill>
                    <w14:schemeClr w14:val="tx1"/>
                  </w14:solidFill>
                </w14:textFill>
              </w:rPr>
              <w:t>区域</w:t>
            </w:r>
            <w:r>
              <w:rPr>
                <w:rFonts w:ascii="Times New Roman" w:hAnsi="Times New Roman" w:eastAsia="宋体" w:cs="Times New Roman"/>
                <w:color w:val="000000" w:themeColor="text1"/>
                <w:kern w:val="0"/>
                <w:sz w:val="21"/>
                <w:szCs w:val="21"/>
                <w14:textFill>
                  <w14:solidFill>
                    <w14:schemeClr w14:val="tx1"/>
                  </w14:solidFill>
                </w14:textFill>
              </w:rPr>
              <w:t>及附近不得有明火、明电，配备相应的灭火器材。</w:t>
            </w:r>
          </w:p>
        </w:tc>
      </w:tr>
    </w:tbl>
    <w:p w14:paraId="4FC0C106">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评估结论：赣州市污水处理有限公司赣州市中心城区生活污水处理厂网一体化（一期）经开区污水管网完善工程车头路多功能微顶管施工</w:t>
      </w:r>
      <w:r>
        <w:rPr>
          <w:rFonts w:hint="eastAsia"/>
          <w:color w:val="000000" w:themeColor="text1"/>
          <w:lang w:val="en-US" w:eastAsia="zh-CN"/>
          <w14:textFill>
            <w14:solidFill>
              <w14:schemeClr w14:val="tx1"/>
            </w14:solidFill>
          </w14:textFill>
        </w:rPr>
        <w:t>作业存在的</w:t>
      </w:r>
      <w:r>
        <w:rPr>
          <w:rFonts w:hint="default"/>
          <w:color w:val="000000" w:themeColor="text1"/>
          <w:lang w:val="en-US" w:eastAsia="zh-CN"/>
          <w14:textFill>
            <w14:solidFill>
              <w14:schemeClr w14:val="tx1"/>
            </w14:solidFill>
          </w14:textFill>
        </w:rPr>
        <w:t>机械伤害、车辆伤害、触电、坍塌、起重伤害、物体打击、高处坠落以及火灾爆炸等危险等级均为</w:t>
      </w:r>
      <w:r>
        <w:rPr>
          <w:rFonts w:hint="default" w:ascii="Times New Roman" w:hAnsi="Times New Roman" w:cs="Times New Roman"/>
          <w:color w:val="000000" w:themeColor="text1"/>
          <w:lang w:val="en-US" w:eastAsia="zh-CN"/>
          <w14:textFill>
            <w14:solidFill>
              <w14:schemeClr w14:val="tx1"/>
            </w14:solidFill>
          </w14:textFill>
        </w:rPr>
        <w:t>Ⅱ</w:t>
      </w:r>
      <w:r>
        <w:rPr>
          <w:rFonts w:hint="default"/>
          <w:color w:val="000000" w:themeColor="text1"/>
          <w:lang w:val="en-US" w:eastAsia="zh-CN"/>
          <w14:textFill>
            <w14:solidFill>
              <w14:schemeClr w14:val="tx1"/>
            </w14:solidFill>
          </w14:textFill>
        </w:rPr>
        <w:t>级。</w:t>
      </w:r>
    </w:p>
    <w:p w14:paraId="11466981">
      <w:pPr>
        <w:pStyle w:val="3"/>
        <w:bidi w:val="0"/>
        <w:rPr>
          <w:rFonts w:hint="default"/>
          <w:color w:val="000000" w:themeColor="text1"/>
          <w:lang w:val="en-US" w:eastAsia="zh-CN"/>
          <w14:textFill>
            <w14:solidFill>
              <w14:schemeClr w14:val="tx1"/>
            </w14:solidFill>
          </w14:textFill>
        </w:rPr>
      </w:pPr>
      <w:bookmarkStart w:id="88" w:name="_Toc20219"/>
      <w:r>
        <w:rPr>
          <w:rFonts w:hint="default"/>
          <w:color w:val="000000" w:themeColor="text1"/>
          <w:lang w:val="en-US" w:eastAsia="zh-CN"/>
          <w14:textFill>
            <w14:solidFill>
              <w14:schemeClr w14:val="tx1"/>
            </w14:solidFill>
          </w14:textFill>
        </w:rPr>
        <w:t>5.2 安全检查表分析法评估</w:t>
      </w:r>
      <w:bookmarkEnd w:id="88"/>
    </w:p>
    <w:p w14:paraId="7227E2DA">
      <w:pPr>
        <w:pStyle w:val="4"/>
        <w:bidi w:val="0"/>
        <w:rPr>
          <w:color w:val="000000" w:themeColor="text1"/>
          <w:lang w:val="en-US" w:eastAsia="zh-CN"/>
          <w14:textFill>
            <w14:solidFill>
              <w14:schemeClr w14:val="tx1"/>
            </w14:solidFill>
          </w14:textFill>
        </w:rPr>
      </w:pPr>
      <w:bookmarkStart w:id="89" w:name="_Toc22616"/>
      <w:bookmarkStart w:id="90" w:name="_Toc29271"/>
      <w:bookmarkStart w:id="91" w:name="_Toc409990189"/>
      <w:bookmarkStart w:id="92" w:name="_Toc322613565"/>
      <w:bookmarkStart w:id="93" w:name="_Toc25164"/>
      <w:r>
        <w:rPr>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2</w:t>
      </w:r>
      <w:r>
        <w:rPr>
          <w:color w:val="000000" w:themeColor="text1"/>
          <w:lang w:val="en-US" w:eastAsia="zh-CN"/>
          <w14:textFill>
            <w14:solidFill>
              <w14:schemeClr w14:val="tx1"/>
            </w14:solidFill>
          </w14:textFill>
        </w:rPr>
        <w:t xml:space="preserve">.1 </w:t>
      </w:r>
      <w:r>
        <w:rPr>
          <w:rFonts w:hint="eastAsia"/>
          <w:color w:val="000000" w:themeColor="text1"/>
          <w:lang w:val="en-US" w:eastAsia="zh-CN"/>
          <w14:textFill>
            <w14:solidFill>
              <w14:schemeClr w14:val="tx1"/>
            </w14:solidFill>
          </w14:textFill>
        </w:rPr>
        <w:t>施工项目法律法规</w:t>
      </w:r>
      <w:r>
        <w:rPr>
          <w:color w:val="000000" w:themeColor="text1"/>
          <w:lang w:val="en-US" w:eastAsia="zh-CN"/>
          <w14:textFill>
            <w14:solidFill>
              <w14:schemeClr w14:val="tx1"/>
            </w14:solidFill>
          </w14:textFill>
        </w:rPr>
        <w:t>符合性</w:t>
      </w:r>
      <w:bookmarkEnd w:id="89"/>
      <w:bookmarkEnd w:id="90"/>
      <w:bookmarkEnd w:id="91"/>
      <w:bookmarkEnd w:id="92"/>
      <w:bookmarkEnd w:id="93"/>
    </w:p>
    <w:p w14:paraId="7F4E71BE">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本项目工程在建设过程中，遵循相关程序和国家相关资质管理要求，建设程序法律法规符合性评估见表5-2。</w:t>
      </w:r>
    </w:p>
    <w:p w14:paraId="230607B4">
      <w:pPr>
        <w:bidi w:val="0"/>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表5-2 建设法律法规符合性评估检查表</w:t>
      </w:r>
    </w:p>
    <w:tbl>
      <w:tblPr>
        <w:tblStyle w:val="19"/>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2009"/>
        <w:gridCol w:w="5203"/>
        <w:gridCol w:w="1128"/>
      </w:tblGrid>
      <w:tr w14:paraId="501D5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4DC9CE80">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序号</w:t>
            </w:r>
          </w:p>
        </w:tc>
        <w:tc>
          <w:tcPr>
            <w:tcW w:w="2009" w:type="dxa"/>
            <w:noWrap w:val="0"/>
            <w:vAlign w:val="center"/>
          </w:tcPr>
          <w:p w14:paraId="2EE21AEF">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检查项目</w:t>
            </w:r>
          </w:p>
        </w:tc>
        <w:tc>
          <w:tcPr>
            <w:tcW w:w="5203" w:type="dxa"/>
            <w:noWrap w:val="0"/>
            <w:vAlign w:val="center"/>
          </w:tcPr>
          <w:p w14:paraId="2E916D03">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检查结果</w:t>
            </w:r>
          </w:p>
        </w:tc>
        <w:tc>
          <w:tcPr>
            <w:tcW w:w="1128" w:type="dxa"/>
            <w:noWrap w:val="0"/>
            <w:vAlign w:val="center"/>
          </w:tcPr>
          <w:p w14:paraId="013DA280">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检查结果</w:t>
            </w:r>
          </w:p>
        </w:tc>
      </w:tr>
      <w:tr w14:paraId="351DF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61D8EF63">
            <w:pPr>
              <w:widowControl w:val="0"/>
              <w:wordWrap w:val="0"/>
              <w:bidi w:val="0"/>
              <w:spacing w:after="0" w:line="240" w:lineRule="auto"/>
              <w:ind w:firstLine="0" w:firstLineChars="0"/>
              <w:jc w:val="center"/>
              <w:textAlignment w:val="center"/>
              <w:rPr>
                <w:rFonts w:hint="eastAsia" w:ascii="Times New Roman" w:hAnsi="Times New Roman" w:eastAsia="宋体" w:cs="Times New Roman"/>
                <w:snapToGrid w:val="0"/>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1</w:t>
            </w:r>
          </w:p>
        </w:tc>
        <w:tc>
          <w:tcPr>
            <w:tcW w:w="2009" w:type="dxa"/>
            <w:noWrap w:val="0"/>
            <w:vAlign w:val="center"/>
          </w:tcPr>
          <w:p w14:paraId="7191D096">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工程勘察单位</w:t>
            </w:r>
          </w:p>
        </w:tc>
        <w:tc>
          <w:tcPr>
            <w:tcW w:w="5203" w:type="dxa"/>
            <w:noWrap w:val="0"/>
            <w:vAlign w:val="center"/>
          </w:tcPr>
          <w:p w14:paraId="36B2262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江西核工业工程地质勘察院有限公司</w:t>
            </w:r>
          </w:p>
        </w:tc>
        <w:tc>
          <w:tcPr>
            <w:tcW w:w="1128" w:type="dxa"/>
            <w:noWrap w:val="0"/>
            <w:vAlign w:val="center"/>
          </w:tcPr>
          <w:p w14:paraId="15180C41">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p>
        </w:tc>
      </w:tr>
      <w:tr w14:paraId="75334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7607F8B1">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1</w:t>
            </w: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.1</w:t>
            </w:r>
          </w:p>
        </w:tc>
        <w:tc>
          <w:tcPr>
            <w:tcW w:w="2009" w:type="dxa"/>
            <w:noWrap w:val="0"/>
            <w:vAlign w:val="center"/>
          </w:tcPr>
          <w:p w14:paraId="036D5988">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勘察资质</w:t>
            </w:r>
          </w:p>
        </w:tc>
        <w:tc>
          <w:tcPr>
            <w:tcW w:w="5203" w:type="dxa"/>
            <w:noWrap w:val="0"/>
            <w:vAlign w:val="center"/>
          </w:tcPr>
          <w:p w14:paraId="09C700AB">
            <w:pPr>
              <w:widowControl w:val="0"/>
              <w:wordWrap w:val="0"/>
              <w:bidi w:val="0"/>
              <w:spacing w:after="0" w:line="240" w:lineRule="auto"/>
              <w:ind w:firstLine="0" w:firstLineChars="0"/>
              <w:jc w:val="center"/>
              <w:textAlignment w:val="center"/>
              <w:rPr>
                <w:rFonts w:hint="eastAsia" w:ascii="Times New Roman" w:hAnsi="Times New Roman" w:eastAsia="宋体" w:cs="Times New Roman"/>
                <w:snapToGrid w:val="0"/>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甲级</w:t>
            </w:r>
          </w:p>
        </w:tc>
        <w:tc>
          <w:tcPr>
            <w:tcW w:w="1128" w:type="dxa"/>
            <w:noWrap w:val="0"/>
            <w:vAlign w:val="center"/>
          </w:tcPr>
          <w:p w14:paraId="61D96004">
            <w:pPr>
              <w:widowControl w:val="0"/>
              <w:tabs>
                <w:tab w:val="center" w:pos="351"/>
              </w:tabs>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0FDFD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14440AE6">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1.2</w:t>
            </w:r>
          </w:p>
        </w:tc>
        <w:tc>
          <w:tcPr>
            <w:tcW w:w="2009" w:type="dxa"/>
            <w:noWrap w:val="0"/>
            <w:vAlign w:val="center"/>
          </w:tcPr>
          <w:p w14:paraId="58CC9969">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资质证号编号</w:t>
            </w:r>
          </w:p>
        </w:tc>
        <w:tc>
          <w:tcPr>
            <w:tcW w:w="5203" w:type="dxa"/>
            <w:noWrap w:val="0"/>
            <w:vAlign w:val="center"/>
          </w:tcPr>
          <w:p w14:paraId="29BC0F1A">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B136003374</w:t>
            </w:r>
          </w:p>
        </w:tc>
        <w:tc>
          <w:tcPr>
            <w:tcW w:w="1128" w:type="dxa"/>
            <w:noWrap w:val="0"/>
            <w:vAlign w:val="center"/>
          </w:tcPr>
          <w:p w14:paraId="0BF19189">
            <w:pPr>
              <w:widowControl w:val="0"/>
              <w:tabs>
                <w:tab w:val="center" w:pos="351"/>
              </w:tabs>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2C0BC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65E1793A">
            <w:pPr>
              <w:widowControl w:val="0"/>
              <w:wordWrap w:val="0"/>
              <w:bidi w:val="0"/>
              <w:spacing w:after="0" w:line="240" w:lineRule="auto"/>
              <w:ind w:firstLine="0" w:firstLineChars="0"/>
              <w:jc w:val="center"/>
              <w:textAlignment w:val="center"/>
              <w:rPr>
                <w:rFonts w:hint="eastAsia" w:ascii="Times New Roman" w:hAnsi="Times New Roman" w:eastAsia="宋体" w:cs="Times New Roman"/>
                <w:snapToGrid w:val="0"/>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2</w:t>
            </w:r>
          </w:p>
        </w:tc>
        <w:tc>
          <w:tcPr>
            <w:tcW w:w="2009" w:type="dxa"/>
            <w:noWrap w:val="0"/>
            <w:vAlign w:val="center"/>
          </w:tcPr>
          <w:p w14:paraId="65F55903">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施工图设计</w:t>
            </w:r>
          </w:p>
        </w:tc>
        <w:tc>
          <w:tcPr>
            <w:tcW w:w="5203" w:type="dxa"/>
            <w:noWrap w:val="0"/>
            <w:vAlign w:val="center"/>
          </w:tcPr>
          <w:p w14:paraId="76ACD09D">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中国市政工程华北设计研究总院有限公司</w:t>
            </w:r>
          </w:p>
        </w:tc>
        <w:tc>
          <w:tcPr>
            <w:tcW w:w="1128" w:type="dxa"/>
            <w:noWrap w:val="0"/>
            <w:vAlign w:val="center"/>
          </w:tcPr>
          <w:p w14:paraId="32382027">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p>
        </w:tc>
      </w:tr>
      <w:tr w14:paraId="2F1ED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1E21FEB2">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2</w:t>
            </w: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.1</w:t>
            </w:r>
          </w:p>
        </w:tc>
        <w:tc>
          <w:tcPr>
            <w:tcW w:w="2009" w:type="dxa"/>
            <w:noWrap w:val="0"/>
            <w:vAlign w:val="center"/>
          </w:tcPr>
          <w:p w14:paraId="0A1CB55A">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设计资质证号</w:t>
            </w:r>
          </w:p>
        </w:tc>
        <w:tc>
          <w:tcPr>
            <w:tcW w:w="5203" w:type="dxa"/>
            <w:noWrap w:val="0"/>
            <w:vAlign w:val="center"/>
          </w:tcPr>
          <w:p w14:paraId="4CCDCFD2">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编号：A</w:t>
            </w: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112000102</w:t>
            </w:r>
          </w:p>
        </w:tc>
        <w:tc>
          <w:tcPr>
            <w:tcW w:w="1128" w:type="dxa"/>
            <w:noWrap w:val="0"/>
            <w:vAlign w:val="center"/>
          </w:tcPr>
          <w:p w14:paraId="429AC06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7A550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7967F403">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2.2</w:t>
            </w:r>
          </w:p>
        </w:tc>
        <w:tc>
          <w:tcPr>
            <w:tcW w:w="2009" w:type="dxa"/>
            <w:noWrap w:val="0"/>
            <w:vAlign w:val="center"/>
          </w:tcPr>
          <w:p w14:paraId="5F9D8A4F">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资质等级</w:t>
            </w:r>
          </w:p>
        </w:tc>
        <w:tc>
          <w:tcPr>
            <w:tcW w:w="5203" w:type="dxa"/>
            <w:noWrap w:val="0"/>
            <w:vAlign w:val="center"/>
          </w:tcPr>
          <w:p w14:paraId="5F3AE0E0">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工程设计综合资质</w:t>
            </w:r>
          </w:p>
        </w:tc>
        <w:tc>
          <w:tcPr>
            <w:tcW w:w="1128" w:type="dxa"/>
            <w:noWrap w:val="0"/>
            <w:vAlign w:val="center"/>
          </w:tcPr>
          <w:p w14:paraId="7945BDEA">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0C84D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515F7A09">
            <w:pPr>
              <w:widowControl w:val="0"/>
              <w:wordWrap w:val="0"/>
              <w:bidi w:val="0"/>
              <w:spacing w:after="0" w:line="240" w:lineRule="auto"/>
              <w:ind w:firstLine="0" w:firstLineChars="0"/>
              <w:jc w:val="center"/>
              <w:textAlignment w:val="center"/>
              <w:rPr>
                <w:rFonts w:hint="eastAsia" w:ascii="Times New Roman" w:hAnsi="Times New Roman" w:eastAsia="宋体" w:cs="Times New Roman"/>
                <w:snapToGrid w:val="0"/>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3</w:t>
            </w:r>
          </w:p>
        </w:tc>
        <w:tc>
          <w:tcPr>
            <w:tcW w:w="2009" w:type="dxa"/>
            <w:noWrap w:val="0"/>
            <w:vAlign w:val="center"/>
          </w:tcPr>
          <w:p w14:paraId="3C0C7EA6">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工程施工承包单位</w:t>
            </w:r>
          </w:p>
        </w:tc>
        <w:tc>
          <w:tcPr>
            <w:tcW w:w="5203" w:type="dxa"/>
            <w:noWrap w:val="0"/>
            <w:vAlign w:val="center"/>
          </w:tcPr>
          <w:p w14:paraId="3C76A734">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江西省新宇建设工程有限公司</w:t>
            </w:r>
          </w:p>
        </w:tc>
        <w:tc>
          <w:tcPr>
            <w:tcW w:w="1128" w:type="dxa"/>
            <w:noWrap w:val="0"/>
            <w:vAlign w:val="center"/>
          </w:tcPr>
          <w:p w14:paraId="6EC90D0F">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p>
        </w:tc>
      </w:tr>
      <w:tr w14:paraId="69CB1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2424E9DB">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3.1</w:t>
            </w:r>
          </w:p>
        </w:tc>
        <w:tc>
          <w:tcPr>
            <w:tcW w:w="2009" w:type="dxa"/>
            <w:noWrap w:val="0"/>
            <w:vAlign w:val="center"/>
          </w:tcPr>
          <w:p w14:paraId="67A059D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建设施工资质证</w:t>
            </w:r>
          </w:p>
        </w:tc>
        <w:tc>
          <w:tcPr>
            <w:tcW w:w="5203" w:type="dxa"/>
            <w:noWrap w:val="0"/>
            <w:vAlign w:val="center"/>
          </w:tcPr>
          <w:p w14:paraId="07C8689F">
            <w:pPr>
              <w:widowControl w:val="0"/>
              <w:wordWrap w:val="0"/>
              <w:bidi w:val="0"/>
              <w:spacing w:after="0" w:line="240" w:lineRule="auto"/>
              <w:ind w:firstLine="0" w:firstLineChars="0"/>
              <w:jc w:val="center"/>
              <w:textAlignment w:val="center"/>
              <w:rPr>
                <w:rFonts w:hint="eastAsia"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建筑工程施工总承包壹级</w:t>
            </w:r>
          </w:p>
          <w:p w14:paraId="52BDDCF0">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市政公用工程施工总承包壹级</w:t>
            </w:r>
          </w:p>
        </w:tc>
        <w:tc>
          <w:tcPr>
            <w:tcW w:w="1128" w:type="dxa"/>
            <w:noWrap w:val="0"/>
            <w:vAlign w:val="center"/>
          </w:tcPr>
          <w:p w14:paraId="75967610">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189A4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2CACA6C4">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3.2</w:t>
            </w:r>
          </w:p>
        </w:tc>
        <w:tc>
          <w:tcPr>
            <w:tcW w:w="2009" w:type="dxa"/>
            <w:noWrap w:val="0"/>
            <w:vAlign w:val="center"/>
          </w:tcPr>
          <w:p w14:paraId="67ABC3AE">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资质证书编号</w:t>
            </w:r>
          </w:p>
        </w:tc>
        <w:tc>
          <w:tcPr>
            <w:tcW w:w="5203" w:type="dxa"/>
            <w:noWrap w:val="0"/>
            <w:vAlign w:val="center"/>
          </w:tcPr>
          <w:p w14:paraId="3AA236B9">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D136088384</w:t>
            </w:r>
          </w:p>
        </w:tc>
        <w:tc>
          <w:tcPr>
            <w:tcW w:w="1128" w:type="dxa"/>
            <w:noWrap w:val="0"/>
            <w:vAlign w:val="center"/>
          </w:tcPr>
          <w:p w14:paraId="7C29F14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269CA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1" w:type="dxa"/>
            <w:noWrap w:val="0"/>
            <w:vAlign w:val="center"/>
          </w:tcPr>
          <w:p w14:paraId="75C2B39F">
            <w:pPr>
              <w:widowControl w:val="0"/>
              <w:wordWrap w:val="0"/>
              <w:bidi w:val="0"/>
              <w:spacing w:after="0" w:line="240" w:lineRule="auto"/>
              <w:ind w:firstLine="0" w:firstLineChars="0"/>
              <w:jc w:val="center"/>
              <w:textAlignment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3.3</w:t>
            </w:r>
          </w:p>
        </w:tc>
        <w:tc>
          <w:tcPr>
            <w:tcW w:w="2009" w:type="dxa"/>
            <w:noWrap w:val="0"/>
            <w:vAlign w:val="center"/>
          </w:tcPr>
          <w:p w14:paraId="7F7944D5">
            <w:pPr>
              <w:widowControl w:val="0"/>
              <w:wordWrap w:val="0"/>
              <w:bidi w:val="0"/>
              <w:spacing w:after="0" w:line="240" w:lineRule="auto"/>
              <w:ind w:firstLine="0" w:firstLineChars="0"/>
              <w:jc w:val="center"/>
              <w:textAlignment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施工方案</w:t>
            </w:r>
          </w:p>
        </w:tc>
        <w:tc>
          <w:tcPr>
            <w:tcW w:w="5203" w:type="dxa"/>
            <w:noWrap w:val="0"/>
            <w:vAlign w:val="center"/>
          </w:tcPr>
          <w:p w14:paraId="1D4E8EEF">
            <w:pPr>
              <w:widowControl w:val="0"/>
              <w:wordWrap w:val="0"/>
              <w:bidi w:val="0"/>
              <w:spacing w:after="0" w:line="240" w:lineRule="auto"/>
              <w:ind w:firstLine="0" w:firstLineChars="0"/>
              <w:jc w:val="center"/>
              <w:textAlignment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有，</w:t>
            </w: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江西省新宇建设工程有限公司</w:t>
            </w: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编制</w:t>
            </w:r>
          </w:p>
        </w:tc>
        <w:tc>
          <w:tcPr>
            <w:tcW w:w="1128" w:type="dxa"/>
            <w:noWrap w:val="0"/>
            <w:vAlign w:val="center"/>
          </w:tcPr>
          <w:p w14:paraId="42AF42F2">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bl>
    <w:p w14:paraId="072B98B6">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根据上表可知，本项目的勘察、设计、施工等相关单位资质符合要求，本项目工程在建设过程中，满足相关程序和国家相关资质管理要求。</w:t>
      </w:r>
    </w:p>
    <w:p w14:paraId="1AE63C34">
      <w:pPr>
        <w:pStyle w:val="4"/>
        <w:bidi w:val="0"/>
        <w:rPr>
          <w:rFonts w:hint="eastAsia"/>
          <w:color w:val="000000" w:themeColor="text1"/>
          <w:lang w:val="en-US" w:eastAsia="zh-CN"/>
          <w14:textFill>
            <w14:solidFill>
              <w14:schemeClr w14:val="tx1"/>
            </w14:solidFill>
          </w14:textFill>
        </w:rPr>
      </w:pPr>
      <w:bookmarkStart w:id="94" w:name="_Toc13186"/>
      <w:r>
        <w:rPr>
          <w:rFonts w:hint="eastAsia"/>
          <w:color w:val="000000" w:themeColor="text1"/>
          <w:lang w:val="en-US" w:eastAsia="zh-CN"/>
          <w14:textFill>
            <w14:solidFill>
              <w14:schemeClr w14:val="tx1"/>
            </w14:solidFill>
          </w14:textFill>
        </w:rPr>
        <w:t>5.2.2 施工作业安全管理及作业人员资格合法性评估</w:t>
      </w:r>
      <w:bookmarkEnd w:id="94"/>
    </w:p>
    <w:p w14:paraId="6CA58762">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本项目工程在建设过程中，江西省新宇建设工程有限公司需按管理要求成立项目部，配备相关人员和特种作业人员。具体评估见表5-3。</w:t>
      </w:r>
    </w:p>
    <w:p w14:paraId="57068A3A">
      <w:pPr>
        <w:ind w:left="0" w:lef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表5-3 安全管理及作业人员资格合法性检查表</w:t>
      </w:r>
    </w:p>
    <w:tbl>
      <w:tblPr>
        <w:tblStyle w:val="19"/>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2348"/>
        <w:gridCol w:w="5188"/>
        <w:gridCol w:w="893"/>
      </w:tblGrid>
      <w:tr w14:paraId="550DD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081C322A">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序号</w:t>
            </w:r>
          </w:p>
        </w:tc>
        <w:tc>
          <w:tcPr>
            <w:tcW w:w="2348" w:type="dxa"/>
            <w:noWrap w:val="0"/>
            <w:vAlign w:val="center"/>
          </w:tcPr>
          <w:p w14:paraId="0CA99B05">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职务或岗位</w:t>
            </w:r>
          </w:p>
        </w:tc>
        <w:tc>
          <w:tcPr>
            <w:tcW w:w="5188" w:type="dxa"/>
            <w:noWrap w:val="0"/>
            <w:vAlign w:val="center"/>
          </w:tcPr>
          <w:p w14:paraId="5169BB8C">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检查情况</w:t>
            </w:r>
          </w:p>
        </w:tc>
        <w:tc>
          <w:tcPr>
            <w:tcW w:w="893" w:type="dxa"/>
            <w:noWrap w:val="0"/>
            <w:vAlign w:val="center"/>
          </w:tcPr>
          <w:p w14:paraId="66F4EE3A">
            <w:pPr>
              <w:widowControl w:val="0"/>
              <w:wordWrap w:val="0"/>
              <w:bidi w:val="0"/>
              <w:spacing w:after="0" w:line="240" w:lineRule="auto"/>
              <w:ind w:firstLine="0" w:firstLineChars="0"/>
              <w:jc w:val="center"/>
              <w:textAlignment w:val="center"/>
              <w:rPr>
                <w:rFonts w:ascii="Times New Roman" w:hAnsi="Times New Roman" w:eastAsia="宋体" w:cs="Times New Roman"/>
                <w:b/>
                <w:bCs/>
                <w:snapToGrid w:val="0"/>
                <w:color w:val="000000" w:themeColor="text1"/>
                <w:kern w:val="0"/>
                <w:sz w:val="21"/>
                <w:szCs w:val="21"/>
                <w14:textFill>
                  <w14:solidFill>
                    <w14:schemeClr w14:val="tx1"/>
                  </w14:solidFill>
                </w14:textFill>
              </w:rPr>
            </w:pPr>
            <w:r>
              <w:rPr>
                <w:rFonts w:ascii="Times New Roman" w:hAnsi="Times New Roman" w:eastAsia="宋体" w:cs="Times New Roman"/>
                <w:b/>
                <w:bCs/>
                <w:snapToGrid w:val="0"/>
                <w:color w:val="000000" w:themeColor="text1"/>
                <w:kern w:val="0"/>
                <w:sz w:val="21"/>
                <w:szCs w:val="21"/>
                <w14:textFill>
                  <w14:solidFill>
                    <w14:schemeClr w14:val="tx1"/>
                  </w14:solidFill>
                </w14:textFill>
              </w:rPr>
              <w:t>符合性</w:t>
            </w:r>
          </w:p>
        </w:tc>
      </w:tr>
      <w:tr w14:paraId="443F0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45AFC7C7">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1</w:t>
            </w:r>
          </w:p>
        </w:tc>
        <w:tc>
          <w:tcPr>
            <w:tcW w:w="2348" w:type="dxa"/>
            <w:noWrap w:val="0"/>
            <w:vAlign w:val="center"/>
          </w:tcPr>
          <w:p w14:paraId="78016DD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组织保障</w:t>
            </w:r>
          </w:p>
        </w:tc>
        <w:tc>
          <w:tcPr>
            <w:tcW w:w="5188" w:type="dxa"/>
            <w:noWrap w:val="0"/>
            <w:vAlign w:val="center"/>
          </w:tcPr>
          <w:p w14:paraId="5C07749A">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已做要求</w:t>
            </w:r>
          </w:p>
        </w:tc>
        <w:tc>
          <w:tcPr>
            <w:tcW w:w="893" w:type="dxa"/>
            <w:noWrap w:val="0"/>
            <w:vAlign w:val="center"/>
          </w:tcPr>
          <w:p w14:paraId="67AC6635">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79C78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7712D272">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2</w:t>
            </w:r>
          </w:p>
        </w:tc>
        <w:tc>
          <w:tcPr>
            <w:tcW w:w="2348" w:type="dxa"/>
            <w:noWrap w:val="0"/>
            <w:vAlign w:val="center"/>
          </w:tcPr>
          <w:p w14:paraId="446BF784">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组织机构</w:t>
            </w:r>
          </w:p>
        </w:tc>
        <w:tc>
          <w:tcPr>
            <w:tcW w:w="5188" w:type="dxa"/>
            <w:noWrap w:val="0"/>
            <w:vAlign w:val="center"/>
          </w:tcPr>
          <w:p w14:paraId="19A7DAA8">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已做要求</w:t>
            </w:r>
          </w:p>
        </w:tc>
        <w:tc>
          <w:tcPr>
            <w:tcW w:w="893" w:type="dxa"/>
            <w:noWrap w:val="0"/>
            <w:vAlign w:val="center"/>
          </w:tcPr>
          <w:p w14:paraId="20B288AE">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r w14:paraId="4C0FA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05B5DF05">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3</w:t>
            </w:r>
          </w:p>
        </w:tc>
        <w:tc>
          <w:tcPr>
            <w:tcW w:w="2348" w:type="dxa"/>
            <w:noWrap w:val="0"/>
            <w:vAlign w:val="center"/>
          </w:tcPr>
          <w:p w14:paraId="6030CED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主要负责人资格</w:t>
            </w:r>
          </w:p>
        </w:tc>
        <w:tc>
          <w:tcPr>
            <w:tcW w:w="5188" w:type="dxa"/>
            <w:noWrap w:val="0"/>
            <w:vAlign w:val="center"/>
          </w:tcPr>
          <w:p w14:paraId="67691CBD">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施工报告未提及</w:t>
            </w:r>
          </w:p>
        </w:tc>
        <w:tc>
          <w:tcPr>
            <w:tcW w:w="893" w:type="dxa"/>
            <w:vMerge w:val="restart"/>
            <w:noWrap w:val="0"/>
            <w:vAlign w:val="center"/>
          </w:tcPr>
          <w:p w14:paraId="5E49EDAE">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本次评估报告提出对策措施</w:t>
            </w:r>
          </w:p>
        </w:tc>
      </w:tr>
      <w:tr w14:paraId="1FD0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4AA3C7D2">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4</w:t>
            </w:r>
          </w:p>
        </w:tc>
        <w:tc>
          <w:tcPr>
            <w:tcW w:w="2348" w:type="dxa"/>
            <w:noWrap w:val="0"/>
            <w:vAlign w:val="center"/>
          </w:tcPr>
          <w:p w14:paraId="0B4C5014">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安全管理人员资格</w:t>
            </w:r>
          </w:p>
        </w:tc>
        <w:tc>
          <w:tcPr>
            <w:tcW w:w="5188" w:type="dxa"/>
            <w:noWrap w:val="0"/>
            <w:vAlign w:val="center"/>
          </w:tcPr>
          <w:p w14:paraId="5BC67A65">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施工报告未提及</w:t>
            </w:r>
          </w:p>
        </w:tc>
        <w:tc>
          <w:tcPr>
            <w:tcW w:w="893" w:type="dxa"/>
            <w:vMerge w:val="continue"/>
            <w:noWrap w:val="0"/>
            <w:vAlign w:val="center"/>
          </w:tcPr>
          <w:p w14:paraId="378789E7">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p>
        </w:tc>
      </w:tr>
      <w:tr w14:paraId="60EAB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6734D211">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5</w:t>
            </w:r>
          </w:p>
        </w:tc>
        <w:tc>
          <w:tcPr>
            <w:tcW w:w="2348" w:type="dxa"/>
            <w:noWrap w:val="0"/>
            <w:vAlign w:val="center"/>
          </w:tcPr>
          <w:p w14:paraId="10BE6B2B">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特种作业人员资格</w:t>
            </w:r>
          </w:p>
        </w:tc>
        <w:tc>
          <w:tcPr>
            <w:tcW w:w="5188" w:type="dxa"/>
            <w:noWrap w:val="0"/>
            <w:vAlign w:val="center"/>
          </w:tcPr>
          <w:p w14:paraId="1CEE28D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施工报告未提及</w:t>
            </w:r>
          </w:p>
        </w:tc>
        <w:tc>
          <w:tcPr>
            <w:tcW w:w="893" w:type="dxa"/>
            <w:vMerge w:val="continue"/>
            <w:noWrap w:val="0"/>
            <w:vAlign w:val="center"/>
          </w:tcPr>
          <w:p w14:paraId="0D87EF8B">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p>
        </w:tc>
      </w:tr>
      <w:tr w14:paraId="3244C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6B5691FA">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6</w:t>
            </w:r>
          </w:p>
        </w:tc>
        <w:tc>
          <w:tcPr>
            <w:tcW w:w="2348" w:type="dxa"/>
            <w:noWrap w:val="0"/>
            <w:vAlign w:val="center"/>
          </w:tcPr>
          <w:p w14:paraId="5B494393">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安全生产管理制度建设</w:t>
            </w:r>
          </w:p>
        </w:tc>
        <w:tc>
          <w:tcPr>
            <w:tcW w:w="5188" w:type="dxa"/>
            <w:noWrap w:val="0"/>
            <w:vAlign w:val="center"/>
          </w:tcPr>
          <w:p w14:paraId="42B26D7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14:textFill>
                  <w14:solidFill>
                    <w14:schemeClr w14:val="tx1"/>
                  </w14:solidFill>
                </w14:textFill>
              </w:rPr>
              <w:t>施工报告内有提出部分要求，但应完善</w:t>
            </w:r>
          </w:p>
        </w:tc>
        <w:tc>
          <w:tcPr>
            <w:tcW w:w="893" w:type="dxa"/>
            <w:vMerge w:val="continue"/>
            <w:noWrap w:val="0"/>
            <w:vAlign w:val="center"/>
          </w:tcPr>
          <w:p w14:paraId="6077FB7C">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p>
        </w:tc>
      </w:tr>
      <w:tr w14:paraId="252A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2" w:type="dxa"/>
            <w:noWrap w:val="0"/>
            <w:vAlign w:val="center"/>
          </w:tcPr>
          <w:p w14:paraId="5EB836D6">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7</w:t>
            </w:r>
          </w:p>
        </w:tc>
        <w:tc>
          <w:tcPr>
            <w:tcW w:w="2348" w:type="dxa"/>
            <w:noWrap w:val="0"/>
            <w:vAlign w:val="center"/>
          </w:tcPr>
          <w:p w14:paraId="158EB70A">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事故应急预案</w:t>
            </w:r>
          </w:p>
        </w:tc>
        <w:tc>
          <w:tcPr>
            <w:tcW w:w="5188" w:type="dxa"/>
            <w:noWrap w:val="0"/>
            <w:vAlign w:val="center"/>
          </w:tcPr>
          <w:p w14:paraId="6B7BDF8E">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t>已</w:t>
            </w:r>
            <w:r>
              <w:rPr>
                <w:rFonts w:ascii="Times New Roman" w:hAnsi="Times New Roman" w:eastAsia="宋体" w:cs="Times New Roman"/>
                <w:snapToGrid w:val="0"/>
                <w:color w:val="000000" w:themeColor="text1"/>
                <w:kern w:val="0"/>
                <w:sz w:val="21"/>
                <w:szCs w:val="21"/>
                <w14:textFill>
                  <w14:solidFill>
                    <w14:schemeClr w14:val="tx1"/>
                  </w14:solidFill>
                </w14:textFill>
              </w:rPr>
              <w:t>编制事故应急预案</w:t>
            </w:r>
          </w:p>
        </w:tc>
        <w:tc>
          <w:tcPr>
            <w:tcW w:w="893" w:type="dxa"/>
            <w:noWrap w:val="0"/>
            <w:vAlign w:val="center"/>
          </w:tcPr>
          <w:p w14:paraId="41A26C94">
            <w:pPr>
              <w:widowControl w:val="0"/>
              <w:wordWrap w:val="0"/>
              <w:bidi w:val="0"/>
              <w:spacing w:after="0" w:line="240" w:lineRule="auto"/>
              <w:ind w:firstLine="0" w:firstLineChars="0"/>
              <w:jc w:val="center"/>
              <w:textAlignment w:val="center"/>
              <w:rPr>
                <w:rFonts w:ascii="Times New Roman" w:hAnsi="Times New Roman" w:eastAsia="宋体" w:cs="Times New Roman"/>
                <w:snapToGrid w:val="0"/>
                <w:color w:val="000000" w:themeColor="text1"/>
                <w:kern w:val="0"/>
                <w:sz w:val="21"/>
                <w:szCs w:val="21"/>
                <w14:textFill>
                  <w14:solidFill>
                    <w14:schemeClr w14:val="tx1"/>
                  </w14:solidFill>
                </w14:textFill>
              </w:rPr>
            </w:pPr>
            <w:r>
              <w:rPr>
                <w:rFonts w:ascii="Times New Roman" w:hAnsi="Times New Roman" w:eastAsia="宋体" w:cs="Times New Roman"/>
                <w:snapToGrid w:val="0"/>
                <w:color w:val="000000" w:themeColor="text1"/>
                <w:kern w:val="0"/>
                <w:sz w:val="21"/>
                <w:szCs w:val="21"/>
                <w14:textFill>
                  <w14:solidFill>
                    <w14:schemeClr w14:val="tx1"/>
                  </w14:solidFill>
                </w14:textFill>
              </w:rPr>
              <w:t>符合</w:t>
            </w:r>
          </w:p>
        </w:tc>
      </w:tr>
    </w:tbl>
    <w:p w14:paraId="43875A50">
      <w:pPr>
        <w:pStyle w:val="4"/>
        <w:bidi w:val="0"/>
        <w:rPr>
          <w:rFonts w:hint="eastAsia"/>
          <w:color w:val="000000" w:themeColor="text1"/>
          <w:lang w:val="en-US" w:eastAsia="zh-CN"/>
          <w14:textFill>
            <w14:solidFill>
              <w14:schemeClr w14:val="tx1"/>
            </w14:solidFill>
          </w14:textFill>
        </w:rPr>
      </w:pPr>
      <w:bookmarkStart w:id="95" w:name="_Toc9301"/>
      <w:r>
        <w:rPr>
          <w:rFonts w:hint="eastAsia"/>
          <w:color w:val="000000" w:themeColor="text1"/>
          <w:lang w:val="en-US" w:eastAsia="zh-CN"/>
          <w14:textFill>
            <w14:solidFill>
              <w14:schemeClr w14:val="tx1"/>
            </w14:solidFill>
          </w14:textFill>
        </w:rPr>
        <w:t>5.2.3 施工作业法律法规符合性评估</w:t>
      </w:r>
      <w:bookmarkEnd w:id="95"/>
    </w:p>
    <w:p w14:paraId="39AB5AE5">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赣州市污水处理有限公司赣州市中心城区生活污水处理厂网一体化（一期）经开区污水管网完善工程车头路多功能微顶管施工作业法律法规符合性安全检查表见表5-</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w:t>
      </w:r>
    </w:p>
    <w:p w14:paraId="5C9CB0F3">
      <w:pPr>
        <w:bidi w:val="0"/>
        <w:ind w:left="0" w:leftChars="0"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表5-</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 xml:space="preserve"> 安全检查表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541"/>
        <w:gridCol w:w="3890"/>
        <w:gridCol w:w="2095"/>
        <w:gridCol w:w="1905"/>
        <w:gridCol w:w="640"/>
      </w:tblGrid>
      <w:tr w14:paraId="0F25CA5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34752CA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lang w:val="zh-CN"/>
                <w14:textFill>
                  <w14:solidFill>
                    <w14:schemeClr w14:val="tx1"/>
                  </w14:solidFill>
                </w14:textFill>
              </w:rPr>
              <w:t>序号</w:t>
            </w:r>
          </w:p>
        </w:tc>
        <w:tc>
          <w:tcPr>
            <w:tcW w:w="3890" w:type="dxa"/>
            <w:noWrap w:val="0"/>
            <w:vAlign w:val="center"/>
          </w:tcPr>
          <w:p w14:paraId="7A6C949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lang w:val="zh-CN"/>
                <w14:textFill>
                  <w14:solidFill>
                    <w14:schemeClr w14:val="tx1"/>
                  </w14:solidFill>
                </w14:textFill>
              </w:rPr>
              <w:t>检查内容</w:t>
            </w:r>
          </w:p>
        </w:tc>
        <w:tc>
          <w:tcPr>
            <w:tcW w:w="2095" w:type="dxa"/>
            <w:noWrap w:val="0"/>
            <w:vAlign w:val="center"/>
          </w:tcPr>
          <w:p w14:paraId="5F07EF3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lang w:val="zh-CN"/>
                <w14:textFill>
                  <w14:solidFill>
                    <w14:schemeClr w14:val="tx1"/>
                  </w14:solidFill>
                </w14:textFill>
              </w:rPr>
              <w:t>检查依据</w:t>
            </w:r>
          </w:p>
        </w:tc>
        <w:tc>
          <w:tcPr>
            <w:tcW w:w="1905" w:type="dxa"/>
            <w:noWrap w:val="0"/>
            <w:vAlign w:val="center"/>
          </w:tcPr>
          <w:p w14:paraId="4A280C9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lang w:val="zh-CN"/>
                <w14:textFill>
                  <w14:solidFill>
                    <w14:schemeClr w14:val="tx1"/>
                  </w14:solidFill>
                </w14:textFill>
              </w:rPr>
              <w:t>检查情况</w:t>
            </w:r>
          </w:p>
        </w:tc>
        <w:tc>
          <w:tcPr>
            <w:tcW w:w="640" w:type="dxa"/>
            <w:noWrap w:val="0"/>
            <w:vAlign w:val="center"/>
          </w:tcPr>
          <w:p w14:paraId="1863105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b/>
                <w:bCs/>
                <w:snapToGrid w:val="0"/>
                <w:color w:val="000000" w:themeColor="text1"/>
                <w:spacing w:val="0"/>
                <w:kern w:val="0"/>
                <w:sz w:val="21"/>
                <w:szCs w:val="21"/>
                <w:lang w:val="zh-CN"/>
                <w14:textFill>
                  <w14:solidFill>
                    <w14:schemeClr w14:val="tx1"/>
                  </w14:solidFill>
                </w14:textFill>
              </w:rPr>
              <w:t>检查结论</w:t>
            </w:r>
          </w:p>
        </w:tc>
      </w:tr>
      <w:tr w14:paraId="5FDABCF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954" w:hRule="atLeast"/>
          <w:jc w:val="center"/>
        </w:trPr>
        <w:tc>
          <w:tcPr>
            <w:tcW w:w="541" w:type="dxa"/>
            <w:noWrap w:val="0"/>
            <w:vAlign w:val="center"/>
          </w:tcPr>
          <w:p w14:paraId="7E2E527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w:t>
            </w:r>
          </w:p>
        </w:tc>
        <w:tc>
          <w:tcPr>
            <w:tcW w:w="3890" w:type="dxa"/>
            <w:noWrap w:val="0"/>
            <w:vAlign w:val="center"/>
          </w:tcPr>
          <w:p w14:paraId="56E0C64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任何单位和个人不得擅自占用、挖掘公路。因修建铁路、机场、电站、通信设施、水利工程和进行其他建设工程需要占用、挖掘公路或者使公路改线的，建设单位应当事先征得有关交通主管部门的同意；影响交通安全的，还须征得有关公安机关的同意。占用、挖掘公路或者使公路改线的，建设单位应当按照不低于该段公路原有的技术标准予以修复、改建或者给予相应的经济补偿。</w:t>
            </w:r>
          </w:p>
        </w:tc>
        <w:tc>
          <w:tcPr>
            <w:tcW w:w="2095" w:type="dxa"/>
            <w:noWrap w:val="0"/>
            <w:vAlign w:val="center"/>
          </w:tcPr>
          <w:p w14:paraId="229C9A5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《中华人民共和国公路法》</w:t>
            </w:r>
          </w:p>
          <w:p w14:paraId="2D35FCA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第四十四条</w:t>
            </w:r>
          </w:p>
        </w:tc>
        <w:tc>
          <w:tcPr>
            <w:tcW w:w="1905" w:type="dxa"/>
            <w:noWrap w:val="0"/>
            <w:vAlign w:val="center"/>
          </w:tcPr>
          <w:p w14:paraId="0E970B4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已向交通主管部门和</w:t>
            </w:r>
            <w:r>
              <w:rPr>
                <w:rFonts w:hint="eastAsia"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t>有关</w:t>
            </w: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公安机关提出申请</w:t>
            </w:r>
          </w:p>
        </w:tc>
        <w:tc>
          <w:tcPr>
            <w:tcW w:w="640" w:type="dxa"/>
            <w:noWrap w:val="0"/>
            <w:vAlign w:val="center"/>
          </w:tcPr>
          <w:p w14:paraId="1154D07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符合要求</w:t>
            </w:r>
          </w:p>
        </w:tc>
      </w:tr>
      <w:tr w14:paraId="472706E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521" w:hRule="atLeast"/>
          <w:jc w:val="center"/>
        </w:trPr>
        <w:tc>
          <w:tcPr>
            <w:tcW w:w="541" w:type="dxa"/>
            <w:noWrap w:val="0"/>
            <w:vAlign w:val="center"/>
          </w:tcPr>
          <w:p w14:paraId="7199294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w:t>
            </w:r>
          </w:p>
        </w:tc>
        <w:tc>
          <w:tcPr>
            <w:tcW w:w="3890" w:type="dxa"/>
            <w:noWrap w:val="0"/>
            <w:vAlign w:val="center"/>
          </w:tcPr>
          <w:p w14:paraId="2DFBBC9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跨越、穿越公路修建桥梁、渡槽或者架设、埋设管线等设施的，以及在公路用地范围内架设、埋设管线、电缆等设施的，应当事先经有关交通主管部门同意，影响交通安全的，还须征得有关公安机关的同意；所修建、架设或者埋设的设施应当符合公路工程技术标准的要求。对公路造成损坏的，应当按照损坏程度给予补偿。</w:t>
            </w:r>
          </w:p>
        </w:tc>
        <w:tc>
          <w:tcPr>
            <w:tcW w:w="2095" w:type="dxa"/>
            <w:noWrap w:val="0"/>
            <w:vAlign w:val="center"/>
          </w:tcPr>
          <w:p w14:paraId="4D10491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《中华人民共和国公路法》</w:t>
            </w:r>
          </w:p>
          <w:p w14:paraId="624F54F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第四十五条</w:t>
            </w:r>
          </w:p>
        </w:tc>
        <w:tc>
          <w:tcPr>
            <w:tcW w:w="1905" w:type="dxa"/>
            <w:noWrap w:val="0"/>
            <w:vAlign w:val="center"/>
          </w:tcPr>
          <w:p w14:paraId="3EB1A47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已向交通主管部门和</w:t>
            </w:r>
            <w:r>
              <w:rPr>
                <w:rFonts w:hint="eastAsia"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t>有关</w:t>
            </w: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公安机关提出申请</w:t>
            </w:r>
          </w:p>
        </w:tc>
        <w:tc>
          <w:tcPr>
            <w:tcW w:w="640" w:type="dxa"/>
            <w:noWrap w:val="0"/>
            <w:vAlign w:val="center"/>
          </w:tcPr>
          <w:p w14:paraId="526AB05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符合要求</w:t>
            </w:r>
          </w:p>
        </w:tc>
      </w:tr>
      <w:tr w14:paraId="7EE811D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63B2524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w:t>
            </w:r>
          </w:p>
        </w:tc>
        <w:tc>
          <w:tcPr>
            <w:tcW w:w="3890" w:type="dxa"/>
            <w:noWrap w:val="0"/>
            <w:vAlign w:val="center"/>
          </w:tcPr>
          <w:p w14:paraId="03190CE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任何单位和个人不得在公路上及公路用地范围内摆摊设点、堆放物品、倾倒垃圾、设置障碍、挖沟引水、利用公路边沟排放污物或者进行其他损坏、污染公路和影响公路畅通的活动。</w:t>
            </w:r>
          </w:p>
        </w:tc>
        <w:tc>
          <w:tcPr>
            <w:tcW w:w="2095" w:type="dxa"/>
            <w:noWrap w:val="0"/>
            <w:vAlign w:val="center"/>
          </w:tcPr>
          <w:p w14:paraId="1739566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《中华人民共和国公路法》</w:t>
            </w:r>
          </w:p>
          <w:p w14:paraId="4516D57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第四十六条</w:t>
            </w:r>
          </w:p>
        </w:tc>
        <w:tc>
          <w:tcPr>
            <w:tcW w:w="1905" w:type="dxa"/>
            <w:noWrap w:val="0"/>
            <w:vAlign w:val="center"/>
          </w:tcPr>
          <w:p w14:paraId="0F8C62D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已做相关计划，</w:t>
            </w: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施工完成后对公路附属设施进行修复</w:t>
            </w:r>
          </w:p>
        </w:tc>
        <w:tc>
          <w:tcPr>
            <w:tcW w:w="640" w:type="dxa"/>
            <w:noWrap w:val="0"/>
            <w:vAlign w:val="center"/>
          </w:tcPr>
          <w:p w14:paraId="550F26D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符合要求</w:t>
            </w:r>
          </w:p>
        </w:tc>
      </w:tr>
      <w:tr w14:paraId="4D7A02C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790280B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w:t>
            </w:r>
          </w:p>
        </w:tc>
        <w:tc>
          <w:tcPr>
            <w:tcW w:w="3890" w:type="dxa"/>
            <w:noWrap w:val="0"/>
            <w:vAlign w:val="center"/>
          </w:tcPr>
          <w:p w14:paraId="1E9C6A1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铁轮车、履带车和其他可能损害公路路面的机具，不得在公路上行驶。</w:t>
            </w:r>
          </w:p>
          <w:p w14:paraId="1E8DB6E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“农业机械因当地田间作业需要在公路上短距离行驶或者军用车辆执行任务需要在公路上行驶的，可以不受前款限制，但是应当采取安全保护措施。对公路造成损坏的，应当按照损坏程度给予补偿。</w:t>
            </w:r>
          </w:p>
        </w:tc>
        <w:tc>
          <w:tcPr>
            <w:tcW w:w="2095" w:type="dxa"/>
            <w:noWrap w:val="0"/>
            <w:vAlign w:val="center"/>
          </w:tcPr>
          <w:p w14:paraId="3B9AFC1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《中华人民共和国公路法》</w:t>
            </w:r>
          </w:p>
          <w:p w14:paraId="1CE4C25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第四十八条</w:t>
            </w:r>
          </w:p>
        </w:tc>
        <w:tc>
          <w:tcPr>
            <w:tcW w:w="1905" w:type="dxa"/>
            <w:noWrap w:val="0"/>
            <w:vAlign w:val="center"/>
          </w:tcPr>
          <w:p w14:paraId="3FA448E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不涉及使用</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铁轮车、履带车和其他可能损害公路路面的机具</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等相关机具车辆</w:t>
            </w:r>
          </w:p>
        </w:tc>
        <w:tc>
          <w:tcPr>
            <w:tcW w:w="640" w:type="dxa"/>
            <w:noWrap w:val="0"/>
            <w:vAlign w:val="center"/>
          </w:tcPr>
          <w:p w14:paraId="4A68584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34E41B2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869" w:hRule="atLeast"/>
          <w:jc w:val="center"/>
        </w:trPr>
        <w:tc>
          <w:tcPr>
            <w:tcW w:w="541" w:type="dxa"/>
            <w:noWrap w:val="0"/>
            <w:vAlign w:val="center"/>
          </w:tcPr>
          <w:p w14:paraId="13FFF78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w:t>
            </w:r>
          </w:p>
        </w:tc>
        <w:tc>
          <w:tcPr>
            <w:tcW w:w="3890" w:type="dxa"/>
            <w:noWrap w:val="0"/>
            <w:vAlign w:val="center"/>
          </w:tcPr>
          <w:p w14:paraId="4EC4820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任何单位和个人不得损坏、擅自移动、涂改公路附属设施。</w:t>
            </w:r>
          </w:p>
        </w:tc>
        <w:tc>
          <w:tcPr>
            <w:tcW w:w="2095" w:type="dxa"/>
            <w:noWrap w:val="0"/>
            <w:vAlign w:val="center"/>
          </w:tcPr>
          <w:p w14:paraId="676922B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《中华人民共和国公路法》</w:t>
            </w:r>
          </w:p>
          <w:p w14:paraId="3129FDC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第五十二条</w:t>
            </w:r>
          </w:p>
        </w:tc>
        <w:tc>
          <w:tcPr>
            <w:tcW w:w="1905" w:type="dxa"/>
            <w:noWrap w:val="0"/>
            <w:vAlign w:val="center"/>
          </w:tcPr>
          <w:p w14:paraId="43A45D4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不会造成</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损坏，</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不会</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擅自移动、涂改公路附属设施</w:t>
            </w:r>
          </w:p>
        </w:tc>
        <w:tc>
          <w:tcPr>
            <w:tcW w:w="640" w:type="dxa"/>
            <w:noWrap w:val="0"/>
            <w:vAlign w:val="center"/>
          </w:tcPr>
          <w:p w14:paraId="2822E23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5D26B76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1AE8818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6</w:t>
            </w:r>
          </w:p>
        </w:tc>
        <w:tc>
          <w:tcPr>
            <w:tcW w:w="3890" w:type="dxa"/>
            <w:noWrap w:val="0"/>
            <w:vAlign w:val="center"/>
          </w:tcPr>
          <w:p w14:paraId="7CD3348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任何单位和个人未经县级以上地方人民政府交通主管部门批准，不得在公路用地范围内设置公路标志以外的其他标志。</w:t>
            </w:r>
          </w:p>
        </w:tc>
        <w:tc>
          <w:tcPr>
            <w:tcW w:w="2095" w:type="dxa"/>
            <w:noWrap w:val="0"/>
            <w:vAlign w:val="center"/>
          </w:tcPr>
          <w:p w14:paraId="6B5AB8E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《中华人民共和国公路法》</w:t>
            </w:r>
          </w:p>
          <w:p w14:paraId="6EEF98A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第五十四条</w:t>
            </w:r>
          </w:p>
        </w:tc>
        <w:tc>
          <w:tcPr>
            <w:tcW w:w="1905" w:type="dxa"/>
            <w:noWrap w:val="0"/>
            <w:vAlign w:val="center"/>
          </w:tcPr>
          <w:p w14:paraId="3B44414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已向交通主管部门提出申请</w:t>
            </w:r>
          </w:p>
        </w:tc>
        <w:tc>
          <w:tcPr>
            <w:tcW w:w="640" w:type="dxa"/>
            <w:noWrap w:val="0"/>
            <w:vAlign w:val="center"/>
          </w:tcPr>
          <w:p w14:paraId="60C6AC6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4F57363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2601A03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7</w:t>
            </w:r>
          </w:p>
        </w:tc>
        <w:tc>
          <w:tcPr>
            <w:tcW w:w="3890" w:type="dxa"/>
            <w:noWrap w:val="0"/>
            <w:vAlign w:val="center"/>
          </w:tcPr>
          <w:p w14:paraId="7D448AF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除公路防护、养护需要的以外，禁止在公路两侧的建筑控制区内修建建筑物和地面构筑物；需要在建筑控制区内埋设管线、电缆等设施的，应当事先经县级以上地方人民政府交通主管部门批准。</w:t>
            </w:r>
          </w:p>
        </w:tc>
        <w:tc>
          <w:tcPr>
            <w:tcW w:w="2095" w:type="dxa"/>
            <w:noWrap w:val="0"/>
            <w:vAlign w:val="center"/>
          </w:tcPr>
          <w:p w14:paraId="2DF0858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《中华人民共和国公路法》</w:t>
            </w:r>
          </w:p>
          <w:p w14:paraId="4DC3921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第五十六条</w:t>
            </w:r>
          </w:p>
        </w:tc>
        <w:tc>
          <w:tcPr>
            <w:tcW w:w="1905" w:type="dxa"/>
            <w:noWrap w:val="0"/>
            <w:vAlign w:val="center"/>
          </w:tcPr>
          <w:p w14:paraId="091E107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不在</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公路两侧</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30m内</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建筑控制区修建建筑物和地面构筑物，</w:t>
            </w: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已向交通主管部门提出申请</w:t>
            </w:r>
          </w:p>
        </w:tc>
        <w:tc>
          <w:tcPr>
            <w:tcW w:w="640" w:type="dxa"/>
            <w:noWrap w:val="0"/>
            <w:vAlign w:val="center"/>
          </w:tcPr>
          <w:p w14:paraId="5104EA1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7570E31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09A8C2D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8</w:t>
            </w:r>
          </w:p>
        </w:tc>
        <w:tc>
          <w:tcPr>
            <w:tcW w:w="3890" w:type="dxa"/>
            <w:noWrap w:val="0"/>
            <w:vAlign w:val="center"/>
          </w:tcPr>
          <w:p w14:paraId="1BF6E84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在公路建筑控制区内，除公路保护需要外，禁止修建建筑物和地面构筑物；公路建筑控制区划定前已经合法修建的不得扩建，因公路建设或者保障公路运行安全等原因需要拆除的应当依法给予补偿。在公路建筑控制区外修建的建筑物、地面构筑物以及其他设施不得遮挡公路标志，不得妨碍安全视距。</w:t>
            </w:r>
          </w:p>
        </w:tc>
        <w:tc>
          <w:tcPr>
            <w:tcW w:w="2095" w:type="dxa"/>
            <w:noWrap w:val="0"/>
            <w:vAlign w:val="center"/>
          </w:tcPr>
          <w:p w14:paraId="4A1007D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《公路安全保护条例》</w:t>
            </w:r>
          </w:p>
          <w:p w14:paraId="0350703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第十三条</w:t>
            </w:r>
          </w:p>
        </w:tc>
        <w:tc>
          <w:tcPr>
            <w:tcW w:w="1905" w:type="dxa"/>
            <w:noWrap w:val="0"/>
            <w:vAlign w:val="center"/>
          </w:tcPr>
          <w:p w14:paraId="74BFEE5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不</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会</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遮挡公路标志，不得妨碍安全视距</w:t>
            </w:r>
          </w:p>
        </w:tc>
        <w:tc>
          <w:tcPr>
            <w:tcW w:w="640" w:type="dxa"/>
            <w:noWrap w:val="0"/>
            <w:vAlign w:val="center"/>
          </w:tcPr>
          <w:p w14:paraId="1120915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6753D74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172782F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9</w:t>
            </w:r>
          </w:p>
        </w:tc>
        <w:tc>
          <w:tcPr>
            <w:tcW w:w="3890" w:type="dxa"/>
            <w:noWrap w:val="0"/>
            <w:vAlign w:val="center"/>
          </w:tcPr>
          <w:p w14:paraId="300AABC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禁止损坏、擅自移动、涂改、遮挡公路附属设施或者利用公路附属设施架设管道、悬挂物品。</w:t>
            </w:r>
          </w:p>
        </w:tc>
        <w:tc>
          <w:tcPr>
            <w:tcW w:w="2095" w:type="dxa"/>
            <w:noWrap w:val="0"/>
            <w:vAlign w:val="center"/>
          </w:tcPr>
          <w:p w14:paraId="0D2C1E0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《公路安全保护条例》</w:t>
            </w:r>
          </w:p>
          <w:p w14:paraId="5B1BC44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第二十五条</w:t>
            </w:r>
          </w:p>
        </w:tc>
        <w:tc>
          <w:tcPr>
            <w:tcW w:w="1905" w:type="dxa"/>
            <w:noWrap w:val="0"/>
            <w:vAlign w:val="center"/>
          </w:tcPr>
          <w:p w14:paraId="31EEEAC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不会损坏、擅自移动、涂改、遮挡公路附属设施或者利用公路附属设施架设管道、悬挂物品</w:t>
            </w:r>
          </w:p>
        </w:tc>
        <w:tc>
          <w:tcPr>
            <w:tcW w:w="640" w:type="dxa"/>
            <w:noWrap w:val="0"/>
            <w:vAlign w:val="center"/>
          </w:tcPr>
          <w:p w14:paraId="2574ACE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符合要求</w:t>
            </w:r>
          </w:p>
        </w:tc>
      </w:tr>
      <w:tr w14:paraId="3EC7455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828B23F">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10</w:t>
            </w:r>
          </w:p>
        </w:tc>
        <w:tc>
          <w:tcPr>
            <w:tcW w:w="3890" w:type="dxa"/>
            <w:noWrap w:val="0"/>
            <w:vAlign w:val="center"/>
          </w:tcPr>
          <w:p w14:paraId="322D978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禁止破坏公路、公路用地范围内的绿化物。需要更新采伐护路林的，应当向公路管理机构提出申请，经批准方可更新采伐，并及时补种；不能及时补种的，应当交纳补种所需费用，由公路管理机构代为补种。</w:t>
            </w:r>
          </w:p>
        </w:tc>
        <w:tc>
          <w:tcPr>
            <w:tcW w:w="2095" w:type="dxa"/>
            <w:noWrap w:val="0"/>
            <w:vAlign w:val="center"/>
          </w:tcPr>
          <w:p w14:paraId="2A96E87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《公路安全保护条例》</w:t>
            </w:r>
          </w:p>
          <w:p w14:paraId="5069288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第二十六条</w:t>
            </w:r>
          </w:p>
        </w:tc>
        <w:tc>
          <w:tcPr>
            <w:tcW w:w="1905" w:type="dxa"/>
            <w:noWrap w:val="0"/>
            <w:vAlign w:val="center"/>
          </w:tcPr>
          <w:p w14:paraId="002AC2F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不会破坏公路、公路用地范围内的绿化物</w:t>
            </w:r>
          </w:p>
        </w:tc>
        <w:tc>
          <w:tcPr>
            <w:tcW w:w="640" w:type="dxa"/>
            <w:noWrap w:val="0"/>
            <w:vAlign w:val="center"/>
          </w:tcPr>
          <w:p w14:paraId="4FE0A03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符合要求</w:t>
            </w:r>
          </w:p>
        </w:tc>
      </w:tr>
      <w:tr w14:paraId="676B533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1D8E98F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11</w:t>
            </w:r>
          </w:p>
        </w:tc>
        <w:tc>
          <w:tcPr>
            <w:tcW w:w="3890" w:type="dxa"/>
            <w:noWrap w:val="0"/>
            <w:vAlign w:val="center"/>
          </w:tcPr>
          <w:p w14:paraId="496B04E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进行下列涉路施工活动，建设单位应当向公路管理机构提出申请：（一）因修建铁路、机场、供电、水利、通信等建设工程需要占用、挖掘公路、公路用地或者使公路改线；（二）跨越、穿越公路修建桥梁、渡槽或者架设、埋设管道、电缆等设施；（三）在公路用地范围内架设、埋设管道、电缆等设施；（四）利用公路桥梁、公路隧道、涵洞铺设电缆等设施；（五）利用跨越公路的设施悬挂非公路标志；（六）在公路上增设或者改造平面交叉道口；（七）在公路建筑控制区内埋设管道、电缆等设施。</w:t>
            </w:r>
          </w:p>
        </w:tc>
        <w:tc>
          <w:tcPr>
            <w:tcW w:w="2095" w:type="dxa"/>
            <w:noWrap w:val="0"/>
            <w:vAlign w:val="center"/>
          </w:tcPr>
          <w:p w14:paraId="6A6D0D5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《公路安全保护条例》</w:t>
            </w:r>
          </w:p>
          <w:p w14:paraId="1CA6A96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第二十七条</w:t>
            </w:r>
          </w:p>
        </w:tc>
        <w:tc>
          <w:tcPr>
            <w:tcW w:w="1905" w:type="dxa"/>
            <w:noWrap w:val="0"/>
            <w:vAlign w:val="center"/>
          </w:tcPr>
          <w:p w14:paraId="7F49E58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已</w:t>
            </w: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向公路管理机构提出申请</w:t>
            </w:r>
          </w:p>
        </w:tc>
        <w:tc>
          <w:tcPr>
            <w:tcW w:w="640" w:type="dxa"/>
            <w:noWrap w:val="0"/>
            <w:vAlign w:val="center"/>
          </w:tcPr>
          <w:p w14:paraId="2A38912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符合要求</w:t>
            </w:r>
          </w:p>
        </w:tc>
      </w:tr>
      <w:tr w14:paraId="0F1366A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037DB65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12</w:t>
            </w:r>
          </w:p>
        </w:tc>
        <w:tc>
          <w:tcPr>
            <w:tcW w:w="3890" w:type="dxa"/>
            <w:noWrap w:val="0"/>
            <w:vAlign w:val="center"/>
          </w:tcPr>
          <w:p w14:paraId="31BEB06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建设单位应当按照许可的设计和施工方案进行施工作业，并落实保障公路、公路附属设施质量和安全的防护措施。涉路施工完毕，公路管理机构应当对公路、公路附属设施是否达到规定的技术标准以及施工是否符合保障公路、公路附属设施质量和安全的要求进行验收；影响交通安全的，还应当经公安机关交通管理部门验收。涉路工程设施的所有人、管理人应当加强维护和管理，确保工程设施不影响公路的完好、安全和畅通。</w:t>
            </w:r>
          </w:p>
        </w:tc>
        <w:tc>
          <w:tcPr>
            <w:tcW w:w="2095" w:type="dxa"/>
            <w:noWrap w:val="0"/>
            <w:vAlign w:val="center"/>
          </w:tcPr>
          <w:p w14:paraId="23A6B4B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《公路安全保护条例》</w:t>
            </w:r>
          </w:p>
          <w:p w14:paraId="52B5A6C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第二十九条</w:t>
            </w:r>
          </w:p>
        </w:tc>
        <w:tc>
          <w:tcPr>
            <w:tcW w:w="1905" w:type="dxa"/>
            <w:noWrap w:val="0"/>
            <w:vAlign w:val="center"/>
          </w:tcPr>
          <w:p w14:paraId="429F3B6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按照许可的设计和施工方案进行施工作业，落实保障公路、公路附属设施质量和安全的防护措施</w:t>
            </w:r>
          </w:p>
        </w:tc>
        <w:tc>
          <w:tcPr>
            <w:tcW w:w="640" w:type="dxa"/>
            <w:noWrap w:val="0"/>
            <w:vAlign w:val="center"/>
          </w:tcPr>
          <w:p w14:paraId="7074A91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符合要求</w:t>
            </w:r>
          </w:p>
        </w:tc>
      </w:tr>
      <w:tr w14:paraId="04BDF2A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3" w:hRule="atLeast"/>
          <w:jc w:val="center"/>
        </w:trPr>
        <w:tc>
          <w:tcPr>
            <w:tcW w:w="541" w:type="dxa"/>
            <w:noWrap w:val="0"/>
            <w:vAlign w:val="center"/>
          </w:tcPr>
          <w:p w14:paraId="213CAA97">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13</w:t>
            </w:r>
          </w:p>
        </w:tc>
        <w:tc>
          <w:tcPr>
            <w:tcW w:w="3890" w:type="dxa"/>
            <w:noWrap w:val="0"/>
            <w:vAlign w:val="center"/>
          </w:tcPr>
          <w:p w14:paraId="7493503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微型顶管宜采用直线顶进</w:t>
            </w:r>
          </w:p>
        </w:tc>
        <w:tc>
          <w:tcPr>
            <w:tcW w:w="2095" w:type="dxa"/>
            <w:noWrap w:val="0"/>
            <w:vAlign w:val="center"/>
          </w:tcPr>
          <w:p w14:paraId="51F68B2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1A4D660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3.0.</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3</w:t>
            </w:r>
          </w:p>
        </w:tc>
        <w:tc>
          <w:tcPr>
            <w:tcW w:w="1905" w:type="dxa"/>
            <w:noWrap w:val="0"/>
            <w:vAlign w:val="center"/>
          </w:tcPr>
          <w:p w14:paraId="2857AD2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采用直线顶进</w:t>
            </w:r>
          </w:p>
        </w:tc>
        <w:tc>
          <w:tcPr>
            <w:tcW w:w="640" w:type="dxa"/>
            <w:noWrap w:val="0"/>
            <w:vAlign w:val="center"/>
          </w:tcPr>
          <w:p w14:paraId="75A352A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4DDD665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301" w:hRule="atLeast"/>
          <w:jc w:val="center"/>
        </w:trPr>
        <w:tc>
          <w:tcPr>
            <w:tcW w:w="541" w:type="dxa"/>
            <w:noWrap w:val="0"/>
            <w:vAlign w:val="center"/>
          </w:tcPr>
          <w:p w14:paraId="74A8CF93">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14</w:t>
            </w:r>
          </w:p>
        </w:tc>
        <w:tc>
          <w:tcPr>
            <w:tcW w:w="3890" w:type="dxa"/>
            <w:noWrap w:val="0"/>
            <w:vAlign w:val="center"/>
          </w:tcPr>
          <w:p w14:paraId="72DD852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微型顶管穿越铁路、高等级公路、地铁、重要水域、已有建</w:t>
            </w:r>
            <w:r>
              <w:rPr>
                <w:rFonts w:hint="eastAsia" w:ascii="Times New Roman" w:hAnsi="Times New Roman" w:eastAsia="宋体" w:cs="Times New Roman"/>
                <w:snapToGrid w:val="0"/>
                <w:color w:val="000000" w:themeColor="text1"/>
                <w:spacing w:val="0"/>
                <w:kern w:val="0"/>
                <w:sz w:val="21"/>
                <w:lang w:val="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构</w:t>
            </w:r>
            <w:r>
              <w:rPr>
                <w:rFonts w:hint="eastAsia" w:ascii="Times New Roman" w:hAnsi="Times New Roman" w:eastAsia="宋体" w:cs="Times New Roman"/>
                <w:snapToGrid w:val="0"/>
                <w:color w:val="000000" w:themeColor="text1"/>
                <w:spacing w:val="0"/>
                <w:kern w:val="0"/>
                <w:sz w:val="21"/>
                <w:lang w:val="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筑物或其他重要设施时，应征得有关部门的同意，其设计和施工应遵守相关的技术安全规定</w:t>
            </w:r>
          </w:p>
        </w:tc>
        <w:tc>
          <w:tcPr>
            <w:tcW w:w="2095" w:type="dxa"/>
            <w:noWrap w:val="0"/>
            <w:vAlign w:val="center"/>
          </w:tcPr>
          <w:p w14:paraId="6B79C79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54FB10B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3.0.</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4</w:t>
            </w:r>
          </w:p>
        </w:tc>
        <w:tc>
          <w:tcPr>
            <w:tcW w:w="1905" w:type="dxa"/>
            <w:noWrap w:val="0"/>
            <w:vAlign w:val="center"/>
          </w:tcPr>
          <w:p w14:paraId="4356D89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已</w:t>
            </w:r>
            <w: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t>向公路管理机构提出申请</w:t>
            </w:r>
          </w:p>
        </w:tc>
        <w:tc>
          <w:tcPr>
            <w:tcW w:w="640" w:type="dxa"/>
            <w:noWrap w:val="0"/>
            <w:vAlign w:val="center"/>
          </w:tcPr>
          <w:p w14:paraId="528FE9F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2828C0F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243" w:hRule="atLeast"/>
          <w:jc w:val="center"/>
        </w:trPr>
        <w:tc>
          <w:tcPr>
            <w:tcW w:w="541" w:type="dxa"/>
            <w:noWrap w:val="0"/>
            <w:vAlign w:val="center"/>
          </w:tcPr>
          <w:p w14:paraId="5BE7FD99">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15</w:t>
            </w:r>
          </w:p>
        </w:tc>
        <w:tc>
          <w:tcPr>
            <w:tcW w:w="3890" w:type="dxa"/>
            <w:noWrap w:val="0"/>
            <w:vAlign w:val="center"/>
          </w:tcPr>
          <w:p w14:paraId="0F6E1DC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微型顶管施工属于有限空间作业，施工前应取得安全施工许可证，并应遵循有关施工安全、劳动防护、防火、防毒的法律、法规，建立安全生产保障体系。</w:t>
            </w:r>
          </w:p>
        </w:tc>
        <w:tc>
          <w:tcPr>
            <w:tcW w:w="2095" w:type="dxa"/>
            <w:noWrap w:val="0"/>
            <w:vAlign w:val="center"/>
          </w:tcPr>
          <w:p w14:paraId="4A014C1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4A4429B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3.0.</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5</w:t>
            </w:r>
          </w:p>
        </w:tc>
        <w:tc>
          <w:tcPr>
            <w:tcW w:w="1905" w:type="dxa"/>
            <w:noWrap w:val="0"/>
            <w:vAlign w:val="center"/>
          </w:tcPr>
          <w:p w14:paraId="04F3F14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施工单位</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已取得安全生产许可证</w:t>
            </w:r>
          </w:p>
        </w:tc>
        <w:tc>
          <w:tcPr>
            <w:tcW w:w="640" w:type="dxa"/>
            <w:noWrap w:val="0"/>
            <w:vAlign w:val="center"/>
          </w:tcPr>
          <w:p w14:paraId="7D25767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7A4C20B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541" w:type="dxa"/>
            <w:noWrap w:val="0"/>
            <w:vAlign w:val="center"/>
          </w:tcPr>
          <w:p w14:paraId="5BBB426E">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16</w:t>
            </w:r>
          </w:p>
        </w:tc>
        <w:tc>
          <w:tcPr>
            <w:tcW w:w="3890" w:type="dxa"/>
            <w:noWrap w:val="0"/>
            <w:vAlign w:val="center"/>
          </w:tcPr>
          <w:p w14:paraId="612BEA1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施工单位应编制专项施工方案，并应对微型顶管设备进行选型论证</w:t>
            </w:r>
            <w:r>
              <w:rPr>
                <w:rFonts w:hint="eastAsia" w:cs="Times New Roman"/>
                <w:snapToGrid w:val="0"/>
                <w:color w:val="000000" w:themeColor="text1"/>
                <w:spacing w:val="0"/>
                <w:kern w:val="0"/>
                <w:sz w:val="21"/>
                <w:lang w:val="zh-CN"/>
                <w14:textFill>
                  <w14:solidFill>
                    <w14:schemeClr w14:val="tx1"/>
                  </w14:solidFill>
                </w14:textFill>
              </w:rPr>
              <w:t>。</w:t>
            </w:r>
          </w:p>
        </w:tc>
        <w:tc>
          <w:tcPr>
            <w:tcW w:w="2095" w:type="dxa"/>
            <w:noWrap w:val="0"/>
            <w:vAlign w:val="center"/>
          </w:tcPr>
          <w:p w14:paraId="777AF12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5592F9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3.0.</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6</w:t>
            </w:r>
          </w:p>
        </w:tc>
        <w:tc>
          <w:tcPr>
            <w:tcW w:w="1905" w:type="dxa"/>
            <w:noWrap w:val="0"/>
            <w:vAlign w:val="center"/>
          </w:tcPr>
          <w:p w14:paraId="3C8E342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已</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编制专项施工方案</w:t>
            </w:r>
            <w:r>
              <w:rPr>
                <w:rFonts w:hint="eastAsia" w:cs="Times New Roman"/>
                <w:snapToGrid w:val="0"/>
                <w:color w:val="000000" w:themeColor="text1"/>
                <w:spacing w:val="0"/>
                <w:kern w:val="0"/>
                <w:sz w:val="21"/>
                <w:lang w:val="en-US" w:eastAsia="zh-CN"/>
                <w14:textFill>
                  <w14:solidFill>
                    <w14:schemeClr w14:val="tx1"/>
                  </w14:solidFill>
                </w14:textFill>
              </w:rPr>
              <w:t>，但未进行选型论证</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p>
        </w:tc>
        <w:tc>
          <w:tcPr>
            <w:tcW w:w="640" w:type="dxa"/>
            <w:noWrap w:val="0"/>
            <w:vAlign w:val="center"/>
          </w:tcPr>
          <w:p w14:paraId="3C0DEB7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提出对策措施</w:t>
            </w:r>
          </w:p>
        </w:tc>
      </w:tr>
      <w:tr w14:paraId="28B86E5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75" w:hRule="atLeast"/>
          <w:jc w:val="center"/>
        </w:trPr>
        <w:tc>
          <w:tcPr>
            <w:tcW w:w="541" w:type="dxa"/>
            <w:noWrap w:val="0"/>
            <w:vAlign w:val="center"/>
          </w:tcPr>
          <w:p w14:paraId="00119ADE">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17</w:t>
            </w:r>
          </w:p>
        </w:tc>
        <w:tc>
          <w:tcPr>
            <w:tcW w:w="3890" w:type="dxa"/>
            <w:noWrap w:val="0"/>
            <w:vAlign w:val="center"/>
          </w:tcPr>
          <w:p w14:paraId="0FF50EE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微型顶管完成后，应按相关技术文件要求进行验收</w:t>
            </w:r>
            <w:r>
              <w:rPr>
                <w:rFonts w:hint="eastAsia" w:ascii="Times New Roman" w:hAnsi="Times New Roman" w:eastAsia="宋体" w:cs="Times New Roman"/>
                <w:snapToGrid w:val="0"/>
                <w:color w:val="000000" w:themeColor="text1"/>
                <w:spacing w:val="0"/>
                <w:kern w:val="0"/>
                <w:sz w:val="21"/>
                <w:lang w:val="zh-CN"/>
                <w14:textFill>
                  <w14:solidFill>
                    <w14:schemeClr w14:val="tx1"/>
                  </w14:solidFill>
                </w14:textFill>
              </w:rPr>
              <w:t>。</w:t>
            </w:r>
          </w:p>
        </w:tc>
        <w:tc>
          <w:tcPr>
            <w:tcW w:w="2095" w:type="dxa"/>
            <w:noWrap w:val="0"/>
            <w:vAlign w:val="center"/>
          </w:tcPr>
          <w:p w14:paraId="1E7E80F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721D12F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3.0.</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7</w:t>
            </w:r>
          </w:p>
        </w:tc>
        <w:tc>
          <w:tcPr>
            <w:tcW w:w="1905" w:type="dxa"/>
            <w:noWrap w:val="0"/>
            <w:vAlign w:val="center"/>
          </w:tcPr>
          <w:p w14:paraId="1AFC81A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制定了</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施工质量验收标准</w:t>
            </w:r>
            <w:r>
              <w:rPr>
                <w:rFonts w:hint="eastAsia" w:ascii="Times New Roman" w:hAnsi="Times New Roman" w:eastAsia="宋体" w:cs="Times New Roman"/>
                <w:snapToGrid w:val="0"/>
                <w:color w:val="000000" w:themeColor="text1"/>
                <w:spacing w:val="0"/>
                <w:kern w:val="0"/>
                <w:sz w:val="21"/>
                <w:lang w:eastAsia="zh-CN"/>
                <w14:textFill>
                  <w14:solidFill>
                    <w14:schemeClr w14:val="tx1"/>
                  </w14:solidFill>
                </w14:textFill>
              </w:rPr>
              <w:t>，</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施工完成后需进行验收</w:t>
            </w:r>
          </w:p>
        </w:tc>
        <w:tc>
          <w:tcPr>
            <w:tcW w:w="640" w:type="dxa"/>
            <w:noWrap w:val="0"/>
            <w:vAlign w:val="center"/>
          </w:tcPr>
          <w:p w14:paraId="782E287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3A04756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381" w:hRule="atLeast"/>
          <w:jc w:val="center"/>
        </w:trPr>
        <w:tc>
          <w:tcPr>
            <w:tcW w:w="541" w:type="dxa"/>
            <w:noWrap w:val="0"/>
            <w:vAlign w:val="center"/>
          </w:tcPr>
          <w:p w14:paraId="5D69D1EB">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18</w:t>
            </w:r>
          </w:p>
        </w:tc>
        <w:tc>
          <w:tcPr>
            <w:tcW w:w="3890" w:type="dxa"/>
            <w:noWrap w:val="0"/>
            <w:vAlign w:val="center"/>
          </w:tcPr>
          <w:p w14:paraId="0A091BE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微型顶管管道材质应根据管道用途、输送介质及其压力、管材特性、地质条件及当地使用经验确定。</w:t>
            </w:r>
          </w:p>
        </w:tc>
        <w:tc>
          <w:tcPr>
            <w:tcW w:w="2095" w:type="dxa"/>
            <w:noWrap w:val="0"/>
            <w:vAlign w:val="center"/>
          </w:tcPr>
          <w:p w14:paraId="3B91275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3661EEE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4.1.1</w:t>
            </w:r>
          </w:p>
        </w:tc>
        <w:tc>
          <w:tcPr>
            <w:tcW w:w="1905" w:type="dxa"/>
            <w:noWrap w:val="0"/>
            <w:vAlign w:val="center"/>
          </w:tcPr>
          <w:p w14:paraId="60F1B8F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选择</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胀锁密封连接聚乙烯实壁排水管</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DN</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500</w:t>
            </w:r>
          </w:p>
        </w:tc>
        <w:tc>
          <w:tcPr>
            <w:tcW w:w="640" w:type="dxa"/>
            <w:noWrap w:val="0"/>
            <w:vAlign w:val="center"/>
          </w:tcPr>
          <w:p w14:paraId="3AD7F06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532EFCB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DEBBE6F">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19</w:t>
            </w:r>
          </w:p>
        </w:tc>
        <w:tc>
          <w:tcPr>
            <w:tcW w:w="3890" w:type="dxa"/>
            <w:noWrap w:val="0"/>
            <w:vAlign w:val="center"/>
          </w:tcPr>
          <w:p w14:paraId="6057890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方案设计阶段应对拟建管道沿线的场地使用条件、障碍物、地形和地质、环境保护条件等进行调查，根据调查结果确定管线路由、管道埋深、顶管工作井和接收井的位置、附属设施的位置、顶管施工工法、辅助施工措施、管材选用等</w:t>
            </w:r>
            <w:r>
              <w:rPr>
                <w:rFonts w:hint="eastAsia" w:ascii="Times New Roman" w:hAnsi="Times New Roman" w:eastAsia="宋体" w:cs="Times New Roman"/>
                <w:snapToGrid w:val="0"/>
                <w:color w:val="000000" w:themeColor="text1"/>
                <w:spacing w:val="0"/>
                <w:kern w:val="0"/>
                <w:sz w:val="21"/>
                <w:lang w:val="zh-CN"/>
                <w14:textFill>
                  <w14:solidFill>
                    <w14:schemeClr w14:val="tx1"/>
                  </w14:solidFill>
                </w14:textFill>
              </w:rPr>
              <w:t>。</w:t>
            </w:r>
          </w:p>
        </w:tc>
        <w:tc>
          <w:tcPr>
            <w:tcW w:w="2095" w:type="dxa"/>
            <w:noWrap w:val="0"/>
            <w:vAlign w:val="center"/>
          </w:tcPr>
          <w:p w14:paraId="744AE7F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58E5691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5.1.1</w:t>
            </w:r>
          </w:p>
        </w:tc>
        <w:tc>
          <w:tcPr>
            <w:tcW w:w="1905" w:type="dxa"/>
            <w:noWrap w:val="0"/>
            <w:vAlign w:val="center"/>
          </w:tcPr>
          <w:p w14:paraId="4626427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方案设计阶段</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已进行相关调查，并确定了</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管线</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布置等</w:t>
            </w:r>
          </w:p>
        </w:tc>
        <w:tc>
          <w:tcPr>
            <w:tcW w:w="640" w:type="dxa"/>
            <w:noWrap w:val="0"/>
            <w:vAlign w:val="center"/>
          </w:tcPr>
          <w:p w14:paraId="5D8C244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30AA708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2B85DC9A">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20</w:t>
            </w:r>
          </w:p>
        </w:tc>
        <w:tc>
          <w:tcPr>
            <w:tcW w:w="3890" w:type="dxa"/>
            <w:noWrap w:val="0"/>
            <w:vAlign w:val="center"/>
          </w:tcPr>
          <w:p w14:paraId="33508D7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微型顶管管位宜避开下列地质条件的场地，因实际条件限制不能避开时应进行专项论证并采取工程处理措施:</w:t>
            </w:r>
          </w:p>
          <w:p w14:paraId="3765630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1</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地基承载力特征值小于50kPa的软弱土;</w:t>
            </w:r>
          </w:p>
          <w:p w14:paraId="29386967">
            <w:pPr>
              <w:keepNext w:val="0"/>
              <w:keepLines w:val="0"/>
              <w:pageBreakBefore w:val="0"/>
              <w:widowControl w:val="0"/>
              <w:numPr>
                <w:ilvl w:val="0"/>
                <w:numId w:val="0"/>
              </w:numPr>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4"/>
                <w:lang w:val="zh-CN" w:eastAsia="zh-CN" w:bidi="ar-SA"/>
                <w14:textFill>
                  <w14:solidFill>
                    <w14:schemeClr w14:val="tx1"/>
                  </w14:solidFill>
                </w14:textFill>
              </w:rPr>
              <w:t>2.</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江河中管顶覆土层渗透系数大于10</w:t>
            </w:r>
            <w:r>
              <w:rPr>
                <w:rFonts w:hint="default" w:ascii="Times New Roman" w:hAnsi="Times New Roman" w:eastAsia="宋体" w:cs="Times New Roman"/>
                <w:snapToGrid w:val="0"/>
                <w:color w:val="000000" w:themeColor="text1"/>
                <w:spacing w:val="0"/>
                <w:kern w:val="0"/>
                <w:sz w:val="21"/>
                <w:vertAlign w:val="superscript"/>
                <w:lang w:val="zh-CN"/>
                <w14:textFill>
                  <w14:solidFill>
                    <w14:schemeClr w14:val="tx1"/>
                  </w14:solidFill>
                </w14:textFill>
              </w:rPr>
              <w:t>-2</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cm/s;</w:t>
            </w:r>
          </w:p>
          <w:p w14:paraId="43AD1197">
            <w:pPr>
              <w:keepNext w:val="0"/>
              <w:keepLines w:val="0"/>
              <w:pageBreakBefore w:val="0"/>
              <w:widowControl w:val="0"/>
              <w:numPr>
                <w:ilvl w:val="0"/>
                <w:numId w:val="0"/>
              </w:numPr>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4"/>
                <w:lang w:val="zh-CN" w:eastAsia="zh-CN" w:bidi="ar-SA"/>
                <w14:textFill>
                  <w14:solidFill>
                    <w14:schemeClr w14:val="tx1"/>
                  </w14:solidFill>
                </w14:textFill>
              </w:rPr>
              <w:t>3.</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漂石、块石、卵石、碎石等碎石土层;</w:t>
            </w:r>
          </w:p>
          <w:p w14:paraId="249CB118">
            <w:pPr>
              <w:keepNext w:val="0"/>
              <w:keepLines w:val="0"/>
              <w:pageBreakBefore w:val="0"/>
              <w:widowControl w:val="0"/>
              <w:numPr>
                <w:ilvl w:val="0"/>
                <w:numId w:val="0"/>
              </w:numPr>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软硬差异明显的岩土交界面;</w:t>
            </w:r>
          </w:p>
          <w:p w14:paraId="191A776A">
            <w:pPr>
              <w:keepNext w:val="0"/>
              <w:keepLines w:val="0"/>
              <w:pageBreakBefore w:val="0"/>
              <w:widowControl w:val="0"/>
              <w:numPr>
                <w:ilvl w:val="0"/>
                <w:numId w:val="0"/>
              </w:numPr>
              <w:tabs>
                <w:tab w:val="left" w:pos="720"/>
              </w:tabs>
              <w:kinsoku/>
              <w:wordWrap w:val="0"/>
              <w:overflowPunct/>
              <w:topLinePunct w:val="0"/>
              <w:autoSpaceDE/>
              <w:autoSpaceDN/>
              <w:bidi w:val="0"/>
              <w:adjustRightInd w:val="0"/>
              <w:snapToGrid w:val="0"/>
              <w:spacing w:beforeAutospacing="0" w:afterAutospacing="0" w:line="280" w:lineRule="exact"/>
              <w:ind w:leftChars="0"/>
              <w:jc w:val="left"/>
              <w:textAlignment w:val="cente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5.溶(土)洞发育场地;</w:t>
            </w:r>
          </w:p>
          <w:p w14:paraId="21D1AAC4">
            <w:pPr>
              <w:keepNext w:val="0"/>
              <w:keepLines w:val="0"/>
              <w:pageBreakBefore w:val="0"/>
              <w:widowControl w:val="0"/>
              <w:numPr>
                <w:ilvl w:val="0"/>
                <w:numId w:val="0"/>
              </w:numPr>
              <w:tabs>
                <w:tab w:val="left" w:pos="720"/>
              </w:tabs>
              <w:kinsoku/>
              <w:wordWrap w:val="0"/>
              <w:overflowPunct/>
              <w:topLinePunct w:val="0"/>
              <w:autoSpaceDE/>
              <w:autoSpaceDN/>
              <w:bidi w:val="0"/>
              <w:adjustRightInd w:val="0"/>
              <w:snapToGrid w:val="0"/>
              <w:spacing w:beforeAutospacing="0" w:afterAutospacing="0" w:line="280" w:lineRule="exact"/>
              <w:ind w:leftChars="0"/>
              <w:jc w:val="left"/>
              <w:textAlignment w:val="cente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6.滑坡、危岩、塌岸等不稳定场地:</w:t>
            </w:r>
          </w:p>
          <w:p w14:paraId="5C533B20">
            <w:pPr>
              <w:keepNext w:val="0"/>
              <w:keepLines w:val="0"/>
              <w:pageBreakBefore w:val="0"/>
              <w:widowControl w:val="0"/>
              <w:numPr>
                <w:ilvl w:val="0"/>
                <w:numId w:val="0"/>
              </w:numPr>
              <w:tabs>
                <w:tab w:val="left" w:pos="720"/>
              </w:tabs>
              <w:kinsoku/>
              <w:wordWrap w:val="0"/>
              <w:overflowPunct/>
              <w:topLinePunct w:val="0"/>
              <w:autoSpaceDE/>
              <w:autoSpaceDN/>
              <w:bidi w:val="0"/>
              <w:adjustRightInd w:val="0"/>
              <w:snapToGrid w:val="0"/>
              <w:spacing w:beforeAutospacing="0" w:afterAutospacing="0" w:line="280" w:lineRule="exact"/>
              <w:ind w:leftChars="0"/>
              <w:jc w:val="left"/>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7.其他不适宜微型顶管的地质条件。</w:t>
            </w:r>
          </w:p>
        </w:tc>
        <w:tc>
          <w:tcPr>
            <w:tcW w:w="2095" w:type="dxa"/>
            <w:noWrap w:val="0"/>
            <w:vAlign w:val="center"/>
          </w:tcPr>
          <w:p w14:paraId="3521C66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5830728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6.2.1</w:t>
            </w:r>
          </w:p>
        </w:tc>
        <w:tc>
          <w:tcPr>
            <w:tcW w:w="1905" w:type="dxa"/>
            <w:noWrap w:val="0"/>
            <w:vAlign w:val="center"/>
          </w:tcPr>
          <w:p w14:paraId="422CADD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已避开上述场地</w:t>
            </w:r>
          </w:p>
        </w:tc>
        <w:tc>
          <w:tcPr>
            <w:tcW w:w="640" w:type="dxa"/>
            <w:noWrap w:val="0"/>
            <w:vAlign w:val="center"/>
          </w:tcPr>
          <w:p w14:paraId="11E2E35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50CDEFE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358" w:hRule="atLeast"/>
          <w:jc w:val="center"/>
        </w:trPr>
        <w:tc>
          <w:tcPr>
            <w:tcW w:w="541" w:type="dxa"/>
            <w:noWrap w:val="0"/>
            <w:vAlign w:val="center"/>
          </w:tcPr>
          <w:p w14:paraId="76C5AE7D">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21</w:t>
            </w:r>
          </w:p>
        </w:tc>
        <w:tc>
          <w:tcPr>
            <w:tcW w:w="3890" w:type="dxa"/>
            <w:noWrap w:val="0"/>
            <w:vAlign w:val="center"/>
          </w:tcPr>
          <w:p w14:paraId="190FABB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微型顶管管位应避开下列情况:</w:t>
            </w:r>
          </w:p>
          <w:p w14:paraId="5BC9F48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1</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本规程第5.1.3条所列项目中不能在顶管通过之前清除或迁移的地下障碍物;</w:t>
            </w:r>
          </w:p>
          <w:p w14:paraId="049BE46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2</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含有易燃易爆或有毒气体的土层。</w:t>
            </w:r>
          </w:p>
        </w:tc>
        <w:tc>
          <w:tcPr>
            <w:tcW w:w="2095" w:type="dxa"/>
            <w:noWrap w:val="0"/>
            <w:vAlign w:val="center"/>
          </w:tcPr>
          <w:p w14:paraId="412CF65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68610D1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6.2.2</w:t>
            </w:r>
          </w:p>
        </w:tc>
        <w:tc>
          <w:tcPr>
            <w:tcW w:w="1905" w:type="dxa"/>
            <w:noWrap w:val="0"/>
            <w:vAlign w:val="center"/>
          </w:tcPr>
          <w:p w14:paraId="6CF64D2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已避开上述情况</w:t>
            </w:r>
          </w:p>
        </w:tc>
        <w:tc>
          <w:tcPr>
            <w:tcW w:w="640" w:type="dxa"/>
            <w:noWrap w:val="0"/>
            <w:vAlign w:val="center"/>
          </w:tcPr>
          <w:p w14:paraId="5E44E78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275D3C6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45115100">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22</w:t>
            </w:r>
          </w:p>
        </w:tc>
        <w:tc>
          <w:tcPr>
            <w:tcW w:w="3890" w:type="dxa"/>
            <w:noWrap w:val="0"/>
            <w:vAlign w:val="center"/>
          </w:tcPr>
          <w:p w14:paraId="3D4C81B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管道埋置深度应符合下列规定:</w:t>
            </w:r>
          </w:p>
          <w:p w14:paraId="2259C2B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1.</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管顶覆盖层厚度应满足管道抗浮稳定性要求;</w:t>
            </w:r>
          </w:p>
          <w:p w14:paraId="4D43398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2</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施工期间管顶覆盖层厚度不宜小于管径的2倍且不宜小于1.5m;</w:t>
            </w:r>
          </w:p>
          <w:p w14:paraId="1656CBB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3</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严寒地区顶管管道应埋置于设计冻深以下;</w:t>
            </w:r>
          </w:p>
          <w:p w14:paraId="6C2DFAA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穿越河道时，管道埋深应满足河道规划深度要求和河道管理部门的要求，管顶覆盖层厚度不计人河床冲刷线或清淤线以上部分;</w:t>
            </w:r>
          </w:p>
          <w:p w14:paraId="146339A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5</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穿越航道时，管道埋深应满足船舶抛锚等通航安全要求;穿越铁路、公路、堤防或其他重要设施时，管道埋深应遵守铁路、公路、堤防或其他重要设施的相关安全规定。</w:t>
            </w:r>
          </w:p>
        </w:tc>
        <w:tc>
          <w:tcPr>
            <w:tcW w:w="2095" w:type="dxa"/>
            <w:noWrap w:val="0"/>
            <w:vAlign w:val="center"/>
          </w:tcPr>
          <w:p w14:paraId="3F6C5E1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34517D3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6.2.3</w:t>
            </w:r>
          </w:p>
        </w:tc>
        <w:tc>
          <w:tcPr>
            <w:tcW w:w="1905" w:type="dxa"/>
            <w:noWrap w:val="0"/>
            <w:vAlign w:val="center"/>
          </w:tcPr>
          <w:p w14:paraId="7BFADB2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管道埋深3.55m，覆盖层3m</w:t>
            </w:r>
          </w:p>
        </w:tc>
        <w:tc>
          <w:tcPr>
            <w:tcW w:w="640" w:type="dxa"/>
            <w:noWrap w:val="0"/>
            <w:vAlign w:val="center"/>
          </w:tcPr>
          <w:p w14:paraId="7CEE462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33E8133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88CA14B">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23</w:t>
            </w:r>
          </w:p>
        </w:tc>
        <w:tc>
          <w:tcPr>
            <w:tcW w:w="3890" w:type="dxa"/>
            <w:noWrap w:val="0"/>
            <w:vAlign w:val="center"/>
          </w:tcPr>
          <w:p w14:paraId="3B7FCEC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管道之间及其与建(构)筑物基础、现状工程管线之间的最小水平净距和最小竖直净距应根据土层性质、顶进长度、管材、管径、管道埋深、输送介质压力、建(构)筑物基础形式等因素综合确定，并应符合下列规定。因条件限制不能满足下列规定时，应对建(构)筑物基础、现状管道采取施工保护措施。</w:t>
            </w:r>
          </w:p>
        </w:tc>
        <w:tc>
          <w:tcPr>
            <w:tcW w:w="2095" w:type="dxa"/>
            <w:noWrap w:val="0"/>
            <w:vAlign w:val="center"/>
          </w:tcPr>
          <w:p w14:paraId="31C24DE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56EBC820">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6.2.4</w:t>
            </w:r>
          </w:p>
        </w:tc>
        <w:tc>
          <w:tcPr>
            <w:tcW w:w="1905" w:type="dxa"/>
            <w:noWrap w:val="0"/>
            <w:vAlign w:val="center"/>
          </w:tcPr>
          <w:p w14:paraId="40F1EAF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管道周围无建（构）筑物</w:t>
            </w:r>
          </w:p>
        </w:tc>
        <w:tc>
          <w:tcPr>
            <w:tcW w:w="640" w:type="dxa"/>
            <w:noWrap w:val="0"/>
            <w:vAlign w:val="center"/>
          </w:tcPr>
          <w:p w14:paraId="6CABF67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5D15256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BE9EE7C">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24</w:t>
            </w:r>
          </w:p>
        </w:tc>
        <w:tc>
          <w:tcPr>
            <w:tcW w:w="3890" w:type="dxa"/>
            <w:noWrap w:val="0"/>
            <w:vAlign w:val="center"/>
          </w:tcPr>
          <w:p w14:paraId="12264F6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顶管井布置宜符合下列规定:</w:t>
            </w:r>
          </w:p>
          <w:p w14:paraId="7B23B32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宜在管线上的工艺井(包括管道检查井、阀门井、支管接入井等)处设置顶管井;</w:t>
            </w:r>
          </w:p>
          <w:p w14:paraId="04D650B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2</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顶管井宜避开附近有房屋、地下管线和设施、架空线缆等不利于顶管施工的场地;</w:t>
            </w:r>
          </w:p>
          <w:p w14:paraId="7904760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3</w:t>
            </w:r>
            <w: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工作井宜设在便于排水、出渣和运输，且离水源和电源较近的场地;</w:t>
            </w:r>
          </w:p>
          <w:p w14:paraId="0001005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管线纵向坡度较大时，工作井宜设置在管线较深的一端;</w:t>
            </w:r>
          </w:p>
          <w:p w14:paraId="1795452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5.</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多排或多向顶管时，宜合并设置为一个工作井。</w:t>
            </w:r>
          </w:p>
        </w:tc>
        <w:tc>
          <w:tcPr>
            <w:tcW w:w="2095" w:type="dxa"/>
            <w:noWrap w:val="0"/>
            <w:vAlign w:val="center"/>
          </w:tcPr>
          <w:p w14:paraId="64641E8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2C5219D">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7.1.1</w:t>
            </w:r>
          </w:p>
        </w:tc>
        <w:tc>
          <w:tcPr>
            <w:tcW w:w="1905" w:type="dxa"/>
            <w:noWrap w:val="0"/>
            <w:vAlign w:val="center"/>
          </w:tcPr>
          <w:p w14:paraId="62DCD5D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顶管井符合上述规定</w:t>
            </w:r>
          </w:p>
        </w:tc>
        <w:tc>
          <w:tcPr>
            <w:tcW w:w="640" w:type="dxa"/>
            <w:noWrap w:val="0"/>
            <w:vAlign w:val="center"/>
          </w:tcPr>
          <w:p w14:paraId="3432B2A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3DE4F71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3111FEDD">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25</w:t>
            </w:r>
          </w:p>
        </w:tc>
        <w:tc>
          <w:tcPr>
            <w:tcW w:w="3890" w:type="dxa"/>
            <w:noWrap w:val="0"/>
            <w:vAlign w:val="center"/>
          </w:tcPr>
          <w:p w14:paraId="58CDC9A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顶管井距离铁路、高等级公路、堤防、重要水域或其他重要设施的安全距离，应遵守国家、地方或有关部门的相关标准和规定。</w:t>
            </w:r>
          </w:p>
        </w:tc>
        <w:tc>
          <w:tcPr>
            <w:tcW w:w="2095" w:type="dxa"/>
            <w:noWrap w:val="0"/>
            <w:vAlign w:val="center"/>
          </w:tcPr>
          <w:p w14:paraId="42C45E7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0FBDA8D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7.1.2</w:t>
            </w:r>
          </w:p>
        </w:tc>
        <w:tc>
          <w:tcPr>
            <w:tcW w:w="1905" w:type="dxa"/>
            <w:noWrap w:val="0"/>
            <w:vAlign w:val="center"/>
          </w:tcPr>
          <w:p w14:paraId="292F7F2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满足相关标准规定</w:t>
            </w:r>
          </w:p>
        </w:tc>
        <w:tc>
          <w:tcPr>
            <w:tcW w:w="640" w:type="dxa"/>
            <w:noWrap w:val="0"/>
            <w:vAlign w:val="center"/>
          </w:tcPr>
          <w:p w14:paraId="4DB04EE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符合要求</w:t>
            </w:r>
          </w:p>
        </w:tc>
      </w:tr>
      <w:tr w14:paraId="4D20F82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6F6E404A">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26</w:t>
            </w:r>
          </w:p>
        </w:tc>
        <w:tc>
          <w:tcPr>
            <w:tcW w:w="3890" w:type="dxa"/>
            <w:noWrap w:val="0"/>
            <w:vAlign w:val="center"/>
          </w:tcPr>
          <w:p w14:paraId="1EC2C73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微型顶管井形式应根据地质、地下水、管道埋深等条件确定，宜采用圆形竖井摇管机施工的钢沉井，也可采用钢板桩、沉井、型钢水泥土搅拌墙、灌注桩排桩围护墙、地下连续墙等围护形式。</w:t>
            </w:r>
          </w:p>
        </w:tc>
        <w:tc>
          <w:tcPr>
            <w:tcW w:w="2095" w:type="dxa"/>
            <w:noWrap w:val="0"/>
            <w:vAlign w:val="center"/>
          </w:tcPr>
          <w:p w14:paraId="61740C7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977828C">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7.1.3</w:t>
            </w:r>
          </w:p>
        </w:tc>
        <w:tc>
          <w:tcPr>
            <w:tcW w:w="1905" w:type="dxa"/>
            <w:noWrap w:val="0"/>
            <w:vAlign w:val="center"/>
          </w:tcPr>
          <w:p w14:paraId="75D0406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73A3EF4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759714B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4DEF9EAE">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w:t>
            </w:r>
            <w:r>
              <w:rPr>
                <w:rFonts w:hint="eastAsia" w:cs="Times New Roman"/>
                <w:snapToGrid w:val="0"/>
                <w:color w:val="000000" w:themeColor="text1"/>
                <w:spacing w:val="0"/>
                <w:kern w:val="0"/>
                <w:sz w:val="21"/>
                <w:szCs w:val="21"/>
                <w:lang w:val="en-US" w:eastAsia="zh-CN"/>
                <w14:textFill>
                  <w14:solidFill>
                    <w14:schemeClr w14:val="tx1"/>
                  </w14:solidFill>
                </w14:textFill>
              </w:rPr>
              <w:t>7</w:t>
            </w:r>
          </w:p>
        </w:tc>
        <w:tc>
          <w:tcPr>
            <w:tcW w:w="3890" w:type="dxa"/>
            <w:noWrap w:val="0"/>
            <w:vAlign w:val="center"/>
          </w:tcPr>
          <w:p w14:paraId="1BDFE98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顶管井内应设置集水坑。</w:t>
            </w:r>
          </w:p>
        </w:tc>
        <w:tc>
          <w:tcPr>
            <w:tcW w:w="2095" w:type="dxa"/>
            <w:noWrap w:val="0"/>
            <w:vAlign w:val="center"/>
          </w:tcPr>
          <w:p w14:paraId="19F1B23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7E1793D2">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7.1.5</w:t>
            </w:r>
          </w:p>
        </w:tc>
        <w:tc>
          <w:tcPr>
            <w:tcW w:w="1905" w:type="dxa"/>
            <w:noWrap w:val="0"/>
            <w:vAlign w:val="center"/>
          </w:tcPr>
          <w:p w14:paraId="47DF5A7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val="zh-CN"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5DC3EED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2F4D12E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7E7FB083">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2</w:t>
            </w:r>
            <w:r>
              <w:rPr>
                <w:rFonts w:hint="eastAsia" w:cs="Times New Roman"/>
                <w:snapToGrid w:val="0"/>
                <w:color w:val="000000" w:themeColor="text1"/>
                <w:spacing w:val="0"/>
                <w:kern w:val="0"/>
                <w:sz w:val="21"/>
                <w:szCs w:val="21"/>
                <w:lang w:val="en-US" w:eastAsia="zh-CN"/>
                <w14:textFill>
                  <w14:solidFill>
                    <w14:schemeClr w14:val="tx1"/>
                  </w14:solidFill>
                </w14:textFill>
              </w:rPr>
              <w:t>8</w:t>
            </w:r>
          </w:p>
        </w:tc>
        <w:tc>
          <w:tcPr>
            <w:tcW w:w="3890" w:type="dxa"/>
            <w:noWrap w:val="0"/>
            <w:vAlign w:val="center"/>
          </w:tcPr>
          <w:p w14:paraId="49C92227">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顶管施工前应对管道沿线进行现场踏勘和调查，对工程地质、水文地质、邻近建(构)筑物、地下管线、地下障碍物及其他设施的详细资料进行复核。</w:t>
            </w:r>
          </w:p>
        </w:tc>
        <w:tc>
          <w:tcPr>
            <w:tcW w:w="2095" w:type="dxa"/>
            <w:noWrap w:val="0"/>
            <w:vAlign w:val="center"/>
          </w:tcPr>
          <w:p w14:paraId="25F1D5B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66AF490">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8.1.1</w:t>
            </w:r>
          </w:p>
        </w:tc>
        <w:tc>
          <w:tcPr>
            <w:tcW w:w="1905" w:type="dxa"/>
            <w:noWrap w:val="0"/>
            <w:vAlign w:val="center"/>
          </w:tcPr>
          <w:p w14:paraId="6AB393E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已进</w:t>
            </w:r>
            <w:r>
              <w:rPr>
                <w:rFonts w:hint="eastAsia"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t>行现场踏勘和调查</w:t>
            </w:r>
            <w:r>
              <w:rPr>
                <w:rFonts w:hint="eastAsia" w:cs="Times New Roman"/>
                <w:snapToGrid w:val="0"/>
                <w:color w:val="000000" w:themeColor="text1"/>
                <w:spacing w:val="0"/>
                <w:kern w:val="0"/>
                <w:sz w:val="21"/>
                <w:szCs w:val="21"/>
                <w:lang w:val="en-US" w:eastAsia="zh-CN"/>
                <w14:textFill>
                  <w14:solidFill>
                    <w14:schemeClr w14:val="tx1"/>
                  </w14:solidFill>
                </w14:textFill>
              </w:rPr>
              <w:t>，并进行了复核</w:t>
            </w:r>
          </w:p>
        </w:tc>
        <w:tc>
          <w:tcPr>
            <w:tcW w:w="640" w:type="dxa"/>
            <w:noWrap w:val="0"/>
            <w:vAlign w:val="center"/>
          </w:tcPr>
          <w:p w14:paraId="76EA773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符合要求</w:t>
            </w:r>
          </w:p>
        </w:tc>
      </w:tr>
      <w:tr w14:paraId="3051E5E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6FCEA5A1">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29</w:t>
            </w:r>
          </w:p>
        </w:tc>
        <w:tc>
          <w:tcPr>
            <w:tcW w:w="3890" w:type="dxa"/>
            <w:noWrap w:val="0"/>
            <w:vAlign w:val="center"/>
          </w:tcPr>
          <w:p w14:paraId="79243F7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顶管施工前应进行施工图会审，由设计方进行设计交底，使施工方和监理方掌握设计意图与设计要求。</w:t>
            </w:r>
          </w:p>
        </w:tc>
        <w:tc>
          <w:tcPr>
            <w:tcW w:w="2095" w:type="dxa"/>
            <w:noWrap w:val="0"/>
            <w:vAlign w:val="center"/>
          </w:tcPr>
          <w:p w14:paraId="52F10F7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19E7F259">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8.1.2</w:t>
            </w:r>
          </w:p>
        </w:tc>
        <w:tc>
          <w:tcPr>
            <w:tcW w:w="1905" w:type="dxa"/>
            <w:noWrap w:val="0"/>
            <w:vAlign w:val="center"/>
          </w:tcPr>
          <w:p w14:paraId="7FA73C1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已</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进行施工图会审</w:t>
            </w:r>
          </w:p>
        </w:tc>
        <w:tc>
          <w:tcPr>
            <w:tcW w:w="640" w:type="dxa"/>
            <w:noWrap w:val="0"/>
            <w:vAlign w:val="center"/>
          </w:tcPr>
          <w:p w14:paraId="2C92372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符合要求</w:t>
            </w:r>
          </w:p>
        </w:tc>
      </w:tr>
      <w:tr w14:paraId="6B94D7E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6850DD9E">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w:t>
            </w:r>
            <w:r>
              <w:rPr>
                <w:rFonts w:hint="eastAsia" w:cs="Times New Roman"/>
                <w:snapToGrid w:val="0"/>
                <w:color w:val="000000" w:themeColor="text1"/>
                <w:spacing w:val="0"/>
                <w:kern w:val="0"/>
                <w:sz w:val="21"/>
                <w:szCs w:val="21"/>
                <w:lang w:val="en-US" w:eastAsia="zh-CN"/>
                <w14:textFill>
                  <w14:solidFill>
                    <w14:schemeClr w14:val="tx1"/>
                  </w14:solidFill>
                </w14:textFill>
              </w:rPr>
              <w:t>0</w:t>
            </w:r>
          </w:p>
        </w:tc>
        <w:tc>
          <w:tcPr>
            <w:tcW w:w="3890" w:type="dxa"/>
            <w:noWrap w:val="0"/>
            <w:vAlign w:val="center"/>
          </w:tcPr>
          <w:p w14:paraId="5E01020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微型顶管施工前应编制专项施工方案，施工方案应包括下列主要内容:</w:t>
            </w:r>
          </w:p>
          <w:p w14:paraId="3F5884B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编制依据;</w:t>
            </w:r>
          </w:p>
          <w:p w14:paraId="6C8EFD1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2</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工程概况;</w:t>
            </w:r>
          </w:p>
          <w:p w14:paraId="7D6975D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3.</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管道沿线的工程地质、水文地质及环境条件;</w:t>
            </w:r>
          </w:p>
          <w:p w14:paraId="21CD158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施工现场总平面布置，各管段地质纵剖面图，与邻近建(构)筑物、管线的横剖面图;</w:t>
            </w:r>
          </w:p>
          <w:p w14:paraId="2A00343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5</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确定顶管施工工法:顶管机选型、顶管设备和系统的布置、顶管施工参数的选定、设备吊装验算;</w:t>
            </w:r>
          </w:p>
          <w:p w14:paraId="272865E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6</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管材、管节长度、管道接头形式、管道内外防腐蚀措施;</w:t>
            </w:r>
          </w:p>
          <w:p w14:paraId="061AECF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7</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顶管井:围护形式的选择、顶力估算及反力墙做法、管道穿墙洞口止水措施、洞口土体加固措施;</w:t>
            </w:r>
          </w:p>
          <w:p w14:paraId="438710F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测量及纠偏方法;</w:t>
            </w:r>
          </w:p>
          <w:p w14:paraId="185B7D8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9.</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触变泥浆的配制与管理;</w:t>
            </w:r>
          </w:p>
          <w:p w14:paraId="3DFBCDA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10.</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顶管进出洞措施及安全控制;</w:t>
            </w:r>
          </w:p>
          <w:p w14:paraId="4628BBF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w:t>
            </w:r>
            <w:r>
              <w:rPr>
                <w:rFonts w:hint="eastAsia" w:cs="Times New Roman"/>
                <w:snapToGrid w:val="0"/>
                <w:color w:val="000000" w:themeColor="text1"/>
                <w:spacing w:val="0"/>
                <w:kern w:val="0"/>
                <w:sz w:val="21"/>
                <w:lang w:val="en-US" w:eastAsia="zh-CN"/>
                <w14:textFill>
                  <w14:solidFill>
                    <w14:schemeClr w14:val="tx1"/>
                  </w14:solidFill>
                </w14:textFill>
              </w:rPr>
              <w:t>1.</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施工监测;</w:t>
            </w:r>
          </w:p>
          <w:p w14:paraId="3FAB3FC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12</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环境监测与影响分析;</w:t>
            </w:r>
          </w:p>
          <w:p w14:paraId="210025D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13</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顶管的通风系统、供电系统、通信系统及监视系统;</w:t>
            </w:r>
          </w:p>
          <w:p w14:paraId="3B00F57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eastAsia" w:cs="Times New Roman"/>
                <w:snapToGrid w:val="0"/>
                <w:color w:val="000000" w:themeColor="text1"/>
                <w:spacing w:val="0"/>
                <w:kern w:val="0"/>
                <w:sz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14</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施工进度计划、机械设备计划及劳动力安排计划</w:t>
            </w:r>
            <w:r>
              <w:rPr>
                <w:rFonts w:hint="eastAsia" w:cs="Times New Roman"/>
                <w:snapToGrid w:val="0"/>
                <w:color w:val="000000" w:themeColor="text1"/>
                <w:spacing w:val="0"/>
                <w:kern w:val="0"/>
                <w:sz w:val="21"/>
                <w:lang w:val="en-US" w:eastAsia="zh-CN"/>
                <w14:textFill>
                  <w14:solidFill>
                    <w14:schemeClr w14:val="tx1"/>
                  </w14:solidFill>
                </w14:textFill>
              </w:rPr>
              <w:t>;</w:t>
            </w:r>
          </w:p>
          <w:p w14:paraId="38A8B6E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15.</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安全、质量、文明施工及环境保护措施;</w:t>
            </w:r>
          </w:p>
          <w:p w14:paraId="73CF45F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16.</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废土、渣土、废泥浆的处置方案;</w:t>
            </w:r>
          </w:p>
          <w:p w14:paraId="1263AD9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17.</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交通疏导;</w:t>
            </w:r>
          </w:p>
          <w:p w14:paraId="767869D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18.</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应急预案;</w:t>
            </w:r>
          </w:p>
          <w:p w14:paraId="717699C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19.</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验收要求，</w:t>
            </w:r>
          </w:p>
        </w:tc>
        <w:tc>
          <w:tcPr>
            <w:tcW w:w="2095" w:type="dxa"/>
            <w:noWrap w:val="0"/>
            <w:vAlign w:val="center"/>
          </w:tcPr>
          <w:p w14:paraId="3257D60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3FEBD312">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8.1.3</w:t>
            </w:r>
          </w:p>
        </w:tc>
        <w:tc>
          <w:tcPr>
            <w:tcW w:w="1905" w:type="dxa"/>
            <w:noWrap w:val="0"/>
            <w:vAlign w:val="center"/>
          </w:tcPr>
          <w:p w14:paraId="57B1DB3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缺少部分内容</w:t>
            </w:r>
          </w:p>
        </w:tc>
        <w:tc>
          <w:tcPr>
            <w:tcW w:w="640" w:type="dxa"/>
            <w:noWrap w:val="0"/>
            <w:vAlign w:val="center"/>
          </w:tcPr>
          <w:p w14:paraId="7325AA8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F04EC3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039" w:hRule="atLeast"/>
          <w:jc w:val="center"/>
        </w:trPr>
        <w:tc>
          <w:tcPr>
            <w:tcW w:w="541" w:type="dxa"/>
            <w:noWrap w:val="0"/>
            <w:vAlign w:val="center"/>
          </w:tcPr>
          <w:p w14:paraId="7232757A">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w:t>
            </w:r>
            <w:r>
              <w:rPr>
                <w:rFonts w:hint="eastAsia" w:cs="Times New Roman"/>
                <w:snapToGrid w:val="0"/>
                <w:color w:val="000000" w:themeColor="text1"/>
                <w:spacing w:val="0"/>
                <w:kern w:val="0"/>
                <w:sz w:val="21"/>
                <w:szCs w:val="21"/>
                <w:lang w:val="en-US" w:eastAsia="zh-CN"/>
                <w14:textFill>
                  <w14:solidFill>
                    <w14:schemeClr w14:val="tx1"/>
                  </w14:solidFill>
                </w14:textFill>
              </w:rPr>
              <w:t>1</w:t>
            </w:r>
          </w:p>
        </w:tc>
        <w:tc>
          <w:tcPr>
            <w:tcW w:w="3890" w:type="dxa"/>
            <w:noWrap w:val="0"/>
            <w:vAlign w:val="center"/>
          </w:tcPr>
          <w:p w14:paraId="40AF7C9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顶管工程所用的管材、管道配件和主要原材料等产品进场时应按国家现行有关标准的规定进行验收。</w:t>
            </w:r>
          </w:p>
        </w:tc>
        <w:tc>
          <w:tcPr>
            <w:tcW w:w="2095" w:type="dxa"/>
            <w:noWrap w:val="0"/>
            <w:vAlign w:val="center"/>
          </w:tcPr>
          <w:p w14:paraId="085EE9B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8643D34">
            <w:pPr>
              <w:keepNext w:val="0"/>
              <w:keepLines w:val="0"/>
              <w:pageBreakBefore w:val="0"/>
              <w:widowControl w:val="0"/>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8.1.</w:t>
            </w:r>
            <w:r>
              <w:rPr>
                <w:rFonts w:hint="eastAsia" w:cs="Times New Roman"/>
                <w:snapToGrid w:val="0"/>
                <w:color w:val="000000" w:themeColor="text1"/>
                <w:spacing w:val="0"/>
                <w:kern w:val="0"/>
                <w:sz w:val="21"/>
                <w:lang w:val="en-US" w:eastAsia="zh-CN"/>
                <w14:textFill>
                  <w14:solidFill>
                    <w14:schemeClr w14:val="tx1"/>
                  </w14:solidFill>
                </w14:textFill>
              </w:rPr>
              <w:t>4</w:t>
            </w:r>
          </w:p>
        </w:tc>
        <w:tc>
          <w:tcPr>
            <w:tcW w:w="1905" w:type="dxa"/>
            <w:noWrap w:val="0"/>
            <w:vAlign w:val="center"/>
          </w:tcPr>
          <w:p w14:paraId="0373984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left"/>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已</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按国家现行有关标准的规定进行验收</w:t>
            </w:r>
          </w:p>
        </w:tc>
        <w:tc>
          <w:tcPr>
            <w:tcW w:w="640" w:type="dxa"/>
            <w:noWrap w:val="0"/>
            <w:vAlign w:val="center"/>
          </w:tcPr>
          <w:p w14:paraId="5B4EE45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9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符合要求</w:t>
            </w:r>
          </w:p>
        </w:tc>
      </w:tr>
      <w:tr w14:paraId="65FDDEE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541" w:type="dxa"/>
            <w:noWrap w:val="0"/>
            <w:vAlign w:val="center"/>
          </w:tcPr>
          <w:p w14:paraId="4159805E">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w:t>
            </w:r>
            <w:r>
              <w:rPr>
                <w:rFonts w:hint="eastAsia" w:cs="Times New Roman"/>
                <w:snapToGrid w:val="0"/>
                <w:color w:val="000000" w:themeColor="text1"/>
                <w:spacing w:val="0"/>
                <w:kern w:val="0"/>
                <w:sz w:val="21"/>
                <w:szCs w:val="21"/>
                <w:lang w:val="en-US" w:eastAsia="zh-CN"/>
                <w14:textFill>
                  <w14:solidFill>
                    <w14:schemeClr w14:val="tx1"/>
                  </w14:solidFill>
                </w14:textFill>
              </w:rPr>
              <w:t>2</w:t>
            </w:r>
          </w:p>
        </w:tc>
        <w:tc>
          <w:tcPr>
            <w:tcW w:w="3890" w:type="dxa"/>
            <w:noWrap w:val="0"/>
            <w:vAlign w:val="center"/>
          </w:tcPr>
          <w:p w14:paraId="3A6E676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微型顶管常用施工工法及其适用管径(公称直径)宜按表8.2.1选用。</w:t>
            </w:r>
          </w:p>
        </w:tc>
        <w:tc>
          <w:tcPr>
            <w:tcW w:w="2095" w:type="dxa"/>
            <w:noWrap w:val="0"/>
            <w:vAlign w:val="center"/>
          </w:tcPr>
          <w:p w14:paraId="543CFF7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5F6E51F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8.2.1</w:t>
            </w:r>
          </w:p>
        </w:tc>
        <w:tc>
          <w:tcPr>
            <w:tcW w:w="1905" w:type="dxa"/>
            <w:noWrap w:val="0"/>
            <w:vAlign w:val="center"/>
          </w:tcPr>
          <w:p w14:paraId="319B19A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lang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采用聚乙烯实壁排水管DN500</w:t>
            </w:r>
          </w:p>
        </w:tc>
        <w:tc>
          <w:tcPr>
            <w:tcW w:w="640" w:type="dxa"/>
            <w:noWrap w:val="0"/>
            <w:vAlign w:val="center"/>
          </w:tcPr>
          <w:p w14:paraId="18D3B541">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符合要求</w:t>
            </w:r>
          </w:p>
        </w:tc>
      </w:tr>
      <w:tr w14:paraId="228D9E1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215" w:hRule="atLeast"/>
          <w:jc w:val="center"/>
        </w:trPr>
        <w:tc>
          <w:tcPr>
            <w:tcW w:w="541" w:type="dxa"/>
            <w:noWrap w:val="0"/>
            <w:vAlign w:val="center"/>
          </w:tcPr>
          <w:p w14:paraId="116E4C36">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w:t>
            </w:r>
            <w:r>
              <w:rPr>
                <w:rFonts w:hint="eastAsia" w:cs="Times New Roman"/>
                <w:snapToGrid w:val="0"/>
                <w:color w:val="000000" w:themeColor="text1"/>
                <w:spacing w:val="0"/>
                <w:kern w:val="0"/>
                <w:sz w:val="21"/>
                <w:szCs w:val="21"/>
                <w:lang w:val="en-US" w:eastAsia="zh-CN"/>
                <w14:textFill>
                  <w14:solidFill>
                    <w14:schemeClr w14:val="tx1"/>
                  </w14:solidFill>
                </w14:textFill>
              </w:rPr>
              <w:t>3</w:t>
            </w:r>
          </w:p>
        </w:tc>
        <w:tc>
          <w:tcPr>
            <w:tcW w:w="3890" w:type="dxa"/>
            <w:noWrap w:val="0"/>
            <w:vAlign w:val="center"/>
          </w:tcPr>
          <w:p w14:paraId="59229D6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微型顶管单段顶进长度最大值应根据地质条件、施工工法、管径、管材、施工经验和施工现场条件综合确定，可按表8.2.2-1和表8.2.2-2选用。</w:t>
            </w:r>
          </w:p>
        </w:tc>
        <w:tc>
          <w:tcPr>
            <w:tcW w:w="2095" w:type="dxa"/>
            <w:noWrap w:val="0"/>
            <w:vAlign w:val="center"/>
          </w:tcPr>
          <w:p w14:paraId="07430E7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53A1ECC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8.2.</w:t>
            </w:r>
            <w:r>
              <w:rPr>
                <w:rFonts w:hint="eastAsia" w:cs="Times New Roman"/>
                <w:snapToGrid w:val="0"/>
                <w:color w:val="000000" w:themeColor="text1"/>
                <w:spacing w:val="0"/>
                <w:kern w:val="0"/>
                <w:sz w:val="21"/>
                <w:lang w:val="en-US" w:eastAsia="zh-CN"/>
                <w14:textFill>
                  <w14:solidFill>
                    <w14:schemeClr w14:val="tx1"/>
                  </w14:solidFill>
                </w14:textFill>
              </w:rPr>
              <w:t>2</w:t>
            </w:r>
          </w:p>
        </w:tc>
        <w:tc>
          <w:tcPr>
            <w:tcW w:w="1905" w:type="dxa"/>
            <w:noWrap w:val="0"/>
            <w:vAlign w:val="center"/>
          </w:tcPr>
          <w:p w14:paraId="7399135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微型顶管单段顶进长度</w:t>
            </w:r>
            <w:r>
              <w:rPr>
                <w:rFonts w:hint="eastAsia" w:cs="Times New Roman"/>
                <w:snapToGrid w:val="0"/>
                <w:color w:val="000000" w:themeColor="text1"/>
                <w:spacing w:val="0"/>
                <w:kern w:val="0"/>
                <w:sz w:val="21"/>
                <w:lang w:val="en-US" w:eastAsia="zh-CN"/>
                <w14:textFill>
                  <w14:solidFill>
                    <w14:schemeClr w14:val="tx1"/>
                  </w14:solidFill>
                </w14:textFill>
              </w:rPr>
              <w:t>0.5m</w:t>
            </w:r>
          </w:p>
        </w:tc>
        <w:tc>
          <w:tcPr>
            <w:tcW w:w="640" w:type="dxa"/>
            <w:noWrap w:val="0"/>
            <w:vAlign w:val="center"/>
          </w:tcPr>
          <w:p w14:paraId="67EF0B4C">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符合要求</w:t>
            </w:r>
          </w:p>
        </w:tc>
      </w:tr>
      <w:tr w14:paraId="3321B89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541" w:type="dxa"/>
            <w:noWrap w:val="0"/>
            <w:vAlign w:val="center"/>
          </w:tcPr>
          <w:p w14:paraId="4B76B9B7">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w:t>
            </w:r>
            <w:r>
              <w:rPr>
                <w:rFonts w:hint="eastAsia" w:cs="Times New Roman"/>
                <w:snapToGrid w:val="0"/>
                <w:color w:val="000000" w:themeColor="text1"/>
                <w:spacing w:val="0"/>
                <w:kern w:val="0"/>
                <w:sz w:val="21"/>
                <w:szCs w:val="21"/>
                <w:lang w:val="en-US" w:eastAsia="zh-CN"/>
                <w14:textFill>
                  <w14:solidFill>
                    <w14:schemeClr w14:val="tx1"/>
                  </w14:solidFill>
                </w14:textFill>
              </w:rPr>
              <w:t>4</w:t>
            </w:r>
          </w:p>
        </w:tc>
        <w:tc>
          <w:tcPr>
            <w:tcW w:w="3890" w:type="dxa"/>
            <w:noWrap w:val="0"/>
            <w:vAlign w:val="center"/>
          </w:tcPr>
          <w:p w14:paraId="3F2C0AF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岩层中顶管应采用适用于切削岩石的顶管机;当岩石中含有石英质矿物成分，或岩层强度分布不均匀时，应专门考虑刀盘上刀头的磨损。</w:t>
            </w:r>
          </w:p>
        </w:tc>
        <w:tc>
          <w:tcPr>
            <w:tcW w:w="2095" w:type="dxa"/>
            <w:noWrap w:val="0"/>
            <w:vAlign w:val="center"/>
          </w:tcPr>
          <w:p w14:paraId="602C94F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383A311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8.2.</w:t>
            </w:r>
            <w:r>
              <w:rPr>
                <w:rFonts w:hint="eastAsia" w:cs="Times New Roman"/>
                <w:snapToGrid w:val="0"/>
                <w:color w:val="000000" w:themeColor="text1"/>
                <w:spacing w:val="0"/>
                <w:kern w:val="0"/>
                <w:sz w:val="21"/>
                <w:lang w:val="en-US" w:eastAsia="zh-CN"/>
                <w14:textFill>
                  <w14:solidFill>
                    <w14:schemeClr w14:val="tx1"/>
                  </w14:solidFill>
                </w14:textFill>
              </w:rPr>
              <w:t>4</w:t>
            </w:r>
          </w:p>
        </w:tc>
        <w:tc>
          <w:tcPr>
            <w:tcW w:w="1905" w:type="dxa"/>
            <w:noWrap w:val="0"/>
            <w:vAlign w:val="center"/>
          </w:tcPr>
          <w:p w14:paraId="47B687C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353D6DC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34D366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73" w:hRule="atLeast"/>
          <w:jc w:val="center"/>
        </w:trPr>
        <w:tc>
          <w:tcPr>
            <w:tcW w:w="541" w:type="dxa"/>
            <w:noWrap w:val="0"/>
            <w:vAlign w:val="center"/>
          </w:tcPr>
          <w:p w14:paraId="22EE4532">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3</w:t>
            </w:r>
            <w:r>
              <w:rPr>
                <w:rFonts w:hint="eastAsia" w:cs="Times New Roman"/>
                <w:snapToGrid w:val="0"/>
                <w:color w:val="000000" w:themeColor="text1"/>
                <w:spacing w:val="0"/>
                <w:kern w:val="0"/>
                <w:sz w:val="21"/>
                <w:szCs w:val="21"/>
                <w:lang w:val="en-US" w:eastAsia="zh-CN"/>
                <w14:textFill>
                  <w14:solidFill>
                    <w14:schemeClr w14:val="tx1"/>
                  </w14:solidFill>
                </w14:textFill>
              </w:rPr>
              <w:t>5</w:t>
            </w:r>
          </w:p>
        </w:tc>
        <w:tc>
          <w:tcPr>
            <w:tcW w:w="3890" w:type="dxa"/>
            <w:noWrap w:val="0"/>
            <w:vAlign w:val="center"/>
          </w:tcPr>
          <w:p w14:paraId="7843ACF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eastAsia"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顶管井沉井施工应按现行国家标准《给水排水构筑物工程施工及验收规范》GB50141和现行协会标准《给水排水工程钢筋混凝土沉井结构设计规程》CECS137的有关规定执行</w:t>
            </w:r>
            <w:r>
              <w:rPr>
                <w:rFonts w:hint="eastAsia" w:cs="Times New Roman"/>
                <w:snapToGrid w:val="0"/>
                <w:color w:val="000000" w:themeColor="text1"/>
                <w:spacing w:val="0"/>
                <w:kern w:val="0"/>
                <w:sz w:val="21"/>
                <w:lang w:val="en-US" w:eastAsia="zh-CN"/>
                <w14:textFill>
                  <w14:solidFill>
                    <w14:schemeClr w14:val="tx1"/>
                  </w14:solidFill>
                </w14:textFill>
              </w:rPr>
              <w:t>。</w:t>
            </w:r>
          </w:p>
        </w:tc>
        <w:tc>
          <w:tcPr>
            <w:tcW w:w="2095" w:type="dxa"/>
            <w:noWrap w:val="0"/>
            <w:vAlign w:val="center"/>
          </w:tcPr>
          <w:p w14:paraId="13040EA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4FD8929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8.3.1</w:t>
            </w:r>
          </w:p>
        </w:tc>
        <w:tc>
          <w:tcPr>
            <w:tcW w:w="1905" w:type="dxa"/>
            <w:noWrap w:val="0"/>
            <w:vAlign w:val="center"/>
          </w:tcPr>
          <w:p w14:paraId="6D977FA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7B79D3D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23A506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0FE32A48">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36</w:t>
            </w:r>
          </w:p>
        </w:tc>
        <w:tc>
          <w:tcPr>
            <w:tcW w:w="3890" w:type="dxa"/>
            <w:noWrap w:val="0"/>
            <w:vAlign w:val="center"/>
          </w:tcPr>
          <w:p w14:paraId="568228B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顶管井钢板桩、灌注、地下连续墙支护的施工和验收应按现行行业标准《建筑基坑支护技术规程》JGJ120和地方有关基坑支护技术标准的规定执行。</w:t>
            </w:r>
          </w:p>
        </w:tc>
        <w:tc>
          <w:tcPr>
            <w:tcW w:w="2095" w:type="dxa"/>
            <w:noWrap w:val="0"/>
            <w:vAlign w:val="center"/>
          </w:tcPr>
          <w:p w14:paraId="0E7C9B7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B9080D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8.3.2</w:t>
            </w:r>
          </w:p>
        </w:tc>
        <w:tc>
          <w:tcPr>
            <w:tcW w:w="1905" w:type="dxa"/>
            <w:noWrap w:val="0"/>
            <w:vAlign w:val="center"/>
          </w:tcPr>
          <w:p w14:paraId="28F202F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0300BE18">
            <w:pPr>
              <w:keepNext w:val="0"/>
              <w:keepLines w:val="0"/>
              <w:pageBreakBefore w:val="0"/>
              <w:widowControl w:val="0"/>
              <w:kinsoku/>
              <w:wordWrap w:val="0"/>
              <w:overflowPunct/>
              <w:topLinePunct w:val="0"/>
              <w:autoSpaceDE/>
              <w:autoSpaceDN/>
              <w:bidi w:val="0"/>
              <w:adjustRightInd w:val="0"/>
              <w:snapToGrid w:val="0"/>
              <w:spacing w:beforeAutospacing="0" w:afterAutospacing="0" w:line="27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5D06BE6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6C5BD4F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37</w:t>
            </w:r>
          </w:p>
        </w:tc>
        <w:tc>
          <w:tcPr>
            <w:tcW w:w="3890" w:type="dxa"/>
            <w:noWrap w:val="0"/>
            <w:vAlign w:val="center"/>
          </w:tcPr>
          <w:p w14:paraId="1C99314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施工完成后回收摇管机施工的钢沉井，应先将钢沉井进行水平切割，切割面位于管道穿井洞口以上不小于300mm，当切割面位于地下水位以下时，应采取隔水措施，然后进行并内管道及设备连接安装、工艺井修筑，并应按要求对工艺井四周进行回填，回填完成后方可进行钢沉井上拔回收。</w:t>
            </w:r>
          </w:p>
        </w:tc>
        <w:tc>
          <w:tcPr>
            <w:tcW w:w="2095" w:type="dxa"/>
            <w:noWrap w:val="0"/>
            <w:vAlign w:val="center"/>
          </w:tcPr>
          <w:p w14:paraId="58A5B66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1819557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8.3.5</w:t>
            </w:r>
          </w:p>
        </w:tc>
        <w:tc>
          <w:tcPr>
            <w:tcW w:w="1905" w:type="dxa"/>
            <w:noWrap w:val="0"/>
            <w:vAlign w:val="center"/>
          </w:tcPr>
          <w:p w14:paraId="2D97A2D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28BCF92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25B9EF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F6B510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38</w:t>
            </w:r>
          </w:p>
        </w:tc>
        <w:tc>
          <w:tcPr>
            <w:tcW w:w="3890" w:type="dxa"/>
            <w:noWrap w:val="0"/>
            <w:vAlign w:val="center"/>
          </w:tcPr>
          <w:p w14:paraId="20FDE93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顶管井洞口的施工应符合下列规定:</w:t>
            </w:r>
          </w:p>
          <w:p w14:paraId="14C8080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洞口尺寸和位置应符合设计要求;</w:t>
            </w:r>
          </w:p>
          <w:p w14:paraId="550EC4D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2.</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应按设计要求对洞口土体采取加固措施，进出洞前应先检查洞口土体的强度和渗漏水情况;</w:t>
            </w:r>
          </w:p>
          <w:p w14:paraId="7CA43F3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3</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设置临时封门时，应拆除方便，拆除时应减小对洞口土层的扰动;</w:t>
            </w:r>
          </w:p>
          <w:p w14:paraId="421D22F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7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4</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洞口处应设置止水装置;</w:t>
            </w:r>
          </w:p>
          <w:p w14:paraId="22B6296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5</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在高地下水压环境下施工时，应采取措施防止临时封门在水压作用下突然破坏造成人员伤亡。</w:t>
            </w:r>
          </w:p>
        </w:tc>
        <w:tc>
          <w:tcPr>
            <w:tcW w:w="2095" w:type="dxa"/>
            <w:noWrap w:val="0"/>
            <w:vAlign w:val="center"/>
          </w:tcPr>
          <w:p w14:paraId="28B13B8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6860D52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8.3.6</w:t>
            </w:r>
          </w:p>
        </w:tc>
        <w:tc>
          <w:tcPr>
            <w:tcW w:w="1905" w:type="dxa"/>
            <w:noWrap w:val="0"/>
            <w:vAlign w:val="center"/>
          </w:tcPr>
          <w:p w14:paraId="7DB3876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3DEE733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01AE3E6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03CB28E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39</w:t>
            </w:r>
          </w:p>
        </w:tc>
        <w:tc>
          <w:tcPr>
            <w:tcW w:w="3890" w:type="dxa"/>
            <w:noWrap w:val="0"/>
            <w:vAlign w:val="center"/>
          </w:tcPr>
          <w:p w14:paraId="69FEE39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顶推装置安装应符合下列规定:</w:t>
            </w:r>
          </w:p>
          <w:p w14:paraId="4FB8718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应根据设计总顶力值、管道允许顶力设计值和反力墙后背土体允许最大顶力设计值这三者的最大值，并根据工作井尺寸配置顶推装置的规格;</w:t>
            </w:r>
          </w:p>
          <w:p w14:paraId="391D7A3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2</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顶推装置的千斤顶应按管道中轴线对称布置;</w:t>
            </w:r>
          </w:p>
          <w:p w14:paraId="07415A6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3</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每台千斤顶应具有进油、退油的控制系统;所有千斤顶应工作协调同步;</w:t>
            </w:r>
          </w:p>
          <w:p w14:paraId="5F63FE7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顶铁与管口之间的接触面应衬垫缓冲材料;</w:t>
            </w:r>
          </w:p>
          <w:p w14:paraId="051C3F3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5.</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油泵宜设置在千斤顶附近，油管应顺直、转角少;</w:t>
            </w:r>
          </w:p>
          <w:p w14:paraId="51B2380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6.</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油泵安装完毕后方可进行试运转。</w:t>
            </w:r>
          </w:p>
        </w:tc>
        <w:tc>
          <w:tcPr>
            <w:tcW w:w="2095" w:type="dxa"/>
            <w:noWrap w:val="0"/>
            <w:vAlign w:val="center"/>
          </w:tcPr>
          <w:p w14:paraId="6001957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587E72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8.4.3</w:t>
            </w:r>
          </w:p>
        </w:tc>
        <w:tc>
          <w:tcPr>
            <w:tcW w:w="1905" w:type="dxa"/>
            <w:noWrap w:val="0"/>
            <w:vAlign w:val="center"/>
          </w:tcPr>
          <w:p w14:paraId="68887B6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654B7EE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1B234DD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D97912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w:t>
            </w:r>
            <w:r>
              <w:rPr>
                <w:rFonts w:hint="eastAsia" w:cs="Times New Roman"/>
                <w:snapToGrid w:val="0"/>
                <w:color w:val="000000" w:themeColor="text1"/>
                <w:spacing w:val="0"/>
                <w:kern w:val="0"/>
                <w:sz w:val="21"/>
                <w:szCs w:val="21"/>
                <w:lang w:val="en-US" w:eastAsia="zh-CN"/>
                <w14:textFill>
                  <w14:solidFill>
                    <w14:schemeClr w14:val="tx1"/>
                  </w14:solidFill>
                </w14:textFill>
              </w:rPr>
              <w:t>0</w:t>
            </w:r>
          </w:p>
        </w:tc>
        <w:tc>
          <w:tcPr>
            <w:tcW w:w="3890" w:type="dxa"/>
            <w:noWrap w:val="0"/>
            <w:vAlign w:val="center"/>
          </w:tcPr>
          <w:p w14:paraId="3E09AF6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起重设备应符合下列规定:</w:t>
            </w:r>
          </w:p>
          <w:p w14:paraId="6D41725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1.</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起重能力应满足顶管机、管道、顶铁等顶进设备的吊装;</w:t>
            </w:r>
          </w:p>
          <w:p w14:paraId="33CA5C5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2.</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起重能力应满足出渣土方的运输要求;</w:t>
            </w:r>
          </w:p>
          <w:p w14:paraId="46C09AF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3.</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应建立现场维修保养、定期检查和交接班制度，并应遵照起重机械相关安全操作规定执行。</w:t>
            </w:r>
          </w:p>
        </w:tc>
        <w:tc>
          <w:tcPr>
            <w:tcW w:w="2095" w:type="dxa"/>
            <w:noWrap w:val="0"/>
            <w:vAlign w:val="center"/>
          </w:tcPr>
          <w:p w14:paraId="594EE78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12817C0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8.4.4</w:t>
            </w:r>
          </w:p>
        </w:tc>
        <w:tc>
          <w:tcPr>
            <w:tcW w:w="1905" w:type="dxa"/>
            <w:noWrap w:val="0"/>
            <w:vAlign w:val="center"/>
          </w:tcPr>
          <w:p w14:paraId="15929AD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23489EB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4420F8E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39B9142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w:t>
            </w:r>
            <w:r>
              <w:rPr>
                <w:rFonts w:hint="eastAsia" w:cs="Times New Roman"/>
                <w:snapToGrid w:val="0"/>
                <w:color w:val="000000" w:themeColor="text1"/>
                <w:spacing w:val="0"/>
                <w:kern w:val="0"/>
                <w:sz w:val="21"/>
                <w:szCs w:val="21"/>
                <w:lang w:val="en-US" w:eastAsia="zh-CN"/>
                <w14:textFill>
                  <w14:solidFill>
                    <w14:schemeClr w14:val="tx1"/>
                  </w14:solidFill>
                </w14:textFill>
              </w:rPr>
              <w:t>1</w:t>
            </w:r>
          </w:p>
        </w:tc>
        <w:tc>
          <w:tcPr>
            <w:tcW w:w="3890" w:type="dxa"/>
            <w:noWrap w:val="0"/>
            <w:vAlign w:val="center"/>
          </w:tcPr>
          <w:p w14:paraId="04D6218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顶管始发前应检查下列事项，确认满足要求后方可开始顶进施工:</w:t>
            </w:r>
          </w:p>
          <w:p w14:paraId="2AF210E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对全部设备进行检查、调试和试运行，检查内容主要包括液压、电器、压浆、气压、水压、照明、通信、通风等操作系统是否正常工作，各种电表、压力表、换向阀、传感器、流量计等是否能正确显示其所处工作状态，然后进行联动调试和试运行，确认没有故障后方可准备顶管始发;</w:t>
            </w:r>
          </w:p>
          <w:p w14:paraId="321AE4E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2</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顶管机在导轨上的中心线、坡度和高程符合规定;</w:t>
            </w:r>
          </w:p>
          <w:p w14:paraId="39BC650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3</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洞口止水装置完好，制定了防止流动性土或地下水由洞口进入工作井的措施，开启洞口临时封门的措施完备;</w:t>
            </w:r>
          </w:p>
          <w:p w14:paraId="6ACC810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4</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洞口为岩石地层时，制定了机身防旋转措施</w:t>
            </w:r>
          </w:p>
        </w:tc>
        <w:tc>
          <w:tcPr>
            <w:tcW w:w="2095" w:type="dxa"/>
            <w:noWrap w:val="0"/>
            <w:vAlign w:val="center"/>
          </w:tcPr>
          <w:p w14:paraId="4CBD266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7505295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8.5.1</w:t>
            </w:r>
          </w:p>
        </w:tc>
        <w:tc>
          <w:tcPr>
            <w:tcW w:w="1905" w:type="dxa"/>
            <w:noWrap w:val="0"/>
            <w:vAlign w:val="center"/>
          </w:tcPr>
          <w:p w14:paraId="0CFBCE6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7EAB0CE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F3288D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6E8859D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w:t>
            </w:r>
            <w:r>
              <w:rPr>
                <w:rFonts w:hint="eastAsia" w:cs="Times New Roman"/>
                <w:snapToGrid w:val="0"/>
                <w:color w:val="000000" w:themeColor="text1"/>
                <w:spacing w:val="0"/>
                <w:kern w:val="0"/>
                <w:sz w:val="21"/>
                <w:szCs w:val="21"/>
                <w:lang w:val="en-US" w:eastAsia="zh-CN"/>
                <w14:textFill>
                  <w14:solidFill>
                    <w14:schemeClr w14:val="tx1"/>
                  </w14:solidFill>
                </w14:textFill>
              </w:rPr>
              <w:t>2</w:t>
            </w:r>
          </w:p>
        </w:tc>
        <w:tc>
          <w:tcPr>
            <w:tcW w:w="3890" w:type="dxa"/>
            <w:noWrap w:val="0"/>
            <w:vAlign w:val="center"/>
          </w:tcPr>
          <w:p w14:paraId="2F1F625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管道顶进速度应符合下列规定:</w:t>
            </w:r>
          </w:p>
          <w:p w14:paraId="4EEBDC6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工作井洞口临时封门拆除后，应立即将顶管机顶入土层，检查、调整洞口止水装置，然后连续顶进，直至洞口止水装置发挥作用;</w:t>
            </w:r>
          </w:p>
          <w:p w14:paraId="63BFC49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2</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管道初始顶进速度应缓慢，并应加大施工测量和纠偏的频率;</w:t>
            </w:r>
          </w:p>
          <w:p w14:paraId="4F5841E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3</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中途顶进速度应根据地面沉降情况、石块破碎情况和挖掘土体输送能力等综合确定;</w:t>
            </w:r>
          </w:p>
          <w:p w14:paraId="602224E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4</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顶管机刀盘与接收井洞门的距离为3倍管径范围内时应减慢顶进速度，减小管道正面阻力对接收井洞门的不利影响。</w:t>
            </w:r>
          </w:p>
        </w:tc>
        <w:tc>
          <w:tcPr>
            <w:tcW w:w="2095" w:type="dxa"/>
            <w:noWrap w:val="0"/>
            <w:vAlign w:val="center"/>
          </w:tcPr>
          <w:p w14:paraId="568886F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0AD0E56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8.5.2</w:t>
            </w:r>
          </w:p>
        </w:tc>
        <w:tc>
          <w:tcPr>
            <w:tcW w:w="1905" w:type="dxa"/>
            <w:noWrap w:val="0"/>
            <w:vAlign w:val="center"/>
          </w:tcPr>
          <w:p w14:paraId="40C7028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6235C40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BD2CB2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742" w:hRule="atLeast"/>
          <w:jc w:val="center"/>
        </w:trPr>
        <w:tc>
          <w:tcPr>
            <w:tcW w:w="541" w:type="dxa"/>
            <w:noWrap w:val="0"/>
            <w:vAlign w:val="center"/>
          </w:tcPr>
          <w:p w14:paraId="11EEF6A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4</w:t>
            </w:r>
            <w:r>
              <w:rPr>
                <w:rFonts w:hint="eastAsia" w:cs="Times New Roman"/>
                <w:snapToGrid w:val="0"/>
                <w:color w:val="000000" w:themeColor="text1"/>
                <w:spacing w:val="0"/>
                <w:kern w:val="0"/>
                <w:sz w:val="21"/>
                <w:szCs w:val="21"/>
                <w:lang w:val="en-US" w:eastAsia="zh-CN"/>
                <w14:textFill>
                  <w14:solidFill>
                    <w14:schemeClr w14:val="tx1"/>
                  </w14:solidFill>
                </w14:textFill>
              </w:rPr>
              <w:t>3</w:t>
            </w:r>
          </w:p>
        </w:tc>
        <w:tc>
          <w:tcPr>
            <w:tcW w:w="3890" w:type="dxa"/>
            <w:noWrap w:val="0"/>
            <w:vAlign w:val="center"/>
          </w:tcPr>
          <w:p w14:paraId="385E865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顶进施工时应对出土量、顶力、刀盘扭矩、地面沉降进行监测，根据监测值综合判定顶管掘进工作面的稳定性;出土量宜控制为98%~100%的理论出土量。</w:t>
            </w:r>
          </w:p>
        </w:tc>
        <w:tc>
          <w:tcPr>
            <w:tcW w:w="2095" w:type="dxa"/>
            <w:noWrap w:val="0"/>
            <w:vAlign w:val="center"/>
          </w:tcPr>
          <w:p w14:paraId="782DF4D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57D93CB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8.5.3</w:t>
            </w:r>
          </w:p>
        </w:tc>
        <w:tc>
          <w:tcPr>
            <w:tcW w:w="1905" w:type="dxa"/>
            <w:noWrap w:val="0"/>
            <w:vAlign w:val="center"/>
          </w:tcPr>
          <w:p w14:paraId="5B1DD7B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3B29476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17025F8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2FC93DC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44</w:t>
            </w:r>
          </w:p>
        </w:tc>
        <w:tc>
          <w:tcPr>
            <w:tcW w:w="3890" w:type="dxa"/>
            <w:noWrap w:val="0"/>
            <w:vAlign w:val="center"/>
          </w:tcPr>
          <w:p w14:paraId="198473D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微型顶管施工遇淤泥或软硬土层交界面等地质条件，顶进方向控制困难时，宜采取注浆、水泥搅拌桩、高压旋喷桩等辅助施工措施进行地基加固。</w:t>
            </w:r>
          </w:p>
        </w:tc>
        <w:tc>
          <w:tcPr>
            <w:tcW w:w="2095" w:type="dxa"/>
            <w:noWrap w:val="0"/>
            <w:vAlign w:val="center"/>
          </w:tcPr>
          <w:p w14:paraId="3065B5A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1E6EE4B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8.6.1</w:t>
            </w:r>
          </w:p>
        </w:tc>
        <w:tc>
          <w:tcPr>
            <w:tcW w:w="1905" w:type="dxa"/>
            <w:noWrap w:val="0"/>
            <w:vAlign w:val="center"/>
          </w:tcPr>
          <w:p w14:paraId="11A58E0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58701EC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7BF4DE4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611E38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45</w:t>
            </w:r>
          </w:p>
        </w:tc>
        <w:tc>
          <w:tcPr>
            <w:tcW w:w="3890" w:type="dxa"/>
            <w:noWrap w:val="0"/>
            <w:vAlign w:val="center"/>
          </w:tcPr>
          <w:p w14:paraId="611B764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顶管施工中，注浆减阻应符合下列规定:</w:t>
            </w:r>
          </w:p>
          <w:p w14:paraId="3864ED1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1</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选择合适的触变泥浆材料，并取样对膨润土造浆率、失水量和动塑比等参数进行工程环境适应性测试;</w:t>
            </w:r>
          </w:p>
          <w:p w14:paraId="6572AC8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2</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膨润土的储藏及浆液配制、搅拌、水化时间应按照产品的性能要求进行，使用前应先进行检测试验;</w:t>
            </w:r>
          </w:p>
          <w:p w14:paraId="3516A22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3</w:t>
            </w:r>
            <w:r>
              <w:rPr>
                <w:rFonts w:hint="eastAsia" w:cs="Times New Roman"/>
                <w:snapToGrid w:val="0"/>
                <w:color w:val="000000" w:themeColor="text1"/>
                <w:spacing w:val="0"/>
                <w:kern w:val="0"/>
                <w:sz w:val="21"/>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注浆应遵循“先注后顶、随顶随注”的原则;</w:t>
            </w:r>
          </w:p>
          <w:p w14:paraId="49F2A63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注浆设备和管路应具有足够的耐压和良好的密封性能。</w:t>
            </w:r>
          </w:p>
        </w:tc>
        <w:tc>
          <w:tcPr>
            <w:tcW w:w="2095" w:type="dxa"/>
            <w:noWrap w:val="0"/>
            <w:vAlign w:val="center"/>
          </w:tcPr>
          <w:p w14:paraId="6B69DC7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474AB8C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8.7.2</w:t>
            </w:r>
          </w:p>
        </w:tc>
        <w:tc>
          <w:tcPr>
            <w:tcW w:w="1905" w:type="dxa"/>
            <w:noWrap w:val="0"/>
            <w:vAlign w:val="center"/>
          </w:tcPr>
          <w:p w14:paraId="7D08328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1331AB8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31CFE3B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23" w:hRule="atLeast"/>
          <w:jc w:val="center"/>
        </w:trPr>
        <w:tc>
          <w:tcPr>
            <w:tcW w:w="541" w:type="dxa"/>
            <w:noWrap w:val="0"/>
            <w:vAlign w:val="center"/>
          </w:tcPr>
          <w:p w14:paraId="3110C98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46</w:t>
            </w:r>
          </w:p>
        </w:tc>
        <w:tc>
          <w:tcPr>
            <w:tcW w:w="3890" w:type="dxa"/>
            <w:noWrap w:val="0"/>
            <w:vAlign w:val="center"/>
          </w:tcPr>
          <w:p w14:paraId="32C2240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顶管施工测量应包括地面控制点复测和地面控制网的布设、联系测量、地下平面、高程测量和贯通、竣工测量。</w:t>
            </w:r>
          </w:p>
        </w:tc>
        <w:tc>
          <w:tcPr>
            <w:tcW w:w="2095" w:type="dxa"/>
            <w:noWrap w:val="0"/>
            <w:vAlign w:val="center"/>
          </w:tcPr>
          <w:p w14:paraId="0A0AAC6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340AA65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8.8.1</w:t>
            </w:r>
          </w:p>
        </w:tc>
        <w:tc>
          <w:tcPr>
            <w:tcW w:w="1905" w:type="dxa"/>
            <w:noWrap w:val="0"/>
            <w:vAlign w:val="center"/>
          </w:tcPr>
          <w:p w14:paraId="66AE976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07AB2567">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2BA1532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53" w:hRule="atLeast"/>
          <w:jc w:val="center"/>
        </w:trPr>
        <w:tc>
          <w:tcPr>
            <w:tcW w:w="541" w:type="dxa"/>
            <w:noWrap w:val="0"/>
            <w:vAlign w:val="center"/>
          </w:tcPr>
          <w:p w14:paraId="3630746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47</w:t>
            </w:r>
          </w:p>
        </w:tc>
        <w:tc>
          <w:tcPr>
            <w:tcW w:w="3890" w:type="dxa"/>
            <w:noWrap w:val="0"/>
            <w:vAlign w:val="center"/>
          </w:tcPr>
          <w:p w14:paraId="6CED80A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顶管工程应在施工阶段对顶管井和顶管沿线的周边环境进行监测。</w:t>
            </w:r>
          </w:p>
        </w:tc>
        <w:tc>
          <w:tcPr>
            <w:tcW w:w="2095" w:type="dxa"/>
            <w:noWrap w:val="0"/>
            <w:vAlign w:val="center"/>
          </w:tcPr>
          <w:p w14:paraId="01D7C8B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1639766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8.9.1</w:t>
            </w:r>
          </w:p>
        </w:tc>
        <w:tc>
          <w:tcPr>
            <w:tcW w:w="1905" w:type="dxa"/>
            <w:noWrap w:val="0"/>
            <w:vAlign w:val="center"/>
          </w:tcPr>
          <w:p w14:paraId="78069456">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4B51801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027FC35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52" w:hRule="atLeast"/>
          <w:jc w:val="center"/>
        </w:trPr>
        <w:tc>
          <w:tcPr>
            <w:tcW w:w="541" w:type="dxa"/>
            <w:noWrap w:val="0"/>
            <w:vAlign w:val="center"/>
          </w:tcPr>
          <w:p w14:paraId="51CA96CF">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48</w:t>
            </w:r>
          </w:p>
        </w:tc>
        <w:tc>
          <w:tcPr>
            <w:tcW w:w="3890" w:type="dxa"/>
            <w:noWrap w:val="0"/>
            <w:vAlign w:val="center"/>
          </w:tcPr>
          <w:p w14:paraId="423CFCE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eastAsia" w:ascii="Times New Roman" w:hAnsi="Times New Roman" w:eastAsia="宋体" w:cs="Times New Roman"/>
                <w:snapToGrid w:val="0"/>
                <w:color w:val="000000" w:themeColor="text1"/>
                <w:spacing w:val="0"/>
                <w:kern w:val="0"/>
                <w:sz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施工过程的安全和环境保护应符合现行行业标准《建筑施工安全检查标准》JGJ59、《建设工程施工现场环境与卫生标准》JGJ146的有关规定</w:t>
            </w:r>
            <w:r>
              <w:rPr>
                <w:rFonts w:hint="eastAsia" w:cs="Times New Roman"/>
                <w:snapToGrid w:val="0"/>
                <w:color w:val="000000" w:themeColor="text1"/>
                <w:spacing w:val="0"/>
                <w:kern w:val="0"/>
                <w:sz w:val="21"/>
                <w:lang w:eastAsia="zh-CN"/>
                <w14:textFill>
                  <w14:solidFill>
                    <w14:schemeClr w14:val="tx1"/>
                  </w14:solidFill>
                </w14:textFill>
              </w:rPr>
              <w:t>。</w:t>
            </w:r>
          </w:p>
        </w:tc>
        <w:tc>
          <w:tcPr>
            <w:tcW w:w="2095" w:type="dxa"/>
            <w:noWrap w:val="0"/>
            <w:vAlign w:val="center"/>
          </w:tcPr>
          <w:p w14:paraId="14DA087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7CF6DFB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eastAsia" w:cs="Times New Roman"/>
                <w:snapToGrid w:val="0"/>
                <w:color w:val="000000" w:themeColor="text1"/>
                <w:spacing w:val="0"/>
                <w:kern w:val="0"/>
                <w:sz w:val="21"/>
                <w:lang w:val="en-US" w:eastAsia="zh-CN"/>
                <w14:textFill>
                  <w14:solidFill>
                    <w14:schemeClr w14:val="tx1"/>
                  </w14:solidFill>
                </w14:textFill>
              </w:rPr>
              <w:t>8.10.1</w:t>
            </w:r>
          </w:p>
        </w:tc>
        <w:tc>
          <w:tcPr>
            <w:tcW w:w="1905" w:type="dxa"/>
            <w:noWrap w:val="0"/>
            <w:vAlign w:val="center"/>
          </w:tcPr>
          <w:p w14:paraId="1040F03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0512AB2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2BD1DA1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38" w:hRule="atLeast"/>
          <w:jc w:val="center"/>
        </w:trPr>
        <w:tc>
          <w:tcPr>
            <w:tcW w:w="541" w:type="dxa"/>
            <w:noWrap w:val="0"/>
            <w:vAlign w:val="center"/>
          </w:tcPr>
          <w:p w14:paraId="51052DF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49</w:t>
            </w:r>
          </w:p>
        </w:tc>
        <w:tc>
          <w:tcPr>
            <w:tcW w:w="3890" w:type="dxa"/>
            <w:noWrap w:val="0"/>
            <w:vAlign w:val="center"/>
          </w:tcPr>
          <w:p w14:paraId="6AFAD6C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施工前应委托有技术能力和技术条件的测量单位，对周边建(构)筑物、管线进行调查，制定合理的监测方案，对需重点保护的建筑物、管线进行加密监测。</w:t>
            </w:r>
          </w:p>
        </w:tc>
        <w:tc>
          <w:tcPr>
            <w:tcW w:w="2095" w:type="dxa"/>
            <w:noWrap w:val="0"/>
            <w:vAlign w:val="center"/>
          </w:tcPr>
          <w:p w14:paraId="497C3CE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6D77EA6F">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8.10.2</w:t>
            </w:r>
          </w:p>
        </w:tc>
        <w:tc>
          <w:tcPr>
            <w:tcW w:w="1905" w:type="dxa"/>
            <w:noWrap w:val="0"/>
            <w:vAlign w:val="center"/>
          </w:tcPr>
          <w:p w14:paraId="34901C8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4"/>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6EDB201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24F382B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6F4691E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50</w:t>
            </w:r>
          </w:p>
        </w:tc>
        <w:tc>
          <w:tcPr>
            <w:tcW w:w="3890" w:type="dxa"/>
            <w:noWrap w:val="0"/>
            <w:vAlign w:val="center"/>
          </w:tcPr>
          <w:p w14:paraId="6898933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施工单位应制定建(构)筑物、地下管线安全的保护技术措施，并标出施工区域内外的建(构)筑物、地下管线的分布示意图。</w:t>
            </w:r>
          </w:p>
        </w:tc>
        <w:tc>
          <w:tcPr>
            <w:tcW w:w="2095" w:type="dxa"/>
            <w:noWrap w:val="0"/>
            <w:vAlign w:val="center"/>
          </w:tcPr>
          <w:p w14:paraId="13261993">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F4D26B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8.10.3</w:t>
            </w:r>
          </w:p>
        </w:tc>
        <w:tc>
          <w:tcPr>
            <w:tcW w:w="1905" w:type="dxa"/>
            <w:noWrap w:val="0"/>
            <w:vAlign w:val="center"/>
          </w:tcPr>
          <w:p w14:paraId="0238E45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2FEDBCDA">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D46CB5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705C99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51</w:t>
            </w:r>
          </w:p>
        </w:tc>
        <w:tc>
          <w:tcPr>
            <w:tcW w:w="3890" w:type="dxa"/>
            <w:noWrap w:val="0"/>
            <w:vAlign w:val="center"/>
          </w:tcPr>
          <w:p w14:paraId="15642695">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4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顶管井内应配备有害气体测试仪、通风设备。采用化学材料止水部位焊制作业时，应有专项施工措施。</w:t>
            </w:r>
          </w:p>
        </w:tc>
        <w:tc>
          <w:tcPr>
            <w:tcW w:w="2095" w:type="dxa"/>
            <w:noWrap w:val="0"/>
            <w:vAlign w:val="center"/>
          </w:tcPr>
          <w:p w14:paraId="03AC7F5E">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6DBA5F30">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8.10.4</w:t>
            </w:r>
          </w:p>
        </w:tc>
        <w:tc>
          <w:tcPr>
            <w:tcW w:w="1905" w:type="dxa"/>
            <w:noWrap w:val="0"/>
            <w:vAlign w:val="center"/>
          </w:tcPr>
          <w:p w14:paraId="0D985A88">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6BD97EA7">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1423808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2EFE466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w:t>
            </w:r>
            <w:r>
              <w:rPr>
                <w:rFonts w:hint="eastAsia" w:cs="Times New Roman"/>
                <w:snapToGrid w:val="0"/>
                <w:color w:val="000000" w:themeColor="text1"/>
                <w:spacing w:val="0"/>
                <w:kern w:val="0"/>
                <w:sz w:val="21"/>
                <w:szCs w:val="21"/>
                <w:lang w:val="en-US" w:eastAsia="zh-CN"/>
                <w14:textFill>
                  <w14:solidFill>
                    <w14:schemeClr w14:val="tx1"/>
                  </w14:solidFill>
                </w14:textFill>
              </w:rPr>
              <w:t>2</w:t>
            </w:r>
          </w:p>
        </w:tc>
        <w:tc>
          <w:tcPr>
            <w:tcW w:w="3890" w:type="dxa"/>
            <w:noWrap w:val="0"/>
            <w:vAlign w:val="center"/>
          </w:tcPr>
          <w:p w14:paraId="03553B69">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顶管井内垂直运输时，在井上和井下应分别设起重指挥。</w:t>
            </w:r>
          </w:p>
        </w:tc>
        <w:tc>
          <w:tcPr>
            <w:tcW w:w="2095" w:type="dxa"/>
            <w:noWrap w:val="0"/>
            <w:vAlign w:val="center"/>
          </w:tcPr>
          <w:p w14:paraId="6D6B53A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313AC7CA">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8.10.5</w:t>
            </w:r>
          </w:p>
        </w:tc>
        <w:tc>
          <w:tcPr>
            <w:tcW w:w="1905" w:type="dxa"/>
            <w:noWrap w:val="0"/>
            <w:vAlign w:val="center"/>
          </w:tcPr>
          <w:p w14:paraId="25983CA7">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50F72CFA">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0CC756F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36C5088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eastAsia" w:ascii="Times New Roman" w:hAnsi="Times New Roman" w:eastAsia="宋体" w:cs="Times New Roman"/>
                <w:snapToGrid w:val="0"/>
                <w:color w:val="000000" w:themeColor="text1"/>
                <w:spacing w:val="0"/>
                <w:kern w:val="0"/>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t>5</w:t>
            </w:r>
            <w:r>
              <w:rPr>
                <w:rFonts w:hint="eastAsia" w:cs="Times New Roman"/>
                <w:snapToGrid w:val="0"/>
                <w:color w:val="000000" w:themeColor="text1"/>
                <w:spacing w:val="0"/>
                <w:kern w:val="0"/>
                <w:sz w:val="21"/>
                <w:szCs w:val="21"/>
                <w:lang w:val="en-US" w:eastAsia="zh-CN"/>
                <w14:textFill>
                  <w14:solidFill>
                    <w14:schemeClr w14:val="tx1"/>
                  </w14:solidFill>
                </w14:textFill>
              </w:rPr>
              <w:t>3</w:t>
            </w:r>
          </w:p>
        </w:tc>
        <w:tc>
          <w:tcPr>
            <w:tcW w:w="3890" w:type="dxa"/>
            <w:noWrap w:val="0"/>
            <w:vAlign w:val="center"/>
          </w:tcPr>
          <w:p w14:paraId="5EBBD18D">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焊割作业点，氧气瓶、乙炔瓶、易燃易爆物品的距离应符合有关规定;施工现场的焊割作业，必须符合防火要求</w:t>
            </w:r>
          </w:p>
        </w:tc>
        <w:tc>
          <w:tcPr>
            <w:tcW w:w="2095" w:type="dxa"/>
            <w:noWrap w:val="0"/>
            <w:vAlign w:val="center"/>
          </w:tcPr>
          <w:p w14:paraId="4D3FA9B4">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08D5612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8.10.9</w:t>
            </w:r>
          </w:p>
        </w:tc>
        <w:tc>
          <w:tcPr>
            <w:tcW w:w="1905" w:type="dxa"/>
            <w:noWrap w:val="0"/>
            <w:vAlign w:val="center"/>
          </w:tcPr>
          <w:p w14:paraId="4E8C84C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47DFD974">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r w14:paraId="620B915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41" w:type="dxa"/>
            <w:noWrap w:val="0"/>
            <w:vAlign w:val="center"/>
          </w:tcPr>
          <w:p w14:paraId="52C866C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szCs w:val="21"/>
                <w:lang w:val="en-US" w:eastAsia="zh-CN"/>
                <w14:textFill>
                  <w14:solidFill>
                    <w14:schemeClr w14:val="tx1"/>
                  </w14:solidFill>
                </w14:textFill>
              </w:rPr>
            </w:pPr>
            <w:r>
              <w:rPr>
                <w:rFonts w:hint="eastAsia" w:cs="Times New Roman"/>
                <w:snapToGrid w:val="0"/>
                <w:color w:val="000000" w:themeColor="text1"/>
                <w:spacing w:val="0"/>
                <w:kern w:val="0"/>
                <w:sz w:val="21"/>
                <w:szCs w:val="21"/>
                <w:lang w:val="en-US" w:eastAsia="zh-CN"/>
                <w14:textFill>
                  <w14:solidFill>
                    <w14:schemeClr w14:val="tx1"/>
                  </w14:solidFill>
                </w14:textFill>
              </w:rPr>
              <w:t>54</w:t>
            </w:r>
          </w:p>
        </w:tc>
        <w:tc>
          <w:tcPr>
            <w:tcW w:w="3890" w:type="dxa"/>
            <w:noWrap w:val="0"/>
            <w:vAlign w:val="center"/>
          </w:tcPr>
          <w:p w14:paraId="3161FCF2">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left"/>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沟和空洞等必须加盖安全网盖，基坑、集土坑、泥浆池四周应设防护栏杆。</w:t>
            </w:r>
          </w:p>
        </w:tc>
        <w:tc>
          <w:tcPr>
            <w:tcW w:w="2095" w:type="dxa"/>
            <w:noWrap w:val="0"/>
            <w:vAlign w:val="center"/>
          </w:tcPr>
          <w:p w14:paraId="59F87161">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t>《给水排水工程微型顶管技术规程》</w:t>
            </w:r>
          </w:p>
          <w:p w14:paraId="2490723C">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lang w:val="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8.10.10</w:t>
            </w:r>
          </w:p>
        </w:tc>
        <w:tc>
          <w:tcPr>
            <w:tcW w:w="1905" w:type="dxa"/>
            <w:noWrap w:val="0"/>
            <w:vAlign w:val="center"/>
          </w:tcPr>
          <w:p w14:paraId="01B629CB">
            <w:pPr>
              <w:keepNext w:val="0"/>
              <w:keepLines w:val="0"/>
              <w:pageBreakBefore w:val="0"/>
              <w:widowControl w:val="0"/>
              <w:tabs>
                <w:tab w:val="left" w:pos="720"/>
              </w:tabs>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未提供相关材料</w:t>
            </w:r>
          </w:p>
        </w:tc>
        <w:tc>
          <w:tcPr>
            <w:tcW w:w="640" w:type="dxa"/>
            <w:noWrap w:val="0"/>
            <w:vAlign w:val="center"/>
          </w:tcPr>
          <w:p w14:paraId="02391F7F">
            <w:pPr>
              <w:keepNext w:val="0"/>
              <w:keepLines w:val="0"/>
              <w:pageBreakBefore w:val="0"/>
              <w:widowControl w:val="0"/>
              <w:kinsoku/>
              <w:wordWrap w:val="0"/>
              <w:overflowPunct/>
              <w:topLinePunct w:val="0"/>
              <w:autoSpaceDE/>
              <w:autoSpaceDN/>
              <w:bidi w:val="0"/>
              <w:adjustRightInd w:val="0"/>
              <w:snapToGrid w:val="0"/>
              <w:spacing w:beforeAutospacing="0" w:afterAutospacing="0" w:line="280" w:lineRule="exact"/>
              <w:ind w:left="0" w:leftChars="0" w:firstLine="0" w:firstLineChars="0"/>
              <w:jc w:val="center"/>
              <w:textAlignment w:val="center"/>
              <w:rPr>
                <w:rFonts w:hint="default" w:ascii="Times New Roman" w:hAnsi="Times New Roman" w:eastAsia="宋体" w:cs="Times New Roman"/>
                <w:snapToGrid w:val="0"/>
                <w:color w:val="000000" w:themeColor="text1"/>
                <w:spacing w:val="0"/>
                <w:kern w:val="0"/>
                <w:sz w:val="21"/>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14:textFill>
                  <w14:solidFill>
                    <w14:schemeClr w14:val="tx1"/>
                  </w14:solidFill>
                </w14:textFill>
              </w:rPr>
              <w:t>提出对策措施</w:t>
            </w:r>
          </w:p>
        </w:tc>
      </w:tr>
    </w:tbl>
    <w:p w14:paraId="3E1D2A7A">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评估结论：根据表5-</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内容可知，本检查表共检查</w:t>
      </w:r>
      <w:r>
        <w:rPr>
          <w:rFonts w:hint="eastAsia"/>
          <w:color w:val="000000" w:themeColor="text1"/>
          <w:lang w:val="en-US" w:eastAsia="zh-CN"/>
          <w14:textFill>
            <w14:solidFill>
              <w14:schemeClr w14:val="tx1"/>
            </w14:solidFill>
          </w14:textFill>
        </w:rPr>
        <w:t>54</w:t>
      </w:r>
      <w:r>
        <w:rPr>
          <w:rFonts w:hint="default"/>
          <w:color w:val="000000" w:themeColor="text1"/>
          <w:lang w:val="en-US" w:eastAsia="zh-CN"/>
          <w14:textFill>
            <w14:solidFill>
              <w14:schemeClr w14:val="tx1"/>
            </w14:solidFill>
          </w14:textFill>
        </w:rPr>
        <w:t>项内容，其中</w:t>
      </w:r>
      <w:r>
        <w:rPr>
          <w:rFonts w:hint="eastAsia"/>
          <w:color w:val="000000" w:themeColor="text1"/>
          <w:lang w:val="en-US" w:eastAsia="zh-CN"/>
          <w14:textFill>
            <w14:solidFill>
              <w14:schemeClr w14:val="tx1"/>
            </w14:solidFill>
          </w14:textFill>
        </w:rPr>
        <w:t>29</w:t>
      </w:r>
      <w:r>
        <w:rPr>
          <w:rFonts w:hint="default"/>
          <w:color w:val="000000" w:themeColor="text1"/>
          <w:lang w:val="en-US" w:eastAsia="zh-CN"/>
          <w14:textFill>
            <w14:solidFill>
              <w14:schemeClr w14:val="tx1"/>
            </w14:solidFill>
          </w14:textFill>
        </w:rPr>
        <w:t>项符合相关法律法规要求，其余</w:t>
      </w:r>
      <w:r>
        <w:rPr>
          <w:rFonts w:hint="eastAsia"/>
          <w:color w:val="000000" w:themeColor="text1"/>
          <w:lang w:val="en-US" w:eastAsia="zh-CN"/>
          <w14:textFill>
            <w14:solidFill>
              <w14:schemeClr w14:val="tx1"/>
            </w14:solidFill>
          </w14:textFill>
        </w:rPr>
        <w:t>25</w:t>
      </w:r>
      <w:r>
        <w:rPr>
          <w:rFonts w:hint="default"/>
          <w:color w:val="000000" w:themeColor="text1"/>
          <w:lang w:val="en-US" w:eastAsia="zh-CN"/>
          <w14:textFill>
            <w14:solidFill>
              <w14:schemeClr w14:val="tx1"/>
            </w14:solidFill>
          </w14:textFill>
        </w:rPr>
        <w:t>项企业提供相关材料不完善或未</w:t>
      </w:r>
      <w:r>
        <w:rPr>
          <w:rFonts w:hint="eastAsia"/>
          <w:color w:val="000000" w:themeColor="text1"/>
          <w:lang w:val="en-US" w:eastAsia="zh-CN"/>
          <w14:textFill>
            <w14:solidFill>
              <w14:schemeClr w14:val="tx1"/>
            </w14:solidFill>
          </w14:textFill>
        </w:rPr>
        <w:t>提供</w:t>
      </w:r>
      <w:r>
        <w:rPr>
          <w:rFonts w:hint="default"/>
          <w:color w:val="000000" w:themeColor="text1"/>
          <w:lang w:val="en-US" w:eastAsia="zh-CN"/>
          <w14:textFill>
            <w14:solidFill>
              <w14:schemeClr w14:val="tx1"/>
            </w14:solidFill>
          </w14:textFill>
        </w:rPr>
        <w:t>，在第六章对策措施中补充提出。</w:t>
      </w:r>
    </w:p>
    <w:p w14:paraId="5B8FE308">
      <w:pPr>
        <w:pStyle w:val="4"/>
        <w:bidi w:val="0"/>
        <w:rPr>
          <w:rFonts w:hint="default"/>
          <w:color w:val="000000" w:themeColor="text1"/>
          <w:lang w:val="en-US" w:eastAsia="zh-CN"/>
          <w14:textFill>
            <w14:solidFill>
              <w14:schemeClr w14:val="tx1"/>
            </w14:solidFill>
          </w14:textFill>
        </w:rPr>
      </w:pPr>
      <w:bookmarkStart w:id="96" w:name="_Toc21162"/>
      <w:r>
        <w:rPr>
          <w:rFonts w:hint="default"/>
          <w:color w:val="000000" w:themeColor="text1"/>
          <w:lang w:val="en-US" w:eastAsia="zh-CN"/>
          <w14:textFill>
            <w14:solidFill>
              <w14:schemeClr w14:val="tx1"/>
            </w14:solidFill>
          </w14:textFill>
        </w:rPr>
        <w:t>5.2.4 与现有地下管线间距评估</w:t>
      </w:r>
      <w:bookmarkEnd w:id="96"/>
    </w:p>
    <w:p w14:paraId="138A2D2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该工程环境情况非常简单，根据江西核工业工程地质勘察院有限公司提供《经开区污水管网完善工程物探成果》的资料，本工程污水管道周边无其他管线交叉。</w:t>
      </w:r>
    </w:p>
    <w:p w14:paraId="2413DA86">
      <w:pPr>
        <w:pStyle w:val="3"/>
        <w:bidi w:val="0"/>
        <w:rPr>
          <w:rFonts w:hint="default"/>
          <w:color w:val="000000" w:themeColor="text1"/>
          <w:lang w:val="en-US" w:eastAsia="zh-CN"/>
          <w14:textFill>
            <w14:solidFill>
              <w14:schemeClr w14:val="tx1"/>
            </w14:solidFill>
          </w14:textFill>
        </w:rPr>
      </w:pPr>
      <w:bookmarkStart w:id="97" w:name="_Toc31408"/>
      <w:r>
        <w:rPr>
          <w:rFonts w:hint="default"/>
          <w:color w:val="000000" w:themeColor="text1"/>
          <w:lang w:val="en-US" w:eastAsia="zh-CN"/>
          <w14:textFill>
            <w14:solidFill>
              <w14:schemeClr w14:val="tx1"/>
            </w14:solidFill>
          </w14:textFill>
        </w:rPr>
        <w:t>5.3 评估小结</w:t>
      </w:r>
      <w:bookmarkEnd w:id="97"/>
    </w:p>
    <w:p w14:paraId="500DAA3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赣州市污水处理有限公司赣州市中心城区生活污水处理厂网一体化（一期）经开区污水管网完善工程车头路多功能微顶管施工作业总体符合相关法律法规要求，按要求严格执行相关安全对策措施的前提下，施工作业风险属于可控制范围内。</w:t>
      </w:r>
    </w:p>
    <w:p w14:paraId="2979A60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br w:type="page"/>
      </w:r>
    </w:p>
    <w:p w14:paraId="2309901A">
      <w:pPr>
        <w:pStyle w:val="2"/>
        <w:numPr>
          <w:ilvl w:val="0"/>
          <w:numId w:val="2"/>
        </w:numPr>
        <w:bidi w:val="0"/>
        <w:ind w:left="0" w:leftChars="0" w:firstLine="0" w:firstLineChars="0"/>
        <w:rPr>
          <w:rFonts w:hint="default"/>
          <w:color w:val="000000" w:themeColor="text1"/>
          <w:lang w:val="en-US" w:eastAsia="zh-CN"/>
          <w14:textFill>
            <w14:solidFill>
              <w14:schemeClr w14:val="tx1"/>
            </w14:solidFill>
          </w14:textFill>
        </w:rPr>
      </w:pPr>
      <w:bookmarkStart w:id="98" w:name="_Toc2369"/>
      <w:r>
        <w:rPr>
          <w:rFonts w:hint="default"/>
          <w:color w:val="000000" w:themeColor="text1"/>
          <w:lang w:val="en-US" w:eastAsia="zh-CN"/>
          <w14:textFill>
            <w14:solidFill>
              <w14:schemeClr w14:val="tx1"/>
            </w14:solidFill>
          </w14:textFill>
        </w:rPr>
        <w:t>安全对策措施和建议</w:t>
      </w:r>
      <w:bookmarkEnd w:id="98"/>
    </w:p>
    <w:p w14:paraId="6A9DDD92">
      <w:pPr>
        <w:pStyle w:val="3"/>
        <w:bidi w:val="0"/>
        <w:rPr>
          <w:rFonts w:hint="default"/>
          <w:color w:val="000000" w:themeColor="text1"/>
          <w:lang w:val="en-US" w:eastAsia="zh-CN"/>
          <w14:textFill>
            <w14:solidFill>
              <w14:schemeClr w14:val="tx1"/>
            </w14:solidFill>
          </w14:textFill>
        </w:rPr>
      </w:pPr>
      <w:bookmarkStart w:id="99" w:name="_Toc10898"/>
      <w:r>
        <w:rPr>
          <w:rFonts w:hint="default"/>
          <w:color w:val="000000" w:themeColor="text1"/>
          <w:lang w:val="en-US" w:eastAsia="zh-CN"/>
          <w14:textFill>
            <w14:solidFill>
              <w14:schemeClr w14:val="tx1"/>
            </w14:solidFill>
          </w14:textFill>
        </w:rPr>
        <w:t>6.1 施工方案中已提出的安全对策措施</w:t>
      </w:r>
      <w:bookmarkEnd w:id="99"/>
    </w:p>
    <w:p w14:paraId="2EEBFBD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本项目施工方案中提出的安全对策措施见本报告2.</w:t>
      </w: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至2.</w:t>
      </w:r>
      <w:r>
        <w:rPr>
          <w:rFonts w:hint="eastAsia"/>
          <w:color w:val="000000" w:themeColor="text1"/>
          <w:lang w:val="en-US" w:eastAsia="zh-CN"/>
          <w14:textFill>
            <w14:solidFill>
              <w14:schemeClr w14:val="tx1"/>
            </w14:solidFill>
          </w14:textFill>
        </w:rPr>
        <w:t>12</w:t>
      </w:r>
      <w:r>
        <w:rPr>
          <w:rFonts w:hint="default"/>
          <w:color w:val="000000" w:themeColor="text1"/>
          <w:lang w:val="en-US" w:eastAsia="zh-CN"/>
          <w14:textFill>
            <w14:solidFill>
              <w14:schemeClr w14:val="tx1"/>
            </w14:solidFill>
          </w14:textFill>
        </w:rPr>
        <w:t>节</w:t>
      </w:r>
    </w:p>
    <w:p w14:paraId="4D4B924F">
      <w:pPr>
        <w:pStyle w:val="3"/>
        <w:bidi w:val="0"/>
        <w:rPr>
          <w:rFonts w:hint="default"/>
          <w:color w:val="000000" w:themeColor="text1"/>
          <w:lang w:val="en-US" w:eastAsia="zh-CN"/>
          <w14:textFill>
            <w14:solidFill>
              <w14:schemeClr w14:val="tx1"/>
            </w14:solidFill>
          </w14:textFill>
        </w:rPr>
      </w:pPr>
      <w:bookmarkStart w:id="100" w:name="_Toc31935"/>
      <w:r>
        <w:rPr>
          <w:rFonts w:hint="default"/>
          <w:color w:val="000000" w:themeColor="text1"/>
          <w:lang w:val="en-US" w:eastAsia="zh-CN"/>
          <w14:textFill>
            <w14:solidFill>
              <w14:schemeClr w14:val="tx1"/>
            </w14:solidFill>
          </w14:textFill>
        </w:rPr>
        <w:t>6.2 本评估报告提出的对策措施</w:t>
      </w:r>
      <w:bookmarkEnd w:id="100"/>
    </w:p>
    <w:p w14:paraId="143751B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加强安全管理，认真贯彻落实科学发展观，牢固树立安全发展的理念，积极防范和遏制施工安全事故，完善各项安全生产管理规章制度，落实安全措施，保障安全资金足额投入，建立健全并不断完善安全生产管理体系；正确分析工程施工过程中的危险因素，加强现场防护和文明施工管理，及时排查事故隐患，努力为工人创建良好的作业环境；严格按相关规范的要求来实施，贯彻</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安全第一，预防为主</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的方针，才能减少或避免伤亡事故的发生，实现建设工程施工生产安全。</w:t>
      </w:r>
    </w:p>
    <w:p w14:paraId="681993DE">
      <w:pPr>
        <w:pStyle w:val="4"/>
        <w:bidi w:val="0"/>
        <w:rPr>
          <w:rFonts w:hint="default"/>
          <w:color w:val="000000" w:themeColor="text1"/>
          <w:lang w:val="en-US" w:eastAsia="zh-CN"/>
          <w14:textFill>
            <w14:solidFill>
              <w14:schemeClr w14:val="tx1"/>
            </w14:solidFill>
          </w14:textFill>
        </w:rPr>
      </w:pPr>
      <w:bookmarkStart w:id="101" w:name="_Toc19531"/>
      <w:r>
        <w:rPr>
          <w:rFonts w:hint="default"/>
          <w:color w:val="000000" w:themeColor="text1"/>
          <w:lang w:val="en-US" w:eastAsia="zh-CN"/>
          <w14:textFill>
            <w14:solidFill>
              <w14:schemeClr w14:val="tx1"/>
            </w14:solidFill>
          </w14:textFill>
        </w:rPr>
        <w:t>6.2.1 施工安全对策措施</w:t>
      </w:r>
      <w:bookmarkEnd w:id="101"/>
    </w:p>
    <w:p w14:paraId="1E26DBC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选择符合法律要求和具有微型顶管施工经验的队伍施工，在安全方面，安全组织机构健全，安全制度严密，从业人员持证上岗，人证合一。</w:t>
      </w:r>
    </w:p>
    <w:p w14:paraId="3C91B1D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前，应详细核对设计图纸和文件，对规定的危险作业施工，编制专门的安全技术措施方案，并附安全验算结果，按程序审批、评审和实施。每个单项工程，在开工前应根据规程规定安全操作细则，并向从业人员进行安全技术交底。</w:t>
      </w:r>
    </w:p>
    <w:p w14:paraId="27C8A9F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施工安全</w:t>
      </w:r>
    </w:p>
    <w:p w14:paraId="71E2637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设置专门安全员，贯彻落实</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安全第一，预防为主</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的方针和</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管生产必须抓安全</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的原则，根据工程实际情况，制定各项安全措施，确保施工生产的安全。</w:t>
      </w:r>
    </w:p>
    <w:p w14:paraId="539C2D7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1）工程开工前，对施工班组及操作人员进行详细的安全技术交底。</w:t>
      </w:r>
    </w:p>
    <w:p w14:paraId="50E9017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2）对公司组织的验收意见，进行认真整改和完善，加强施工过程中的监控和观测，严格填写检查记录，并签字确认，确保系统的安全。</w:t>
      </w:r>
    </w:p>
    <w:p w14:paraId="22ABAE3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3）所有进场人员必须佩戴安全帽，佩戴安全带，禁止穿拖鞋、高跟鞋或光脚进入施工现场，必须正确使用个人防护用品。</w:t>
      </w:r>
    </w:p>
    <w:p w14:paraId="0692DAF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4）所有人员进场时，且所有人员只能在工作区域内作业，严禁私自跨越公路护栏或者穿越公路。</w:t>
      </w:r>
    </w:p>
    <w:p w14:paraId="01AEA0C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5）为保证施工过程中采取必要的防护措施。</w:t>
      </w:r>
    </w:p>
    <w:p w14:paraId="6ADEA72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6）由于施工现场有很多钢管木料，焊接工程量大，在焊接施工前必须采取必要的防火措施，以免焊渣飞溅在木板上引发火灾。</w:t>
      </w:r>
    </w:p>
    <w:p w14:paraId="2115095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7）现场起吊人员采用双信号控制，统一指挥，比如口哨、手势、对讲机等，确保吊装安全。</w:t>
      </w:r>
    </w:p>
    <w:p w14:paraId="7F9A1C5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8）运送物件的各种升降设备应有可靠的安全装置，严禁人员乘坐运送物件的设备。</w:t>
      </w:r>
    </w:p>
    <w:p w14:paraId="33406DE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9）各技术工种要求持证上岗，杜绝违章作业。</w:t>
      </w:r>
    </w:p>
    <w:p w14:paraId="050C2A7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10）严禁机械设备超负荷使用、带病运转和在作业运转中进行维修。</w:t>
      </w:r>
    </w:p>
    <w:p w14:paraId="7C070B7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）各工种进行上、下立体交叉作业时，不得在同一垂直方向操作。</w:t>
      </w:r>
    </w:p>
    <w:p w14:paraId="38289A7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施工，应尽量避免双层或多层同时作业，当无法避免时，应设、防护网、和醒目的警示标志、信号等，切实做好安全防护工作。若有电焊作业，应具有绝缘、防火性能。手持式电动工具，应按规定加设漏电保护。</w:t>
      </w:r>
    </w:p>
    <w:p w14:paraId="5E96FFC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前应与当地路政监督部门联系，商定有关交通管制、作业安全事宜，办理施工许可证手续，否则不得开工。若遇恶劣天气，应停止高处作业，缆索吊装及大型构件起重吊装作业。禁止施工人员酒后驾驶交通工具及操作危险等级较高的施工设备作业。</w:t>
      </w:r>
    </w:p>
    <w:p w14:paraId="535A93A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任何施工应尽量避开夜间施工。若必须夜间施工应安装足够的照明，并保证工人有足够的睡眠。</w:t>
      </w:r>
    </w:p>
    <w:p w14:paraId="187844E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7</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各单项施工严格按相应的技术和安全操作规程进行。</w:t>
      </w:r>
    </w:p>
    <w:p w14:paraId="4FD98F8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8. </w:t>
      </w:r>
      <w:r>
        <w:rPr>
          <w:rFonts w:hint="default"/>
          <w:color w:val="000000" w:themeColor="text1"/>
          <w:lang w:val="en-US" w:eastAsia="zh-CN"/>
          <w14:textFill>
            <w14:solidFill>
              <w14:schemeClr w14:val="tx1"/>
            </w14:solidFill>
          </w14:textFill>
        </w:rPr>
        <w:t>在施工过程中的临时性占地在施工完后恢复。固体废弃物及时清理、运走，不会对环境产生长期影响。</w:t>
      </w:r>
    </w:p>
    <w:p w14:paraId="1E2E353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9. </w:t>
      </w:r>
      <w:r>
        <w:rPr>
          <w:rFonts w:hint="default"/>
          <w:color w:val="000000" w:themeColor="text1"/>
          <w:lang w:val="en-US" w:eastAsia="zh-CN"/>
          <w14:textFill>
            <w14:solidFill>
              <w14:schemeClr w14:val="tx1"/>
            </w14:solidFill>
          </w14:textFill>
        </w:rPr>
        <w:t>由于公路穿越施工是影响工期、影响质量的关键环节，它不仅影响周围车辆通行，还将对原公路路基造成潜在影响。因此施工时，要设置专人负责，组成专门现场管理人员和施工人员进行专业化、规范化、程序化的流水施工作业，要特别加强现场的安全管理和质量管理。</w:t>
      </w:r>
    </w:p>
    <w:p w14:paraId="1BABA17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0. </w:t>
      </w:r>
      <w:r>
        <w:rPr>
          <w:rFonts w:hint="default"/>
          <w:color w:val="000000" w:themeColor="text1"/>
          <w:lang w:val="en-US" w:eastAsia="zh-CN"/>
          <w14:textFill>
            <w14:solidFill>
              <w14:schemeClr w14:val="tx1"/>
            </w14:solidFill>
          </w14:textFill>
        </w:rPr>
        <w:t>注意现场的安全用电，必须由有资格的专业电工进行电工作业，要注意周围的树木和电杆电线。</w:t>
      </w:r>
    </w:p>
    <w:p w14:paraId="18A2094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1. </w:t>
      </w:r>
      <w:r>
        <w:rPr>
          <w:rFonts w:hint="default"/>
          <w:color w:val="000000" w:themeColor="text1"/>
          <w:lang w:val="en-US" w:eastAsia="zh-CN"/>
          <w14:textFill>
            <w14:solidFill>
              <w14:schemeClr w14:val="tx1"/>
            </w14:solidFill>
          </w14:textFill>
        </w:rPr>
        <w:t>特殊工种必须持证上岗，进行公路穿越段的施工时，严禁无证操作等现象，保证穿越质量。</w:t>
      </w:r>
    </w:p>
    <w:p w14:paraId="28E4872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2. </w:t>
      </w:r>
      <w:r>
        <w:rPr>
          <w:rFonts w:hint="default"/>
          <w:color w:val="000000" w:themeColor="text1"/>
          <w:lang w:val="en-US" w:eastAsia="zh-CN"/>
          <w14:textFill>
            <w14:solidFill>
              <w14:schemeClr w14:val="tx1"/>
            </w14:solidFill>
          </w14:textFill>
        </w:rPr>
        <w:t>加强与公路管理部门及当地土地部门的协调，发现问题及时联络、及时协调、迅速处理，确保施工安全，确保施工质量达到优良标准。</w:t>
      </w:r>
    </w:p>
    <w:p w14:paraId="5497FA4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3. </w:t>
      </w:r>
      <w:r>
        <w:rPr>
          <w:rFonts w:hint="default"/>
          <w:color w:val="000000" w:themeColor="text1"/>
          <w:lang w:val="en-US" w:eastAsia="zh-CN"/>
          <w14:textFill>
            <w14:solidFill>
              <w14:schemeClr w14:val="tx1"/>
            </w14:solidFill>
          </w14:textFill>
        </w:rPr>
        <w:t>在作业带周边设置完整连续的警示带隔离。</w:t>
      </w:r>
    </w:p>
    <w:p w14:paraId="3AEE597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4. </w:t>
      </w:r>
      <w:r>
        <w:rPr>
          <w:rFonts w:hint="default"/>
          <w:color w:val="000000" w:themeColor="text1"/>
          <w:lang w:val="en-US" w:eastAsia="zh-CN"/>
          <w14:textFill>
            <w14:solidFill>
              <w14:schemeClr w14:val="tx1"/>
            </w14:solidFill>
          </w14:textFill>
        </w:rPr>
        <w:t>在施工区域设置安全告知牌，并有专人值班负责管理。</w:t>
      </w:r>
    </w:p>
    <w:p w14:paraId="2DDADBE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5. </w:t>
      </w:r>
      <w:r>
        <w:rPr>
          <w:rFonts w:hint="default"/>
          <w:color w:val="000000" w:themeColor="text1"/>
          <w:lang w:val="en-US" w:eastAsia="zh-CN"/>
          <w14:textFill>
            <w14:solidFill>
              <w14:schemeClr w14:val="tx1"/>
            </w14:solidFill>
          </w14:textFill>
        </w:rPr>
        <w:t>应对穿越主要安全防护：施工过程中的路面沉降、塌陷事故、地下管线破损、交通事故和触电事故等制定应急预案。配备相应的应急救援器材、人员。</w:t>
      </w:r>
    </w:p>
    <w:p w14:paraId="5954480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6. </w:t>
      </w:r>
      <w:r>
        <w:rPr>
          <w:rFonts w:hint="default"/>
          <w:color w:val="000000" w:themeColor="text1"/>
          <w:lang w:val="en-US" w:eastAsia="zh-CN"/>
          <w14:textFill>
            <w14:solidFill>
              <w14:schemeClr w14:val="tx1"/>
            </w14:solidFill>
          </w14:textFill>
        </w:rPr>
        <w:t>在穿越敷设的路面设置间距为2m的观测点，根据顶进位置进行不间断的测量，发现沉降超过30mm应立即停止作业，找出原因并采取相应措施后才可继续施工。</w:t>
      </w:r>
    </w:p>
    <w:p w14:paraId="0AC0B68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7. </w:t>
      </w:r>
      <w:r>
        <w:rPr>
          <w:rFonts w:hint="default"/>
          <w:color w:val="000000" w:themeColor="text1"/>
          <w:lang w:val="en-US" w:eastAsia="zh-CN"/>
          <w14:textFill>
            <w14:solidFill>
              <w14:schemeClr w14:val="tx1"/>
            </w14:solidFill>
          </w14:textFill>
        </w:rPr>
        <w:t>在穿越公路前向有关交通部门办理审批手续，了解作业点地形地貌，地上建筑物和地下障碍对穿越施工的影响，必要时和当地取得联系，由当地主管部门的有关人员现场指定位置，暴露地下障碍物的准确位置。</w:t>
      </w:r>
    </w:p>
    <w:p w14:paraId="06E81DB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8. </w:t>
      </w:r>
      <w:r>
        <w:rPr>
          <w:rFonts w:hint="default"/>
          <w:color w:val="000000" w:themeColor="text1"/>
          <w:lang w:val="en-US" w:eastAsia="zh-CN"/>
          <w14:textFill>
            <w14:solidFill>
              <w14:schemeClr w14:val="tx1"/>
            </w14:solidFill>
          </w14:textFill>
        </w:rPr>
        <w:t>开工前，对员工进行安全技术教育，使员工熟悉穿越程序和注意事项。在确认后，及时调整施工路线和高程，以避开管线相交。</w:t>
      </w:r>
    </w:p>
    <w:p w14:paraId="3852705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19. </w:t>
      </w:r>
      <w:r>
        <w:rPr>
          <w:rFonts w:hint="default"/>
          <w:color w:val="000000" w:themeColor="text1"/>
          <w:lang w:val="en-US" w:eastAsia="zh-CN"/>
          <w14:textFill>
            <w14:solidFill>
              <w14:schemeClr w14:val="tx1"/>
            </w14:solidFill>
          </w14:textFill>
        </w:rPr>
        <w:t>临时用电</w:t>
      </w:r>
    </w:p>
    <w:p w14:paraId="485C5FA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1）建设施工现场临时用电工程专用的电源中性点直接接地的220/380V三相四线制低压电力系统，必须符合下列规定：</w:t>
      </w:r>
    </w:p>
    <w:p w14:paraId="007DA44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1）采用三级配电系统；</w:t>
      </w:r>
    </w:p>
    <w:p w14:paraId="38F88E8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2）采用TN-S接零保护系统；</w:t>
      </w:r>
    </w:p>
    <w:p w14:paraId="1822104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3）采用二级剩余电流保护系统。</w:t>
      </w:r>
    </w:p>
    <w:p w14:paraId="512E1B2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2）配电系统应设置总配电箱、分配电箱、开关箱三级配电装置，实行三级配电。</w:t>
      </w:r>
    </w:p>
    <w:p w14:paraId="1CFFB15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3）配电系统宜使三相负荷平衡。220V或380V单相用电设备宜接入220/380V三相四线系统；单相照明线路宜采用220/380V三相四线制单相供电。</w:t>
      </w:r>
    </w:p>
    <w:p w14:paraId="18B51E5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4）在施工现场专用变压器的供电的TN-S接零保护系统中，电气设备的金属外壳必须与保护零线连接。保护零线应由工作接地线、配电室（总配电箱）电源侧零线或总剩余电流动作保护器电源侧零线处引出</w:t>
      </w:r>
    </w:p>
    <w:p w14:paraId="678FEF0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5）当施工现场与外电线路共用同一供电系统时，电气设备的接地、接零保护应与原系统保持一致。不得一部分设备做保护接零，另一部分设备做保护接地。</w:t>
      </w:r>
    </w:p>
    <w:p w14:paraId="42D8E90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采用TN系统做保护接零时，工作零线（N线）必须通过总剩余电流动作保护器，保护零线（PE线）必须由电源进线零线重复接地处或总剩余电流动作保护器电源侧零线处，引出形成TN-C-S接零保护系统</w:t>
      </w:r>
    </w:p>
    <w:p w14:paraId="0A5A8AC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6）在TN系统中，下列电气设备不带电的外露可导电部分应做保护接零：</w:t>
      </w:r>
    </w:p>
    <w:p w14:paraId="7467F3A8">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1）电机、变压器、电器、照明器具、手持式电动工具的金属外壳；</w:t>
      </w:r>
    </w:p>
    <w:p w14:paraId="7B75A4F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2）电气设备传动装置的金属部件；</w:t>
      </w:r>
    </w:p>
    <w:p w14:paraId="3FA2EE5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3）配电柜与控制柜的金属框架；</w:t>
      </w:r>
    </w:p>
    <w:p w14:paraId="5778F33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4）配电装置的金属箱体、框架及靠近带电部分的金属围栏和金属门；</w:t>
      </w:r>
    </w:p>
    <w:p w14:paraId="1D81EC8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5）电力线路的金属保护管、敷线的钢索、起重机的底座和轨道、滑升模板金属操作平台等；</w:t>
      </w:r>
    </w:p>
    <w:p w14:paraId="1A2925E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6）安装在电力线路杆（塔）上的开关、电容器等电气装置的金属外壳及支架。</w:t>
      </w:r>
    </w:p>
    <w:p w14:paraId="778C302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7）临时用电工程组织设计编制及变更时，必须履行</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编制、审核、批准</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程序，由电气工程技术人员组织编制，经相关部门审核及具有法人资格企业的技术负责人批准后实施。变更用电工程组织设计时，应补充有关图纸资料。</w:t>
      </w:r>
    </w:p>
    <w:p w14:paraId="0661EB37">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8）临时用电工程必须经编制、审核、批准部门和使用单位共同验收，合格后方可使用。</w:t>
      </w:r>
    </w:p>
    <w:p w14:paraId="11ACC16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9）电工必须经过按国家现行标准考核合格后，持证上岗工作；其他用电人员必须通过相关安全教育培训和技术交底，考核合格后方可上岗工作。</w:t>
      </w:r>
    </w:p>
    <w:p w14:paraId="40EDB60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10）安装、巡检、维修或拆除临时用电设备和线路，必须由电工完成，并应有人监护。电工等级应同工程的难易程度和技术复杂性相适应。</w:t>
      </w:r>
    </w:p>
    <w:p w14:paraId="5098B6B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11）各类用电人员应掌握安全用电基本知识和所用设备的性能，并应符合下列规定：</w:t>
      </w:r>
    </w:p>
    <w:p w14:paraId="264020E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1）使用电气设备前必须按规定穿戴和配备好相应的劳动防护用品，并应检查电气装置和保护设施，严禁设备带</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缺陷</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运转；</w:t>
      </w:r>
    </w:p>
    <w:p w14:paraId="3E52F90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2）保管和维护所用设备，发现问题及时报告解决；</w:t>
      </w:r>
    </w:p>
    <w:p w14:paraId="5A0DDAA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3）暂时停用设备的开关箱必须分断电源隔离开关，并应关门上锁；</w:t>
      </w:r>
    </w:p>
    <w:p w14:paraId="028E16E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4）移动电气设备时，必须经电工切断电源并做妥善处理后进行。</w:t>
      </w:r>
    </w:p>
    <w:p w14:paraId="26C5AA0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12）临时用电工程应定期检查。定期检查时，应复查接地电阻值和绝缘电阻值和进行剩余电流动作保护器的剩余电流动作参数测定。</w:t>
      </w:r>
    </w:p>
    <w:p w14:paraId="78A284D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13）临时用电工程定期检查应按分部、分项工程进行，对安全隐患必须及时处理，并应履行复查验收手续。</w:t>
      </w:r>
    </w:p>
    <w:p w14:paraId="21CF978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14）施工现场临时用电工程必须建立安全技术档案，并应包括下列内容：</w:t>
      </w:r>
    </w:p>
    <w:p w14:paraId="18F5B7C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1）用电工程组织设计编制、修改和审批的全部资料；</w:t>
      </w:r>
    </w:p>
    <w:p w14:paraId="3C22EB6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2）施工现场临时用电工程主要设备、材料的产品合格证、3C认证报告、检测报告等；</w:t>
      </w:r>
    </w:p>
    <w:p w14:paraId="6EF5E87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3）用电工程技术交底资料；</w:t>
      </w:r>
    </w:p>
    <w:p w14:paraId="0F90867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4）用电工程检查验收表；</w:t>
      </w:r>
    </w:p>
    <w:p w14:paraId="2187A0E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5）电气设备的试、检验凭单和调试记录；</w:t>
      </w:r>
    </w:p>
    <w:p w14:paraId="6B8A45D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6）接地电阻、绝缘电阻和剩余电流动作保护器的剩余电流动作参数测定记录表；</w:t>
      </w:r>
    </w:p>
    <w:p w14:paraId="1C84376F">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7）定期检（复）查表；</w:t>
      </w:r>
    </w:p>
    <w:p w14:paraId="7D56E52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8）电工安装、巡检、维修、拆除工作记录；</w:t>
      </w:r>
    </w:p>
    <w:p w14:paraId="31C52E6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9）施工现场临时用电工程管理制度、分包单位临时用电安全生产协议、电工特种作业操作资格证等。</w:t>
      </w:r>
    </w:p>
    <w:p w14:paraId="48366D9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15）安全技术档案应由主管该现场的电气技术人员负责建立与管理。其中“电工安装、巡检、维修、拆除工作记录”可指定电工代管，每周由项目经理审核认可，并应在临时用电工程拆除后统一归档。</w:t>
      </w:r>
    </w:p>
    <w:p w14:paraId="05F2DE4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16）施工现场内所有防雷装置的冲击接地电阻值不得大于30Ω。为确保人身安全，施工现场临时用电重复接地保护。</w:t>
      </w:r>
    </w:p>
    <w:p w14:paraId="49D3CAA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0. </w:t>
      </w:r>
      <w:r>
        <w:rPr>
          <w:rFonts w:hint="default"/>
          <w:color w:val="000000" w:themeColor="text1"/>
          <w:lang w:val="en-US" w:eastAsia="zh-CN"/>
          <w14:textFill>
            <w14:solidFill>
              <w14:schemeClr w14:val="tx1"/>
            </w14:solidFill>
          </w14:textFill>
        </w:rPr>
        <w:t>任何单位和个人不得擅自占用、挖掘公路。因修建铁路、机场、电站、通信设施、水利工程和进行其他建设工程需要占用、挖掘公路或者使公路改线的，建设单位应当事先征得有关交通主管部门的同意；影响交通安全的，还须征得有关公安机关的同意。占用、挖掘公路或者使公路改线的，建设单位应当按照不低于该段公路原有的技术标准予以修复、改建或者给予相应的经济补偿。</w:t>
      </w:r>
    </w:p>
    <w:p w14:paraId="26EB434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1. </w:t>
      </w:r>
      <w:r>
        <w:rPr>
          <w:rFonts w:hint="default"/>
          <w:color w:val="000000" w:themeColor="text1"/>
          <w:lang w:val="en-US" w:eastAsia="zh-CN"/>
          <w14:textFill>
            <w14:solidFill>
              <w14:schemeClr w14:val="tx1"/>
            </w14:solidFill>
          </w14:textFill>
        </w:rPr>
        <w:t>竣工验收应在施工单位自检合格后进行，由建设、设计、监理、施工等单位共同参与完成。施工过程中和竣工后，应保证敷设管线的上覆土层及相邻建筑物不发生沉陷、坍塌或隆起，相邻或相交管线及地下构筑物不受损坏。程竣工后应对已敷设管线的空间位置进行测量，并做出管线竣工测量图。工程验收合格后，施工单位应进行场地复原。</w:t>
      </w:r>
    </w:p>
    <w:p w14:paraId="315B51DC">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2. </w:t>
      </w:r>
      <w:r>
        <w:rPr>
          <w:rFonts w:hint="default"/>
          <w:color w:val="000000" w:themeColor="text1"/>
          <w:lang w:val="en-US" w:eastAsia="zh-CN"/>
          <w14:textFill>
            <w14:solidFill>
              <w14:schemeClr w14:val="tx1"/>
            </w14:solidFill>
          </w14:textFill>
        </w:rPr>
        <w:t>按照《公路养护安全作业规程》的规定，在距施工地点来车方向1600</w:t>
      </w:r>
      <w:r>
        <w:rPr>
          <w:rFonts w:hint="eastAsia"/>
          <w:color w:val="000000" w:themeColor="text1"/>
          <w:lang w:val="en-US" w:eastAsia="zh-CN"/>
          <w14:textFill>
            <w14:solidFill>
              <w14:schemeClr w14:val="tx1"/>
            </w14:solidFill>
          </w14:textFill>
        </w:rPr>
        <w:t>米</w:t>
      </w:r>
      <w:r>
        <w:rPr>
          <w:rFonts w:hint="default"/>
          <w:color w:val="000000" w:themeColor="text1"/>
          <w:lang w:val="en-US" w:eastAsia="zh-CN"/>
          <w14:textFill>
            <w14:solidFill>
              <w14:schemeClr w14:val="tx1"/>
            </w14:solidFill>
          </w14:textFill>
        </w:rPr>
        <w:t>处设监控点，保持通信畅通，随时通报车辆运行情况；限速标志按照逐级降速办法布设限速标志牌，每100米降速10公里，每200米布设一处限速标志；过渡区、缓冲区、作业区的反光锥桶按照4米一个的间距摆放，充分发挥标志设施的安全警示作用。并请高速路政、交警部门现场指导、检查，以维持高速车辆通行秩序。</w:t>
      </w:r>
    </w:p>
    <w:p w14:paraId="1A8C4E7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3. </w:t>
      </w:r>
      <w:r>
        <w:rPr>
          <w:rFonts w:hint="default"/>
          <w:color w:val="000000" w:themeColor="text1"/>
          <w:lang w:val="en-US" w:eastAsia="zh-CN"/>
          <w14:textFill>
            <w14:solidFill>
              <w14:schemeClr w14:val="tx1"/>
            </w14:solidFill>
          </w14:textFill>
        </w:rPr>
        <w:t>选定穿越位置后，根据设计阶段的要求，按照现行国家标准《电气装置安装工程电缆线路施工及验收标准》GB50168-2018和《电力工程电缆设计标准》GB50217-2018的有关规定，应取得相关勘探资料。</w:t>
      </w:r>
    </w:p>
    <w:p w14:paraId="67C7590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4. </w:t>
      </w:r>
      <w:r>
        <w:rPr>
          <w:rFonts w:hint="default"/>
          <w:color w:val="000000" w:themeColor="text1"/>
          <w:lang w:val="en-US" w:eastAsia="zh-CN"/>
          <w14:textFill>
            <w14:solidFill>
              <w14:schemeClr w14:val="tx1"/>
            </w14:solidFill>
          </w14:textFill>
        </w:rPr>
        <w:t>施工作业时，与施工无关人员不得入场、施工人员不得擅自随意行动。</w:t>
      </w:r>
    </w:p>
    <w:p w14:paraId="7FE1A0F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25. </w:t>
      </w:r>
      <w:r>
        <w:rPr>
          <w:rFonts w:hint="default"/>
          <w:color w:val="000000" w:themeColor="text1"/>
          <w:lang w:val="en-US" w:eastAsia="zh-CN"/>
          <w14:textFill>
            <w14:solidFill>
              <w14:schemeClr w14:val="tx1"/>
            </w14:solidFill>
          </w14:textFill>
        </w:rPr>
        <w:t>水平定向钻法管道穿越工程技术安全对策措施：</w:t>
      </w:r>
    </w:p>
    <w:p w14:paraId="712C6DD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施工单位应编制专项施工方案，并应对微型顶管设备进行选型论证。</w:t>
      </w:r>
    </w:p>
    <w:p w14:paraId="18A9677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微型顶管井形式应根据地质、地下水、管道埋深等条件确定，宜采用圆形竖井摇管机施工的钢沉井，也可采用钢板桩、沉井、型钢水泥土搅拌墙、灌注桩排桩围护墙、地下连续墙等围护形式。</w:t>
      </w:r>
    </w:p>
    <w:p w14:paraId="6ED2567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顶管井内应设置集水坑。</w:t>
      </w:r>
    </w:p>
    <w:p w14:paraId="1C4C678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（4）完善</w:t>
      </w:r>
      <w:r>
        <w:rPr>
          <w:rFonts w:hint="default"/>
          <w:color w:val="000000" w:themeColor="text1"/>
          <w:lang w:val="en-US" w:eastAsia="zh-CN"/>
          <w14:textFill>
            <w14:solidFill>
              <w14:schemeClr w14:val="tx1"/>
            </w14:solidFill>
          </w14:textFill>
        </w:rPr>
        <w:t>专项施工方案</w:t>
      </w:r>
    </w:p>
    <w:p w14:paraId="3D0DFA4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岩层中顶管应采用适用于切削岩石的顶管机</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当岩石中含有石英质矿物成分，或岩层强度分布不均匀时，应专门考虑刀盘上刀头的磨损。</w:t>
      </w:r>
    </w:p>
    <w:p w14:paraId="2FB47D6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顶管井沉井施工应按现行国家标准《给水排水构筑物工程施工及验收规范》GB50141和现行协会标准《给水排水工程钢筋混凝土沉井结构设计规程》CECS137的有关规定执行。</w:t>
      </w:r>
    </w:p>
    <w:p w14:paraId="2A5B04F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顶管井钢板桩、灌注、地下连续墙支护的施工和验收应按现行行业标准《建筑基坑支护技术规程》JGJ120和地方有关基坑支护技术标准的规定执行。</w:t>
      </w:r>
    </w:p>
    <w:p w14:paraId="1281EE0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顶管施工完成后回收摇管机施工的钢沉井，应先将钢沉井进行水平切割，切割面位于管道穿井洞口以上不小于300mm，当切割面位于地下水位以下时，应采取隔水措施，然后进行并内管道及设备连接安装、工艺井修筑，并应按要求对工艺井四周进行回填，回填完成后方可进行钢沉井上拔回收。</w:t>
      </w:r>
    </w:p>
    <w:p w14:paraId="5192D47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default"/>
          <w:color w:val="000000" w:themeColor="text1"/>
          <w:lang w:val="en-US" w:eastAsia="zh-CN"/>
          <w14:textFill>
            <w14:solidFill>
              <w14:schemeClr w14:val="tx1"/>
            </w14:solidFill>
          </w14:textFill>
        </w:rPr>
        <w:t>顶管井洞口的施工应符合下列规定</w:t>
      </w:r>
      <w:r>
        <w:rPr>
          <w:rFonts w:hint="eastAsia"/>
          <w:color w:val="000000" w:themeColor="text1"/>
          <w:lang w:val="en-US" w:eastAsia="zh-CN"/>
          <w14:textFill>
            <w14:solidFill>
              <w14:schemeClr w14:val="tx1"/>
            </w14:solidFill>
          </w14:textFill>
        </w:rPr>
        <w:t>：</w:t>
      </w:r>
    </w:p>
    <w:p w14:paraId="3700BE8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洞口尺寸和位置应符合设计要求</w:t>
      </w:r>
      <w:r>
        <w:rPr>
          <w:rFonts w:hint="eastAsia"/>
          <w:color w:val="000000" w:themeColor="text1"/>
          <w:lang w:val="en-US" w:eastAsia="zh-CN"/>
          <w14:textFill>
            <w14:solidFill>
              <w14:schemeClr w14:val="tx1"/>
            </w14:solidFill>
          </w14:textFill>
        </w:rPr>
        <w:t>；</w:t>
      </w:r>
    </w:p>
    <w:p w14:paraId="040E862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应按设计要求对洞口土体采取加固措施，进出洞前应先检查洞口土体的强度和渗漏水情况</w:t>
      </w:r>
      <w:r>
        <w:rPr>
          <w:rFonts w:hint="eastAsia"/>
          <w:color w:val="000000" w:themeColor="text1"/>
          <w:lang w:val="en-US" w:eastAsia="zh-CN"/>
          <w14:textFill>
            <w14:solidFill>
              <w14:schemeClr w14:val="tx1"/>
            </w14:solidFill>
          </w14:textFill>
        </w:rPr>
        <w:t>；</w:t>
      </w:r>
    </w:p>
    <w:p w14:paraId="1068C23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设置临时封门时，应拆除方便，拆除时应减小对洞口土层的扰动</w:t>
      </w:r>
      <w:r>
        <w:rPr>
          <w:rFonts w:hint="eastAsia"/>
          <w:color w:val="000000" w:themeColor="text1"/>
          <w:lang w:val="en-US" w:eastAsia="zh-CN"/>
          <w14:textFill>
            <w14:solidFill>
              <w14:schemeClr w14:val="tx1"/>
            </w14:solidFill>
          </w14:textFill>
        </w:rPr>
        <w:t>；</w:t>
      </w:r>
    </w:p>
    <w:p w14:paraId="678D011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洞口处应设置止水装置</w:t>
      </w:r>
      <w:r>
        <w:rPr>
          <w:rFonts w:hint="eastAsia"/>
          <w:color w:val="000000" w:themeColor="text1"/>
          <w:lang w:val="en-US" w:eastAsia="zh-CN"/>
          <w14:textFill>
            <w14:solidFill>
              <w14:schemeClr w14:val="tx1"/>
            </w14:solidFill>
          </w14:textFill>
        </w:rPr>
        <w:t>；</w:t>
      </w:r>
    </w:p>
    <w:p w14:paraId="49FB5BF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在高地下水压环境下施工时，应采取措施防止临时封门在水压作用下突然破坏造成人员伤亡。</w:t>
      </w:r>
    </w:p>
    <w:p w14:paraId="28D41AAB">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r>
        <w:rPr>
          <w:rFonts w:hint="default"/>
          <w:color w:val="000000" w:themeColor="text1"/>
          <w:lang w:val="en-US" w:eastAsia="zh-CN"/>
          <w14:textFill>
            <w14:solidFill>
              <w14:schemeClr w14:val="tx1"/>
            </w14:solidFill>
          </w14:textFill>
        </w:rPr>
        <w:t>顶推装置安装应符合下列规定</w:t>
      </w:r>
      <w:r>
        <w:rPr>
          <w:rFonts w:hint="eastAsia"/>
          <w:color w:val="000000" w:themeColor="text1"/>
          <w:lang w:val="en-US" w:eastAsia="zh-CN"/>
          <w14:textFill>
            <w14:solidFill>
              <w14:schemeClr w14:val="tx1"/>
            </w14:solidFill>
          </w14:textFill>
        </w:rPr>
        <w:t>：</w:t>
      </w:r>
    </w:p>
    <w:p w14:paraId="39A805C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应根据设计总顶力值、管道允许顶力设计值和反力墙后背土体允许最大顶力设计值这三者的最大值，并根据工作井尺寸配置顶推装置的规格;</w:t>
      </w:r>
    </w:p>
    <w:p w14:paraId="24E6888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顶推装置的千斤顶应按管道中轴线对称布置</w:t>
      </w:r>
      <w:r>
        <w:rPr>
          <w:rFonts w:hint="eastAsia"/>
          <w:color w:val="000000" w:themeColor="text1"/>
          <w:lang w:val="en-US" w:eastAsia="zh-CN"/>
          <w14:textFill>
            <w14:solidFill>
              <w14:schemeClr w14:val="tx1"/>
            </w14:solidFill>
          </w14:textFill>
        </w:rPr>
        <w:t>；</w:t>
      </w:r>
    </w:p>
    <w:p w14:paraId="03C4561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每台千斤顶应具有进油、退油的控制系统</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所有千斤顶应工作协调同步</w:t>
      </w:r>
      <w:r>
        <w:rPr>
          <w:rFonts w:hint="eastAsia"/>
          <w:color w:val="000000" w:themeColor="text1"/>
          <w:lang w:val="en-US" w:eastAsia="zh-CN"/>
          <w14:textFill>
            <w14:solidFill>
              <w14:schemeClr w14:val="tx1"/>
            </w14:solidFill>
          </w14:textFill>
        </w:rPr>
        <w:t>；</w:t>
      </w:r>
    </w:p>
    <w:p w14:paraId="0A42AD1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顶铁与管口之间的接触面应衬垫缓冲材料</w:t>
      </w:r>
      <w:r>
        <w:rPr>
          <w:rFonts w:hint="eastAsia"/>
          <w:color w:val="000000" w:themeColor="text1"/>
          <w:lang w:val="en-US" w:eastAsia="zh-CN"/>
          <w14:textFill>
            <w14:solidFill>
              <w14:schemeClr w14:val="tx1"/>
            </w14:solidFill>
          </w14:textFill>
        </w:rPr>
        <w:t>；</w:t>
      </w:r>
    </w:p>
    <w:p w14:paraId="1338731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油泵宜设置在千斤顶附近，油管应顺直、转角少</w:t>
      </w:r>
      <w:r>
        <w:rPr>
          <w:rFonts w:hint="eastAsia"/>
          <w:color w:val="000000" w:themeColor="text1"/>
          <w:lang w:val="en-US" w:eastAsia="zh-CN"/>
          <w14:textFill>
            <w14:solidFill>
              <w14:schemeClr w14:val="tx1"/>
            </w14:solidFill>
          </w14:textFill>
        </w:rPr>
        <w:t>；</w:t>
      </w:r>
    </w:p>
    <w:p w14:paraId="3EA780E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r>
        <w:rPr>
          <w:rFonts w:hint="default"/>
          <w:color w:val="000000" w:themeColor="text1"/>
          <w:lang w:val="en-US" w:eastAsia="zh-CN"/>
          <w14:textFill>
            <w14:solidFill>
              <w14:schemeClr w14:val="tx1"/>
            </w14:solidFill>
          </w14:textFill>
        </w:rPr>
        <w:t>油泵安装完毕后方可进行试运转。</w:t>
      </w:r>
    </w:p>
    <w:p w14:paraId="303C7E8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r>
        <w:rPr>
          <w:rFonts w:hint="default"/>
          <w:color w:val="000000" w:themeColor="text1"/>
          <w:lang w:val="en-US" w:eastAsia="zh-CN"/>
          <w14:textFill>
            <w14:solidFill>
              <w14:schemeClr w14:val="tx1"/>
            </w14:solidFill>
          </w14:textFill>
        </w:rPr>
        <w:t>起重设备应符合下列规定</w:t>
      </w:r>
      <w:r>
        <w:rPr>
          <w:rFonts w:hint="eastAsia"/>
          <w:color w:val="000000" w:themeColor="text1"/>
          <w:lang w:val="en-US" w:eastAsia="zh-CN"/>
          <w14:textFill>
            <w14:solidFill>
              <w14:schemeClr w14:val="tx1"/>
            </w14:solidFill>
          </w14:textFill>
        </w:rPr>
        <w:t>：</w:t>
      </w:r>
    </w:p>
    <w:p w14:paraId="5326DDC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起重能力应满足顶管机、管道、顶铁等顶进设备的吊装</w:t>
      </w:r>
      <w:r>
        <w:rPr>
          <w:rFonts w:hint="eastAsia"/>
          <w:color w:val="000000" w:themeColor="text1"/>
          <w:lang w:val="en-US" w:eastAsia="zh-CN"/>
          <w14:textFill>
            <w14:solidFill>
              <w14:schemeClr w14:val="tx1"/>
            </w14:solidFill>
          </w14:textFill>
        </w:rPr>
        <w:t>；</w:t>
      </w:r>
    </w:p>
    <w:p w14:paraId="79DFA9A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起重能力应满足出渣土方的运输要求</w:t>
      </w:r>
      <w:r>
        <w:rPr>
          <w:rFonts w:hint="eastAsia"/>
          <w:color w:val="000000" w:themeColor="text1"/>
          <w:lang w:val="en-US" w:eastAsia="zh-CN"/>
          <w14:textFill>
            <w14:solidFill>
              <w14:schemeClr w14:val="tx1"/>
            </w14:solidFill>
          </w14:textFill>
        </w:rPr>
        <w:t>；</w:t>
      </w:r>
    </w:p>
    <w:p w14:paraId="403A061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应建立现场维修保养、定期检查和交接班制度，并应遵照起重机械相关安全操作规定执行。</w:t>
      </w:r>
    </w:p>
    <w:p w14:paraId="719E206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r>
        <w:rPr>
          <w:rFonts w:hint="default"/>
          <w:color w:val="000000" w:themeColor="text1"/>
          <w:lang w:val="en-US" w:eastAsia="zh-CN"/>
          <w14:textFill>
            <w14:solidFill>
              <w14:schemeClr w14:val="tx1"/>
            </w14:solidFill>
          </w14:textFill>
        </w:rPr>
        <w:t>顶管始发前应检查下列事项，确认满足要求后方可开始顶进施工</w:t>
      </w:r>
      <w:r>
        <w:rPr>
          <w:rFonts w:hint="eastAsia"/>
          <w:color w:val="000000" w:themeColor="text1"/>
          <w:lang w:val="en-US" w:eastAsia="zh-CN"/>
          <w14:textFill>
            <w14:solidFill>
              <w14:schemeClr w14:val="tx1"/>
            </w14:solidFill>
          </w14:textFill>
        </w:rPr>
        <w:t>：</w:t>
      </w:r>
    </w:p>
    <w:p w14:paraId="62EC84C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对全部设备进行检查、调试和试运行，检查内容主要包括液压、电器、压浆、气压、水压、照明、通信、通风等操作系统是否正常工作，各种电表、压力表、换向阀、传感器、流量计等是否能正确显示其所处工作状态，然后进行联动调试和试运行，确认没有故障后方可准备顶管始发</w:t>
      </w:r>
      <w:r>
        <w:rPr>
          <w:rFonts w:hint="eastAsia"/>
          <w:color w:val="000000" w:themeColor="text1"/>
          <w:lang w:val="en-US" w:eastAsia="zh-CN"/>
          <w14:textFill>
            <w14:solidFill>
              <w14:schemeClr w14:val="tx1"/>
            </w14:solidFill>
          </w14:textFill>
        </w:rPr>
        <w:t>；</w:t>
      </w:r>
    </w:p>
    <w:p w14:paraId="6BB0BCC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顶管机在导轨上的中心线、坡度和高程符合规定</w:t>
      </w:r>
      <w:r>
        <w:rPr>
          <w:rFonts w:hint="eastAsia"/>
          <w:color w:val="000000" w:themeColor="text1"/>
          <w:lang w:val="en-US" w:eastAsia="zh-CN"/>
          <w14:textFill>
            <w14:solidFill>
              <w14:schemeClr w14:val="tx1"/>
            </w14:solidFill>
          </w14:textFill>
        </w:rPr>
        <w:t>；</w:t>
      </w:r>
    </w:p>
    <w:p w14:paraId="4A34D50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洞口止水装置完好，制定了防止流动性土或地下水由洞口进入工作井的措施，开启洞口临时封门的措施完备</w:t>
      </w:r>
      <w:r>
        <w:rPr>
          <w:rFonts w:hint="eastAsia"/>
          <w:color w:val="000000" w:themeColor="text1"/>
          <w:lang w:val="en-US" w:eastAsia="zh-CN"/>
          <w14:textFill>
            <w14:solidFill>
              <w14:schemeClr w14:val="tx1"/>
            </w14:solidFill>
          </w14:textFill>
        </w:rPr>
        <w:t>；</w:t>
      </w:r>
    </w:p>
    <w:p w14:paraId="19002F9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洞口为岩石地层时，制定了机身防旋转措施</w:t>
      </w:r>
    </w:p>
    <w:p w14:paraId="23893D4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r>
        <w:rPr>
          <w:rFonts w:hint="default"/>
          <w:color w:val="000000" w:themeColor="text1"/>
          <w:lang w:val="en-US" w:eastAsia="zh-CN"/>
          <w14:textFill>
            <w14:solidFill>
              <w14:schemeClr w14:val="tx1"/>
            </w14:solidFill>
          </w14:textFill>
        </w:rPr>
        <w:t>管道顶进速度应符合下列规定</w:t>
      </w:r>
      <w:r>
        <w:rPr>
          <w:rFonts w:hint="eastAsia"/>
          <w:color w:val="000000" w:themeColor="text1"/>
          <w:lang w:val="en-US" w:eastAsia="zh-CN"/>
          <w14:textFill>
            <w14:solidFill>
              <w14:schemeClr w14:val="tx1"/>
            </w14:solidFill>
          </w14:textFill>
        </w:rPr>
        <w:t>：</w:t>
      </w:r>
    </w:p>
    <w:p w14:paraId="1F15E7A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工作井洞口临时封门拆除后，应立即将顶管机顶入土层，检查、调整洞口止水装置，然后连续顶进，直至洞口止水装置发挥作用</w:t>
      </w:r>
      <w:r>
        <w:rPr>
          <w:rFonts w:hint="eastAsia"/>
          <w:color w:val="000000" w:themeColor="text1"/>
          <w:lang w:val="en-US" w:eastAsia="zh-CN"/>
          <w14:textFill>
            <w14:solidFill>
              <w14:schemeClr w14:val="tx1"/>
            </w14:solidFill>
          </w14:textFill>
        </w:rPr>
        <w:t>；</w:t>
      </w:r>
    </w:p>
    <w:p w14:paraId="51F91FE0">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管道初始顶进速度应缓慢，并应加大施工测量和纠偏的频率</w:t>
      </w:r>
      <w:r>
        <w:rPr>
          <w:rFonts w:hint="eastAsia"/>
          <w:color w:val="000000" w:themeColor="text1"/>
          <w:lang w:val="en-US" w:eastAsia="zh-CN"/>
          <w14:textFill>
            <w14:solidFill>
              <w14:schemeClr w14:val="tx1"/>
            </w14:solidFill>
          </w14:textFill>
        </w:rPr>
        <w:t>；</w:t>
      </w:r>
    </w:p>
    <w:p w14:paraId="3A9B23E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中途顶进速度应根据地面沉降情况、石块破碎情况和挖掘土体输送能力等综合确定</w:t>
      </w:r>
      <w:r>
        <w:rPr>
          <w:rFonts w:hint="eastAsia"/>
          <w:color w:val="000000" w:themeColor="text1"/>
          <w:lang w:val="en-US" w:eastAsia="zh-CN"/>
          <w14:textFill>
            <w14:solidFill>
              <w14:schemeClr w14:val="tx1"/>
            </w14:solidFill>
          </w14:textFill>
        </w:rPr>
        <w:t>；</w:t>
      </w:r>
    </w:p>
    <w:p w14:paraId="7195CA2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顶管机刀盘与接收井洞门的距离为3倍管径范围内时应减慢顶进速度，减小管道正面阻力对接收井洞门的不利影响。</w:t>
      </w:r>
    </w:p>
    <w:p w14:paraId="050E0D9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default"/>
          <w:color w:val="000000" w:themeColor="text1"/>
          <w:lang w:val="en-US" w:eastAsia="zh-CN"/>
          <w14:textFill>
            <w14:solidFill>
              <w14:schemeClr w14:val="tx1"/>
            </w14:solidFill>
          </w14:textFill>
        </w:rPr>
        <w:t>顶进施工时应对出土量、顶力、刀盘扭矩、地面沉降进行监测，根据监测值综合判定顶管掘进工作面的稳定性</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出土量宜控制为98%~100%的理论出土量。</w:t>
      </w:r>
    </w:p>
    <w:p w14:paraId="1709EE9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default"/>
          <w:color w:val="000000" w:themeColor="text1"/>
          <w:lang w:val="en-US" w:eastAsia="zh-CN"/>
          <w14:textFill>
            <w14:solidFill>
              <w14:schemeClr w14:val="tx1"/>
            </w14:solidFill>
          </w14:textFill>
        </w:rPr>
        <w:t>微型顶管施工遇淤泥或软硬土层交界面等地质条件，顶进方向控制困难时，宜采取注浆、水泥搅拌桩、高压旋喷桩等辅助施工措施进行地基加固。</w:t>
      </w:r>
    </w:p>
    <w:p w14:paraId="0D47817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r>
        <w:rPr>
          <w:rFonts w:hint="default"/>
          <w:color w:val="000000" w:themeColor="text1"/>
          <w:lang w:val="en-US" w:eastAsia="zh-CN"/>
          <w14:textFill>
            <w14:solidFill>
              <w14:schemeClr w14:val="tx1"/>
            </w14:solidFill>
          </w14:textFill>
        </w:rPr>
        <w:t>顶管施工中，注浆减阻应符合下列规定</w:t>
      </w:r>
      <w:r>
        <w:rPr>
          <w:rFonts w:hint="eastAsia"/>
          <w:color w:val="000000" w:themeColor="text1"/>
          <w:lang w:val="en-US" w:eastAsia="zh-CN"/>
          <w14:textFill>
            <w14:solidFill>
              <w14:schemeClr w14:val="tx1"/>
            </w14:solidFill>
          </w14:textFill>
        </w:rPr>
        <w:t>：</w:t>
      </w:r>
    </w:p>
    <w:p w14:paraId="031000D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选择合适的触变泥浆材料，并取样对膨润土造浆率、失水量和动塑比等参数进行工程环境适应性测试</w:t>
      </w:r>
      <w:r>
        <w:rPr>
          <w:rFonts w:hint="eastAsia"/>
          <w:color w:val="000000" w:themeColor="text1"/>
          <w:lang w:val="en-US" w:eastAsia="zh-CN"/>
          <w14:textFill>
            <w14:solidFill>
              <w14:schemeClr w14:val="tx1"/>
            </w14:solidFill>
          </w14:textFill>
        </w:rPr>
        <w:t>；</w:t>
      </w:r>
    </w:p>
    <w:p w14:paraId="466ED3B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膨润土的储藏及浆液配制、搅拌、水化时间应按照产品的性能要求进行，使用前应先进行检测试验</w:t>
      </w:r>
      <w:r>
        <w:rPr>
          <w:rFonts w:hint="eastAsia"/>
          <w:color w:val="000000" w:themeColor="text1"/>
          <w:lang w:val="en-US" w:eastAsia="zh-CN"/>
          <w14:textFill>
            <w14:solidFill>
              <w14:schemeClr w14:val="tx1"/>
            </w14:solidFill>
          </w14:textFill>
        </w:rPr>
        <w:t>；</w:t>
      </w:r>
    </w:p>
    <w:p w14:paraId="741FEC5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注浆应遵循</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先注后顶、随顶随注</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的原则</w:t>
      </w:r>
      <w:r>
        <w:rPr>
          <w:rFonts w:hint="eastAsia"/>
          <w:color w:val="000000" w:themeColor="text1"/>
          <w:lang w:val="en-US" w:eastAsia="zh-CN"/>
          <w14:textFill>
            <w14:solidFill>
              <w14:schemeClr w14:val="tx1"/>
            </w14:solidFill>
          </w14:textFill>
        </w:rPr>
        <w:t>；</w:t>
      </w:r>
    </w:p>
    <w:p w14:paraId="36512902">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注浆设备和管路应具有足够的耐压和良好的密封性能。</w:t>
      </w:r>
    </w:p>
    <w:p w14:paraId="1E9706C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w:t>
      </w:r>
      <w:r>
        <w:rPr>
          <w:rFonts w:hint="default"/>
          <w:color w:val="000000" w:themeColor="text1"/>
          <w:lang w:val="en-US" w:eastAsia="zh-CN"/>
          <w14:textFill>
            <w14:solidFill>
              <w14:schemeClr w14:val="tx1"/>
            </w14:solidFill>
          </w14:textFill>
        </w:rPr>
        <w:t>顶管施工测量应包括地面控制点复测和地面控制网的布设、联系测量、地下平面、高程测量和贯通、竣工测量。</w:t>
      </w:r>
    </w:p>
    <w:p w14:paraId="6B6EF23C">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w:t>
      </w:r>
      <w:r>
        <w:rPr>
          <w:rFonts w:hint="default"/>
          <w:color w:val="000000" w:themeColor="text1"/>
          <w:lang w:val="en-US" w:eastAsia="zh-CN"/>
          <w14:textFill>
            <w14:solidFill>
              <w14:schemeClr w14:val="tx1"/>
            </w14:solidFill>
          </w14:textFill>
        </w:rPr>
        <w:t>顶管工程应在施工阶段对顶管井和顶管沿线的周边环境进行监测。</w:t>
      </w:r>
    </w:p>
    <w:p w14:paraId="760B5DB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w:t>
      </w:r>
      <w:r>
        <w:rPr>
          <w:rFonts w:hint="default"/>
          <w:color w:val="000000" w:themeColor="text1"/>
          <w:lang w:val="en-US" w:eastAsia="zh-CN"/>
          <w14:textFill>
            <w14:solidFill>
              <w14:schemeClr w14:val="tx1"/>
            </w14:solidFill>
          </w14:textFill>
        </w:rPr>
        <w:t>施工过程的安全和环境保护应符合现行行业标准《建筑施工安全检查标准》JGJ59、《建设工程施工现场环境与卫生标准》JGJ146的有关规定</w:t>
      </w:r>
      <w:r>
        <w:rPr>
          <w:rFonts w:hint="eastAsia"/>
          <w:color w:val="000000" w:themeColor="text1"/>
          <w:lang w:val="en-US" w:eastAsia="zh-CN"/>
          <w14:textFill>
            <w14:solidFill>
              <w14:schemeClr w14:val="tx1"/>
            </w14:solidFill>
          </w14:textFill>
        </w:rPr>
        <w:t>。</w:t>
      </w:r>
    </w:p>
    <w:p w14:paraId="03EAB8E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r>
        <w:rPr>
          <w:rFonts w:hint="default"/>
          <w:color w:val="000000" w:themeColor="text1"/>
          <w:lang w:val="en-US" w:eastAsia="zh-CN"/>
          <w14:textFill>
            <w14:solidFill>
              <w14:schemeClr w14:val="tx1"/>
            </w14:solidFill>
          </w14:textFill>
        </w:rPr>
        <w:t>施工前应委托有技术能力和技术条件的测量单位，对周边建</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构</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筑物、管线进行调查，制定合理的监测方案，对需重点保护的建筑物、管线进行加密监测。</w:t>
      </w:r>
    </w:p>
    <w:p w14:paraId="7D7DF59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w:t>
      </w:r>
      <w:r>
        <w:rPr>
          <w:rFonts w:hint="default"/>
          <w:color w:val="000000" w:themeColor="text1"/>
          <w:lang w:val="en-US" w:eastAsia="zh-CN"/>
          <w14:textFill>
            <w14:solidFill>
              <w14:schemeClr w14:val="tx1"/>
            </w14:solidFill>
          </w14:textFill>
        </w:rPr>
        <w:t>施工单位应制定建</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构</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筑物、地下管线安全的保护技术措施，并标出施工区域内外的建</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构</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筑物、地下管线的分布示意图。</w:t>
      </w:r>
    </w:p>
    <w:p w14:paraId="031C8A5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w:t>
      </w:r>
      <w:r>
        <w:rPr>
          <w:rFonts w:hint="default"/>
          <w:color w:val="000000" w:themeColor="text1"/>
          <w:lang w:val="en-US" w:eastAsia="zh-CN"/>
          <w14:textFill>
            <w14:solidFill>
              <w14:schemeClr w14:val="tx1"/>
            </w14:solidFill>
          </w14:textFill>
        </w:rPr>
        <w:t>顶管井内应配备有害气体测试仪、通风设备。采用化学材料止水部位焊制作业时，应有专项施工措施。</w:t>
      </w:r>
    </w:p>
    <w:p w14:paraId="263AF651">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（23）</w:t>
      </w:r>
      <w:r>
        <w:rPr>
          <w:rFonts w:hint="default"/>
          <w:color w:val="000000" w:themeColor="text1"/>
          <w:lang w:val="en-US" w:eastAsia="zh-CN"/>
          <w14:textFill>
            <w14:solidFill>
              <w14:schemeClr w14:val="tx1"/>
            </w14:solidFill>
          </w14:textFill>
        </w:rPr>
        <w:t>顶管井内垂直运输时，在井上和井下应分别设起重指挥。</w:t>
      </w:r>
    </w:p>
    <w:p w14:paraId="02C0742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（24）</w:t>
      </w:r>
      <w:r>
        <w:rPr>
          <w:rFonts w:hint="default"/>
          <w:color w:val="000000" w:themeColor="text1"/>
          <w:lang w:val="en-US" w:eastAsia="zh-CN"/>
          <w14:textFill>
            <w14:solidFill>
              <w14:schemeClr w14:val="tx1"/>
            </w14:solidFill>
          </w14:textFill>
        </w:rPr>
        <w:t>焊割作业点，氧气瓶、乙炔瓶、易燃易爆物品的距离应符合有关规定</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施工现场的焊割作业，必须符合防火要求</w:t>
      </w:r>
    </w:p>
    <w:p w14:paraId="45327984">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w:t>
      </w:r>
      <w:r>
        <w:rPr>
          <w:rFonts w:hint="default"/>
          <w:color w:val="000000" w:themeColor="text1"/>
          <w:lang w:val="en-US" w:eastAsia="zh-CN"/>
          <w14:textFill>
            <w14:solidFill>
              <w14:schemeClr w14:val="tx1"/>
            </w14:solidFill>
          </w14:textFill>
        </w:rPr>
        <w:t>沟和空洞等必须加盖安全网盖，基坑、集土坑、泥浆池四周应设防护栏杆。</w:t>
      </w:r>
    </w:p>
    <w:p w14:paraId="20FA5086">
      <w:pPr>
        <w:pStyle w:val="4"/>
        <w:bidi w:val="0"/>
        <w:rPr>
          <w:rFonts w:hint="default"/>
          <w:color w:val="000000" w:themeColor="text1"/>
          <w:lang w:val="en-US" w:eastAsia="zh-CN"/>
          <w14:textFill>
            <w14:solidFill>
              <w14:schemeClr w14:val="tx1"/>
            </w14:solidFill>
          </w14:textFill>
        </w:rPr>
      </w:pPr>
      <w:bookmarkStart w:id="102" w:name="_Toc4641"/>
      <w:r>
        <w:rPr>
          <w:rFonts w:hint="default"/>
          <w:color w:val="000000" w:themeColor="text1"/>
          <w:lang w:val="en-US" w:eastAsia="zh-CN"/>
          <w14:textFill>
            <w14:solidFill>
              <w14:schemeClr w14:val="tx1"/>
            </w14:solidFill>
          </w14:textFill>
        </w:rPr>
        <w:t>6.2.2 安全管理对策措施</w:t>
      </w:r>
      <w:bookmarkEnd w:id="102"/>
    </w:p>
    <w:p w14:paraId="43727F3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控制人的不安全行为</w:t>
      </w:r>
    </w:p>
    <w:p w14:paraId="27DAFAB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1）人员的安全管理</w:t>
      </w:r>
    </w:p>
    <w:p w14:paraId="64597406">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现场作业是人、物、环境的直接交叉点，在施工工程中起着主导作用。直接从事施工操作的人，随时随地活动于危险状态的威胁和伤害，随时受到自身行为和危险状态的威胁和伤害。人为的因素导致事故占80%以上。人的行为是可控又是难控的，人员的安全管理是安全生产管理的重点和难点。</w:t>
      </w:r>
    </w:p>
    <w:p w14:paraId="6F294DD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2）自觉遵守安全操作规程</w:t>
      </w:r>
    </w:p>
    <w:p w14:paraId="64CE274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作业人员安全管理的核心是如何控制作业人员的不安全行为和如何保证作业过程的合理与规范。由于人的行为是由心理控制的，因此要控制人的不安全行为应从调节人的心理状态，激励人的安全行为和加强管理等方面着手。引导广大员工树立正确的安全价值观，自觉遵守安全操作规程，使安全要求转化为大家的行为准则。切实做到不伤害自己，不伤害别人，不被别人所伤害。实现</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三无</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的目标，个人无违章，岗位无隐患，班组无事故。</w:t>
      </w:r>
    </w:p>
    <w:p w14:paraId="0E116945">
      <w:pPr>
        <w:numPr>
          <w:ilvl w:val="0"/>
          <w:numId w:val="0"/>
        </w:numPr>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2.</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控制物的不安全状态</w:t>
      </w:r>
    </w:p>
    <w:p w14:paraId="798C900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1）安全生产的物质基础</w:t>
      </w:r>
    </w:p>
    <w:p w14:paraId="44467CE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由于物的能量意外释放引起事故的状态，称为物的不安全状态。 在施工生产过程中，所有物的不安全状态，都与人的不安全行为有关。物的不安全状态既反映了物的自身特性，又反映了人的素质和人决策的水平。随着生产的发展和科学水平的提高，施工现场使用的设备也越来越多，因此消除设备（包括机械、设备、装置、工具、物料等）的不安全状态是确保系统安全生产的物质基础。</w:t>
      </w:r>
    </w:p>
    <w:p w14:paraId="659EDDBA">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2）设备的本质安全化</w:t>
      </w:r>
    </w:p>
    <w:p w14:paraId="3900E3D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质安全化是建立在以物为中心的事故预防技术的理念之上，强调先进技术手段和物质条件，具有高度的可靠性和安全性。针对生产中物的不安全状态的形成与发展，在进行施工设计、工艺安排、施工组织与具体操作，新材料、新设备的推广应用时，采取有效地控制措施，正确判断物的具体不安全状态，控制其发展，保持物的良好状态和技术性能，对预防和消除事故，保障安全生产有现实意义。</w:t>
      </w:r>
    </w:p>
    <w:p w14:paraId="632CA00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3）安全防护装置</w:t>
      </w:r>
    </w:p>
    <w:p w14:paraId="5CA3FEE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安全防护装置是在设备性能结构中保证人机系统安全，而给主体设备设置的各种附加装置是保证机械设备安全运转和保证在可能出现危险状态下保护人身安全的安全技术措施。如：隔离防护装置、联锁防护装置、超限保险装置、制动安全装置、监测控制与警示装置、防触电安全装置、保险装置等。</w:t>
      </w:r>
    </w:p>
    <w:p w14:paraId="46850288">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4）加强施工设备的安全管理</w:t>
      </w:r>
    </w:p>
    <w:p w14:paraId="63BCB029">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控制设备的最终因素是人，设备的不安全状态可通过技术手段缓解和通过人的管理加以改善。设备的安全管理贯穿于整个设备的选择购置、安装调试、操作运行、维修停用等过程。建立安全物质材料和建筑实体材料招投标制度；建立安全物质材料和建筑实体材料进场复检制度，确保使用的材料符合国家相关质量安全标准。在使用过程中，必须由专人管理，定期检查、维修和保养，建立资料档案，按国家规定及时报废；指定专人操作危险性较大的机械设备，特殊设备操作人员持证上岗；定期检修保养机械设备、及时更换零部件，确保机械设备安全正常运转。</w:t>
      </w:r>
    </w:p>
    <w:p w14:paraId="784BB899">
      <w:pPr>
        <w:numPr>
          <w:ilvl w:val="0"/>
          <w:numId w:val="0"/>
        </w:numPr>
        <w:ind w:left="0" w:leftChars="0"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3.</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改善作业环境</w:t>
      </w:r>
    </w:p>
    <w:p w14:paraId="7891EF6F">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1）加强文明施工管理</w:t>
      </w:r>
    </w:p>
    <w:p w14:paraId="5BFA7E6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安全生产是树立以人为本的管理理念，保护弱势群体的重要体现。安全生产与文明施工是相辅相成的，施工安全生产不仅要保护施工现场员工的生命及财产安全，同时还要加强现场管理，在任何时间、季节和条件下施工，都必须给施工人员创造良好的环境和作业场所，彻底改变脏、乱、差的施工面貌。生产作业环境中的湿度、温度、照明、振动、噪音、粉尘、有毒有害物质等，都会影响人的工作情绪。另一方面，作业环境的优劣，直接关系到施工企业的品牌形象。</w:t>
      </w:r>
    </w:p>
    <w:p w14:paraId="27373C1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2）切实保障作业人员的安全和健康</w:t>
      </w:r>
    </w:p>
    <w:p w14:paraId="3E744DF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作业环境管理的核心是如何保持作业环境的整洁有序与无毒无害，给作业人员创造一个良好的作业环境。在施工生产过程中，要及时发现、分析和消除作业环境中的各种事故隐患，努力提高施工作业人员的工作和生产条件，切实保障员工的安全和健康，防止安全事故的发生，不断促进生产力的发展，也提高施工企业的品质和竞争力。</w:t>
      </w:r>
    </w:p>
    <w:p w14:paraId="0885D8D9">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3）在危险部位设置安全警示标志</w:t>
      </w:r>
    </w:p>
    <w:p w14:paraId="10951E6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工程项目所在地的地质、地形、气象条件、周围环境，科学合理地布置施工现场，在危险部位有针对性地设置、悬挂明显的安全警示标志。保证施工现场安全、整洁、有序；指定专人接收天气预报，及时掌握天气变化趋势，以便采取对策；根据工程项目施工组织设计和专项安全施工方案设计的平面布置要求，指定专人对施工现场进行安全性管理。</w:t>
      </w:r>
    </w:p>
    <w:p w14:paraId="744F4BD4">
      <w:pPr>
        <w:numPr>
          <w:ilvl w:val="0"/>
          <w:numId w:val="0"/>
        </w:numPr>
        <w:ind w:firstLine="560" w:firstLineChars="200"/>
        <w:rPr>
          <w:rFonts w:hint="default"/>
          <w:color w:val="000000" w:themeColor="text1"/>
          <w:lang w:val="en-US" w:eastAsia="zh-CN"/>
          <w14:textFill>
            <w14:solidFill>
              <w14:schemeClr w14:val="tx1"/>
            </w14:solidFill>
          </w14:textFill>
        </w:rPr>
      </w:pPr>
      <w:r>
        <w:rPr>
          <w:rFonts w:hint="eastAsia" w:cs="Times New Roman"/>
          <w:color w:val="000000" w:themeColor="text1"/>
          <w:kern w:val="2"/>
          <w:sz w:val="28"/>
          <w:szCs w:val="24"/>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安全生产的科学管理</w:t>
      </w:r>
    </w:p>
    <w:p w14:paraId="32D9EF2E">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1）全员安全管理模式</w:t>
      </w:r>
    </w:p>
    <w:p w14:paraId="459895E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活动是一个劳动密集型行业，是在特定空间进行人、财、物的组合的过程。随着科学技术日新月异的发展，新材料、新技术、新工艺、新设备越来越多地应用于施工现场，需要大量有着高技术水平的劳动者，在保证安全生产的前提下，创造更大的经济效益。在施工工程中需要运用先进的科学技术，实行</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全员、全方位、全过程、全天候</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的全员安全管理模式，变单纯的安全专业人员的岗位安全管理为全员参加的体系安全管理；变单纯的安全管理为安全管理与进度、工序穿插和施工方法紧密结合的综合管理；变以点为主的间断的、静止的管理为线面结合的、连续的、动态的管理；变并行的安全与生产两条线为安全与生产紧密结合的安全生产一条线。随着安全管理工作的不断进步，安全管理由定性逐渐走向定量，先进管理经验和方法得以迅速推广，减少甚至杜绝安全事故的发生。</w:t>
      </w:r>
    </w:p>
    <w:p w14:paraId="3307F643">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2）建立健全各项安全管理规章制度</w:t>
      </w:r>
    </w:p>
    <w:p w14:paraId="40BA869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工程施工安全控制管理对象是整个施工过程的具体危险因素，在对危险因素进分析的基础上，有针对性地建立健全各项危险管理的规章制度。其中包括安全生产责任制、重大危险因素控制实施细则、安全操作规程、培训制度、交替班制度、检查制度、信息反馈制度、危险作业审批制度、 异常情况紧急措施和安全考核奖惩制度等各项管理制度。</w:t>
      </w:r>
    </w:p>
    <w:p w14:paraId="5DF1B6A6">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3）加强教育培训，增强安全意识和自我保护能力</w:t>
      </w:r>
    </w:p>
    <w:p w14:paraId="29B4B817">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增强各级领导及相关作业人员的安全意识、安全知识和操作技能的掌握程度，对涉及危险因素管理的相关领导和人员进行定期专门的安全教育和培训。培训内容包括：危险因素管理的目标和意义；施工项目危险因素的辨识和评</w:t>
      </w:r>
      <w:r>
        <w:rPr>
          <w:rFonts w:hint="eastAsia"/>
          <w:color w:val="000000" w:themeColor="text1"/>
          <w:lang w:val="en-US" w:eastAsia="zh-CN"/>
          <w14:textFill>
            <w14:solidFill>
              <w14:schemeClr w14:val="tx1"/>
            </w14:solidFill>
          </w14:textFill>
        </w:rPr>
        <w:t>估</w:t>
      </w:r>
      <w:r>
        <w:rPr>
          <w:rFonts w:hint="default"/>
          <w:color w:val="000000" w:themeColor="text1"/>
          <w:lang w:val="en-US" w:eastAsia="zh-CN"/>
          <w14:textFill>
            <w14:solidFill>
              <w14:schemeClr w14:val="tx1"/>
            </w14:solidFill>
          </w14:textFill>
        </w:rPr>
        <w:t>；危险因素触发条件及控制措施；危险因素管理的日常操作要求和事故应急处理措施等。主要负责人、生产管理人员以及特种设备作业人员等各类人员必须具备相应执业资格才能上岗，所有新员工或从事新的工作必须经过三级安全教育，即公司、项目部、班组的安全教育。</w:t>
      </w:r>
    </w:p>
    <w:p w14:paraId="5F11DB85">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4）明确安全责任，定期安全检查</w:t>
      </w:r>
    </w:p>
    <w:p w14:paraId="188104B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落实安全生产的组织保证体系，对施工中的各个系统层面的危险因素管理确定各级负责人，并明确他们各自应负的具体责任，特别要明确各级单位对归属区域的危险因素定期检查的责任，包括作业人员的每天自查、职能部门定期检查、企业领导的不定期督察等。把好安全生产</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六关</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即措施关、交底关、教育关、防护关、检查关、改进关。对查出的安全隐患要做到</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五定</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，即定整改责任人，定整改措施，定整改完成时间，定整改完成人，定整改验收人。</w:t>
      </w:r>
    </w:p>
    <w:p w14:paraId="289D5A33">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br w:type="page"/>
      </w:r>
    </w:p>
    <w:p w14:paraId="5C8AF491">
      <w:pPr>
        <w:pStyle w:val="2"/>
        <w:numPr>
          <w:ilvl w:val="0"/>
          <w:numId w:val="2"/>
        </w:numPr>
        <w:bidi w:val="0"/>
        <w:ind w:left="0" w:leftChars="0" w:firstLine="0" w:firstLineChars="0"/>
        <w:rPr>
          <w:rFonts w:hint="default"/>
          <w:color w:val="000000" w:themeColor="text1"/>
          <w:lang w:val="en-US" w:eastAsia="zh-CN"/>
          <w14:textFill>
            <w14:solidFill>
              <w14:schemeClr w14:val="tx1"/>
            </w14:solidFill>
          </w14:textFill>
        </w:rPr>
      </w:pPr>
      <w:bookmarkStart w:id="103" w:name="_Toc20256"/>
      <w:r>
        <w:rPr>
          <w:rFonts w:hint="default"/>
          <w:color w:val="000000" w:themeColor="text1"/>
          <w:lang w:val="en-US" w:eastAsia="zh-CN"/>
          <w14:textFill>
            <w14:solidFill>
              <w14:schemeClr w14:val="tx1"/>
            </w14:solidFill>
          </w14:textFill>
        </w:rPr>
        <w:t>评估结论</w:t>
      </w:r>
      <w:bookmarkEnd w:id="103"/>
    </w:p>
    <w:p w14:paraId="2B029D27">
      <w:pPr>
        <w:pStyle w:val="3"/>
        <w:bidi w:val="0"/>
        <w:rPr>
          <w:rFonts w:hint="default"/>
          <w:color w:val="000000" w:themeColor="text1"/>
          <w:lang w:val="en-US" w:eastAsia="zh-CN"/>
          <w14:textFill>
            <w14:solidFill>
              <w14:schemeClr w14:val="tx1"/>
            </w14:solidFill>
          </w14:textFill>
        </w:rPr>
      </w:pPr>
      <w:bookmarkStart w:id="104" w:name="_Toc10448"/>
      <w:r>
        <w:rPr>
          <w:rFonts w:hint="default"/>
          <w:color w:val="000000" w:themeColor="text1"/>
          <w:lang w:val="en-US" w:eastAsia="zh-CN"/>
          <w14:textFill>
            <w14:solidFill>
              <w14:schemeClr w14:val="tx1"/>
            </w14:solidFill>
          </w14:textFill>
        </w:rPr>
        <w:t>7.1 存在的危险有害因素</w:t>
      </w:r>
      <w:bookmarkEnd w:id="104"/>
    </w:p>
    <w:p w14:paraId="5FCF7D2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建设施工中存在的主要危险有害因素为坍塌、触电、物体打击、车辆伤害、机械伤害、起重伤害、高处坠落、火灾爆炸、噪声、高低温和其他伤害等危险有害因素。应重点防范的危险有害因素是触电、机械伤害、车辆伤害、坍塌、起重伤害，尤其是坍塌伤害和起重伤害，容易造成特大安全事故。既影响交通通行而且破坏公路附属设备设施。</w:t>
      </w:r>
    </w:p>
    <w:p w14:paraId="081283A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属于穿越车头路施工，过程中往往引起人员聚集，容易出现拥挤和心理恐慌状态，都是有发安全事故的因素。施工单位要特别引起重视，做好施工现场防护措施拉起警戒线，组织现场指挥人员进行疏散。企业应完善施工方案和应急预案，以保证项目安全施工。</w:t>
      </w:r>
    </w:p>
    <w:p w14:paraId="2AC72DE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本工程日常维护及安全运营方面危险有害因素存在以下危险有害因素：</w:t>
      </w:r>
    </w:p>
    <w:p w14:paraId="77D0D46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施工期间，周边容易积攒大量施工材料以及施工废物废料；</w:t>
      </w:r>
    </w:p>
    <w:p w14:paraId="4AE97844">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施工期间，安全警示标志标识容易积灰破损，造成标识标识不清。</w:t>
      </w:r>
    </w:p>
    <w:p w14:paraId="6521DB91">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本工程在日常维护及安全运营方面的建议：</w:t>
      </w:r>
    </w:p>
    <w:p w14:paraId="263CD8AE">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施工期间派专人负责清理该施工范围内的杂物防止伤人；</w:t>
      </w:r>
    </w:p>
    <w:p w14:paraId="0623BEA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对施工现场的安全设施进行清洗、维护等日常作业，及时恢复损坏构件，确保安全，清洗安全设施，确保醒目；</w:t>
      </w:r>
    </w:p>
    <w:p w14:paraId="07F3BE4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在施工管段内设巡道员和巡守工，巡道员和巡守工要切实加强对施工管段内的安全巡逻和检查，发现问题及时处理和上报，以保证施工道路的安全；</w:t>
      </w:r>
    </w:p>
    <w:p w14:paraId="2001F9CA">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 xml:space="preserve">. </w:t>
      </w:r>
      <w:r>
        <w:rPr>
          <w:rFonts w:hint="default"/>
          <w:color w:val="000000" w:themeColor="text1"/>
          <w:lang w:val="en-US" w:eastAsia="zh-CN"/>
          <w14:textFill>
            <w14:solidFill>
              <w14:schemeClr w14:val="tx1"/>
            </w14:solidFill>
          </w14:textFill>
        </w:rPr>
        <w:t>应完善施工方案和应急预案，以保证项目安全施工。</w:t>
      </w:r>
    </w:p>
    <w:p w14:paraId="1BF16015">
      <w:pPr>
        <w:pStyle w:val="3"/>
        <w:bidi w:val="0"/>
        <w:rPr>
          <w:rFonts w:hint="default"/>
          <w:color w:val="000000" w:themeColor="text1"/>
          <w:lang w:val="en-US" w:eastAsia="zh-CN"/>
          <w14:textFill>
            <w14:solidFill>
              <w14:schemeClr w14:val="tx1"/>
            </w14:solidFill>
          </w14:textFill>
        </w:rPr>
      </w:pPr>
      <w:bookmarkStart w:id="105" w:name="_Toc29995"/>
      <w:r>
        <w:rPr>
          <w:rFonts w:hint="default"/>
          <w:color w:val="000000" w:themeColor="text1"/>
          <w:lang w:val="en-US" w:eastAsia="zh-CN"/>
          <w14:textFill>
            <w14:solidFill>
              <w14:schemeClr w14:val="tx1"/>
            </w14:solidFill>
          </w14:textFill>
        </w:rPr>
        <w:t>7.2 评估结论</w:t>
      </w:r>
      <w:bookmarkEnd w:id="105"/>
    </w:p>
    <w:p w14:paraId="4EC97A40">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施工方根据设计图纸、现场实际状况以及业主的要求制定了科学合理的施工专项方案，有微型顶拉管工艺介绍、施工总体流程和微型顶拉管施工方法</w:t>
      </w:r>
      <w:r>
        <w:rPr>
          <w:rFonts w:hint="eastAsia"/>
          <w:color w:val="000000" w:themeColor="text1"/>
          <w:lang w:val="en-US" w:eastAsia="zh-CN"/>
          <w14:textFill>
            <w14:solidFill>
              <w14:schemeClr w14:val="tx1"/>
            </w14:solidFill>
          </w14:textFill>
        </w:rPr>
        <w:t>等</w:t>
      </w:r>
      <w:r>
        <w:rPr>
          <w:rFonts w:hint="default"/>
          <w:color w:val="000000" w:themeColor="text1"/>
          <w:lang w:val="en-US" w:eastAsia="zh-CN"/>
          <w14:textFill>
            <w14:solidFill>
              <w14:schemeClr w14:val="tx1"/>
            </w14:solidFill>
          </w14:textFill>
        </w:rPr>
        <w:t>。施工准备充分，明确了施工方法和工序。建立了技术管理等行之有效的管理制度，施工过程安全是有保障的。</w:t>
      </w:r>
    </w:p>
    <w:p w14:paraId="6AFC80B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若要利用车头路运输装卸施工物料，应在与交通管理部门密切配合下，尽量减少给公路正常运行带来的影响，确保公路安全运行。</w:t>
      </w:r>
    </w:p>
    <w:p w14:paraId="19E231C5">
      <w:pPr>
        <w:rPr>
          <w:rFonts w:hint="default"/>
          <w:b/>
          <w:bCs/>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t>结论：综上所述，若严格按照</w:t>
      </w:r>
      <w:bookmarkStart w:id="107" w:name="_GoBack"/>
      <w:bookmarkEnd w:id="107"/>
      <w:r>
        <w:rPr>
          <w:rFonts w:hint="default"/>
          <w:b/>
          <w:bCs/>
          <w:color w:val="000000" w:themeColor="text1"/>
          <w:lang w:val="en-US" w:eastAsia="zh-CN"/>
          <w14:textFill>
            <w14:solidFill>
              <w14:schemeClr w14:val="tx1"/>
            </w14:solidFill>
          </w14:textFill>
        </w:rPr>
        <w:t>施工专项方案，并采取本报告提出的安全对策措施，赣州市污水处理有限公司赣州市中心城区生活污水处理厂网一体化（一期）经开区污水管网完善工程车头路多功能微顶管施工作业过程不影响车头路的正常运行，能够满足车头路的安全通行的需要，施工阶段的安全风险在可接受范围。</w:t>
      </w:r>
    </w:p>
    <w:p w14:paraId="56AF9C2F">
      <w:pPr>
        <w:rPr>
          <w:rFonts w:hint="default"/>
          <w:b/>
          <w:bCs/>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br w:type="page"/>
      </w:r>
    </w:p>
    <w:p w14:paraId="1650B278">
      <w:pPr>
        <w:pStyle w:val="2"/>
        <w:numPr>
          <w:ilvl w:val="0"/>
          <w:numId w:val="2"/>
        </w:numPr>
        <w:bidi w:val="0"/>
        <w:ind w:left="0" w:leftChars="0" w:firstLine="0" w:firstLineChars="0"/>
        <w:rPr>
          <w:rFonts w:hint="default"/>
          <w:color w:val="000000" w:themeColor="text1"/>
          <w:lang w:val="en-US" w:eastAsia="zh-CN"/>
          <w14:textFill>
            <w14:solidFill>
              <w14:schemeClr w14:val="tx1"/>
            </w14:solidFill>
          </w14:textFill>
        </w:rPr>
      </w:pPr>
      <w:bookmarkStart w:id="106" w:name="_Toc8583"/>
      <w:r>
        <w:rPr>
          <w:rFonts w:hint="default"/>
          <w:color w:val="000000" w:themeColor="text1"/>
          <w:lang w:val="en-US" w:eastAsia="zh-CN"/>
          <w14:textFill>
            <w14:solidFill>
              <w14:schemeClr w14:val="tx1"/>
            </w14:solidFill>
          </w14:textFill>
        </w:rPr>
        <w:t>附件</w:t>
      </w:r>
      <w:r>
        <w:rPr>
          <w:rFonts w:hint="eastAsia"/>
          <w:color w:val="000000" w:themeColor="text1"/>
          <w:lang w:val="en-US" w:eastAsia="zh-CN"/>
          <w14:textFill>
            <w14:solidFill>
              <w14:schemeClr w14:val="tx1"/>
            </w14:solidFill>
          </w14:textFill>
        </w:rPr>
        <w:t>附图</w:t>
      </w:r>
      <w:bookmarkEnd w:id="106"/>
    </w:p>
    <w:p w14:paraId="2718824D">
      <w:pPr>
        <w:numPr>
          <w:ilvl w:val="0"/>
          <w:numId w:val="0"/>
        </w:numPr>
        <w:ind w:firstLine="56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1.</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建设单位营业执照</w:t>
      </w:r>
    </w:p>
    <w:p w14:paraId="755B608B">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default"/>
          <w:color w:val="000000" w:themeColor="text1"/>
          <w:lang w:val="en-US" w:eastAsia="zh-CN"/>
          <w14:textFill>
            <w14:solidFill>
              <w14:schemeClr w14:val="tx1"/>
            </w14:solidFill>
          </w14:textFill>
        </w:rPr>
        <w:t>施工</w:t>
      </w:r>
      <w:r>
        <w:rPr>
          <w:rFonts w:hint="eastAsia"/>
          <w:color w:val="000000" w:themeColor="text1"/>
          <w:lang w:val="en-US" w:eastAsia="zh-CN"/>
          <w14:textFill>
            <w14:solidFill>
              <w14:schemeClr w14:val="tx1"/>
            </w14:solidFill>
          </w14:textFill>
        </w:rPr>
        <w:t>单位营业执照及资质</w:t>
      </w:r>
    </w:p>
    <w:p w14:paraId="198936E2">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eastAsia"/>
          <w:color w:val="000000" w:themeColor="text1"/>
          <w:lang w:val="en-US" w:eastAsia="zh-CN"/>
          <w14:textFill>
            <w14:solidFill>
              <w14:schemeClr w14:val="tx1"/>
            </w14:solidFill>
          </w14:textFill>
        </w:rPr>
        <w:t>监理单位营业执照及资质</w:t>
      </w:r>
    </w:p>
    <w:p w14:paraId="0741A44D">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eastAsia"/>
          <w:color w:val="000000" w:themeColor="text1"/>
          <w:lang w:val="en-US" w:eastAsia="zh-CN"/>
          <w14:textFill>
            <w14:solidFill>
              <w14:schemeClr w14:val="tx1"/>
            </w14:solidFill>
          </w14:textFill>
        </w:rPr>
        <w:t>专线</w:t>
      </w:r>
      <w:r>
        <w:rPr>
          <w:rFonts w:hint="default"/>
          <w:color w:val="000000" w:themeColor="text1"/>
          <w:lang w:val="en-US" w:eastAsia="zh-CN"/>
          <w14:textFill>
            <w14:solidFill>
              <w14:schemeClr w14:val="tx1"/>
            </w14:solidFill>
          </w14:textFill>
        </w:rPr>
        <w:t>施工方案</w:t>
      </w:r>
    </w:p>
    <w:p w14:paraId="23D0AD37">
      <w:pPr>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r>
        <w:rPr>
          <w:rFonts w:hint="eastAsia" w:cs="Times New Roman"/>
          <w:color w:val="000000" w:themeColor="text1"/>
          <w:kern w:val="2"/>
          <w:sz w:val="28"/>
          <w:szCs w:val="24"/>
          <w:lang w:val="en-US" w:eastAsia="zh-CN" w:bidi="ar-SA"/>
          <w14:textFill>
            <w14:solidFill>
              <w14:schemeClr w14:val="tx1"/>
            </w14:solidFill>
          </w14:textFill>
        </w:rPr>
        <w:t xml:space="preserve"> </w:t>
      </w:r>
      <w:r>
        <w:rPr>
          <w:rFonts w:hint="eastAsia"/>
          <w:color w:val="000000" w:themeColor="text1"/>
          <w:lang w:val="en-US" w:eastAsia="zh-CN"/>
          <w14:textFill>
            <w14:solidFill>
              <w14:schemeClr w14:val="tx1"/>
            </w14:solidFill>
          </w14:textFill>
        </w:rPr>
        <w:t>排水平面图</w:t>
      </w:r>
    </w:p>
    <w:p w14:paraId="5606CDB5">
      <w:pP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br w:type="page"/>
      </w:r>
    </w:p>
    <w:p w14:paraId="6F7BB6EA">
      <w:pPr>
        <w:rPr>
          <w:rFonts w:hint="default"/>
          <w:b/>
          <w:bCs/>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t>评估人员现场照片：</w:t>
      </w:r>
    </w:p>
    <w:p w14:paraId="28291994">
      <w:pPr>
        <w:ind w:left="0" w:leftChars="0" w:firstLine="0" w:firstLineChars="0"/>
        <w:jc w:val="center"/>
        <w:rPr>
          <w:rFonts w:hint="default"/>
          <w:b/>
          <w:bCs/>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drawing>
          <wp:inline distT="0" distB="0" distL="114300" distR="114300">
            <wp:extent cx="5039995" cy="3780155"/>
            <wp:effectExtent l="0" t="0" r="8255" b="10795"/>
            <wp:docPr id="1" name="图片 1" descr="b62101ad152c77f2a5f9fe93e39fe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62101ad152c77f2a5f9fe93e39feb3"/>
                    <pic:cNvPicPr>
                      <a:picLocks noChangeAspect="1"/>
                    </pic:cNvPicPr>
                  </pic:nvPicPr>
                  <pic:blipFill>
                    <a:blip r:embed="rId44"/>
                    <a:stretch>
                      <a:fillRect/>
                    </a:stretch>
                  </pic:blipFill>
                  <pic:spPr>
                    <a:xfrm>
                      <a:off x="0" y="0"/>
                      <a:ext cx="5039995" cy="3780155"/>
                    </a:xfrm>
                    <a:prstGeom prst="rect">
                      <a:avLst/>
                    </a:prstGeom>
                  </pic:spPr>
                </pic:pic>
              </a:graphicData>
            </a:graphic>
          </wp:inline>
        </w:drawing>
      </w:r>
    </w:p>
    <w:p w14:paraId="6E1DBE2D">
      <w:pPr>
        <w:rPr>
          <w:rFonts w:hint="default"/>
          <w:color w:val="000000" w:themeColor="text1"/>
          <w:lang w:val="en-US" w:eastAsia="zh-CN"/>
          <w14:textFill>
            <w14:solidFill>
              <w14:schemeClr w14:val="tx1"/>
            </w14:solidFill>
          </w14:textFill>
        </w:rPr>
      </w:pPr>
    </w:p>
    <w:sectPr>
      <w:pgSz w:w="11906" w:h="16839"/>
      <w:pgMar w:top="1417" w:right="1417" w:bottom="1417" w:left="1417" w:header="850" w:footer="992" w:gutter="0"/>
      <w:pgBorders>
        <w:top w:val="none" w:sz="0" w:space="0"/>
        <w:left w:val="none" w:sz="0" w:space="0"/>
        <w:bottom w:val="none" w:sz="0" w:space="0"/>
        <w:right w:val="none" w:sz="0" w:space="0"/>
      </w:pgBorders>
      <w:pgNumType w:fmt="decimal"/>
      <w:cols w:space="72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7F" w:usb3="00000000" w:csb0="203F01FF" w:csb1="DFFF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56680">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1D11A">
    <w:pPr>
      <w:widowControl w:val="0"/>
      <w:pBdr>
        <w:top w:val="single" w:color="auto" w:sz="4" w:space="1"/>
      </w:pBdr>
      <w:snapToGrid w:val="0"/>
      <w:spacing w:line="360" w:lineRule="auto"/>
      <w:ind w:left="0" w:leftChars="0" w:firstLine="0" w:firstLineChars="0"/>
      <w:jc w:val="lef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656B02">
                          <w:pPr>
                            <w:pStyle w:val="12"/>
                          </w:pPr>
                          <w:r>
                            <w:fldChar w:fldCharType="begin"/>
                          </w:r>
                          <w:r>
                            <w:instrText xml:space="preserve"> PAGE  \* MERGEFORMAT </w:instrText>
                          </w:r>
                          <w:r>
                            <w:fldChar w:fldCharType="separate"/>
                          </w:r>
                          <w:r>
                            <w:t>I</w:t>
                          </w:r>
                          <w:r>
                            <w:fldChar w:fldCharType="end"/>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Nz3OT+IBAADCAwAADgAA&#10;AAAAAAABACAAAAAeAQAAZHJzL2Uyb0RvYy54bWxQSwUGAAAAAAYABgBZAQAAcgUAAAAA&#10;">
              <v:fill on="f" focussize="0,0"/>
              <v:stroke on="f"/>
              <v:imagedata o:title=""/>
              <o:lock v:ext="edit" aspectratio="f"/>
              <v:textbox inset="0mm,0mm,0mm,0mm" style="mso-fit-shape-to-text:t;">
                <w:txbxContent>
                  <w:p w14:paraId="4C656B02">
                    <w:pPr>
                      <w:pStyle w:val="12"/>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ascii="Times New Roman" w:hAnsi="Times New Roman" w:eastAsia="宋体" w:cs="Times New Roman"/>
        <w:kern w:val="2"/>
        <w:sz w:val="18"/>
        <w:szCs w:val="18"/>
        <w:lang w:val="en-US" w:eastAsia="zh-CN" w:bidi="ar-SA"/>
      </w:rPr>
      <w:t xml:space="preserve">江西赣安安全生产科学技术咨询服务中心             </w:t>
    </w:r>
    <w:r>
      <w:rPr>
        <w:rStyle w:val="23"/>
        <w:rFonts w:hint="eastAsia" w:ascii="Times New Roman" w:hAnsi="Times New Roman" w:eastAsia="宋体" w:cs="Times New Roman"/>
        <w:kern w:val="2"/>
        <w:sz w:val="28"/>
        <w:szCs w:val="24"/>
        <w:lang w:val="en-US" w:eastAsia="zh-CN" w:bidi="ar-SA"/>
      </w:rPr>
      <w:t xml:space="preserve">                         </w:t>
    </w:r>
    <w:r>
      <w:rPr>
        <w:rFonts w:hint="default" w:ascii="Times New Roman" w:hAnsi="Times New Roman" w:eastAsia="宋体" w:cs="Times New Roman"/>
        <w:kern w:val="2"/>
        <w:sz w:val="18"/>
        <w:szCs w:val="18"/>
        <w:lang w:val="en-US" w:eastAsia="zh-CN" w:bidi="ar-SA"/>
      </w:rPr>
      <w:t>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7C6A6">
    <w:pPr>
      <w:widowControl w:val="0"/>
      <w:pBdr>
        <w:top w:val="single" w:color="auto" w:sz="4" w:space="1"/>
      </w:pBdr>
      <w:snapToGrid w:val="0"/>
      <w:spacing w:line="360" w:lineRule="auto"/>
      <w:ind w:left="0" w:leftChars="0" w:firstLine="0" w:firstLineChars="0"/>
      <w:jc w:val="lef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A044B4">
                          <w:pPr>
                            <w:pStyle w:val="12"/>
                          </w:pPr>
                          <w:r>
                            <w:fldChar w:fldCharType="begin"/>
                          </w:r>
                          <w:r>
                            <w:instrText xml:space="preserve"> PAGE  \* MERGEFORMAT </w:instrText>
                          </w:r>
                          <w:r>
                            <w:fldChar w:fldCharType="separate"/>
                          </w:r>
                          <w:r>
                            <w:t>I</w:t>
                          </w:r>
                          <w:r>
                            <w:fldChar w:fldCharType="end"/>
                          </w:r>
                        </w:p>
                      </w:txbxContent>
                    </wps:txbx>
                    <wps:bodyPr vert="horz" wrap="none" lIns="0" tIns="0" rIns="0" bIns="0" anchor="t" anchorCtr="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LeDA/gAQAAwQMAAA4AAAAA&#10;AAAAAQAgAAAAHgEAAGRycy9lMm9Eb2MueG1sUEsFBgAAAAAGAAYAWQEAAHAFAAAAAA==&#10;">
              <v:fill on="f" focussize="0,0"/>
              <v:stroke on="f"/>
              <v:imagedata o:title=""/>
              <o:lock v:ext="edit" aspectratio="f"/>
              <v:textbox inset="0mm,0mm,0mm,0mm" style="mso-fit-shape-to-text:t;">
                <w:txbxContent>
                  <w:p w14:paraId="00A044B4">
                    <w:pPr>
                      <w:pStyle w:val="12"/>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ascii="Times New Roman" w:hAnsi="Times New Roman" w:eastAsia="宋体" w:cs="Times New Roman"/>
        <w:kern w:val="2"/>
        <w:sz w:val="18"/>
        <w:szCs w:val="18"/>
        <w:lang w:val="en-US" w:eastAsia="zh-CN" w:bidi="ar-SA"/>
      </w:rPr>
      <w:t xml:space="preserve">江西赣安安全生产科学技术咨询服务中心             </w:t>
    </w:r>
    <w:r>
      <w:rPr>
        <w:rStyle w:val="23"/>
        <w:rFonts w:hint="eastAsia" w:ascii="Times New Roman" w:hAnsi="Times New Roman" w:eastAsia="宋体" w:cs="Times New Roman"/>
        <w:kern w:val="2"/>
        <w:sz w:val="28"/>
        <w:szCs w:val="24"/>
        <w:lang w:val="en-US" w:eastAsia="zh-CN" w:bidi="ar-SA"/>
      </w:rPr>
      <w:t xml:space="preserve">                         </w:t>
    </w:r>
    <w:r>
      <w:rPr>
        <w:rFonts w:hint="default" w:ascii="Times New Roman" w:hAnsi="Times New Roman" w:eastAsia="宋体" w:cs="Times New Roman"/>
        <w:kern w:val="2"/>
        <w:sz w:val="18"/>
        <w:szCs w:val="18"/>
        <w:lang w:val="en-US" w:eastAsia="zh-CN" w:bidi="ar-SA"/>
      </w:rPr>
      <w:t>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EEE03">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4DA70">
    <w:pPr>
      <w:pStyle w:val="13"/>
      <w:keepNext w:val="0"/>
      <w:keepLines w:val="0"/>
      <w:pageBreakBefore w:val="0"/>
      <w:widowControl w:val="0"/>
      <w:kinsoku/>
      <w:wordWrap/>
      <w:overflowPunct/>
      <w:topLinePunct w:val="0"/>
      <w:bidi w:val="0"/>
      <w:adjustRightInd/>
      <w:snapToGrid w:val="0"/>
      <w:spacing w:line="240" w:lineRule="auto"/>
      <w:ind w:left="6888" w:leftChars="0" w:hanging="6888" w:hangingChars="4100"/>
      <w:jc w:val="both"/>
      <w:textAlignment w:val="auto"/>
      <w:rPr>
        <w:rFonts w:hint="eastAsia"/>
        <w:spacing w:val="-6"/>
        <w:sz w:val="18"/>
      </w:rPr>
    </w:pPr>
    <w:r>
      <w:rPr>
        <w:rFonts w:hint="eastAsia"/>
        <w:spacing w:val="-6"/>
        <w:sz w:val="18"/>
      </w:rPr>
      <w:t>赣州市污水处理有限公司赣州市中心城区生活污水处理厂网一体化（一期）经开区污水管网完善工程车头路多功能微顶管</w:t>
    </w:r>
  </w:p>
  <w:p w14:paraId="6D8BCC8D">
    <w:pPr>
      <w:pStyle w:val="13"/>
      <w:keepNext w:val="0"/>
      <w:keepLines w:val="0"/>
      <w:pageBreakBefore w:val="0"/>
      <w:widowControl w:val="0"/>
      <w:kinsoku/>
      <w:wordWrap/>
      <w:overflowPunct/>
      <w:topLinePunct w:val="0"/>
      <w:bidi w:val="0"/>
      <w:adjustRightInd/>
      <w:snapToGrid w:val="0"/>
      <w:spacing w:line="240" w:lineRule="auto"/>
      <w:ind w:left="6888" w:leftChars="0" w:hanging="6888" w:hangingChars="4100"/>
      <w:jc w:val="both"/>
      <w:textAlignment w:val="auto"/>
      <w:rPr>
        <w:rFonts w:hint="default" w:eastAsia="宋体"/>
        <w:spacing w:val="-6"/>
        <w:sz w:val="18"/>
        <w:lang w:val="en-US" w:eastAsia="zh-CN"/>
      </w:rPr>
    </w:pPr>
    <w:r>
      <w:rPr>
        <w:rFonts w:hint="eastAsia"/>
        <w:spacing w:val="-6"/>
        <w:sz w:val="18"/>
      </w:rPr>
      <w:t>施工作业安全评估报告</w:t>
    </w:r>
    <w:r>
      <w:rPr>
        <w:rFonts w:hint="eastAsia"/>
        <w:spacing w:val="-6"/>
        <w:sz w:val="18"/>
        <w:lang w:val="en-US" w:eastAsia="zh-CN"/>
      </w:rPr>
      <w:t xml:space="preserve">                                                                         GAAP〔2024〕0445号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8BE2ED"/>
    <w:multiLevelType w:val="singleLevel"/>
    <w:tmpl w:val="BB8BE2ED"/>
    <w:lvl w:ilvl="0" w:tentative="0">
      <w:start w:val="2"/>
      <w:numFmt w:val="decimal"/>
      <w:suff w:val="space"/>
      <w:lvlText w:val="%1."/>
      <w:lvlJc w:val="left"/>
    </w:lvl>
  </w:abstractNum>
  <w:abstractNum w:abstractNumId="1">
    <w:nsid w:val="D1076A67"/>
    <w:multiLevelType w:val="singleLevel"/>
    <w:tmpl w:val="D1076A67"/>
    <w:lvl w:ilvl="0" w:tentative="0">
      <w:start w:val="1"/>
      <w:numFmt w:val="upperLetter"/>
      <w:suff w:val="nothing"/>
      <w:lvlText w:val="%1-"/>
      <w:lvlJc w:val="left"/>
    </w:lvl>
  </w:abstractNum>
  <w:abstractNum w:abstractNumId="2">
    <w:nsid w:val="16F6815B"/>
    <w:multiLevelType w:val="multilevel"/>
    <w:tmpl w:val="16F6815B"/>
    <w:lvl w:ilvl="0" w:tentative="0">
      <w:start w:val="1"/>
      <w:numFmt w:val="decimal"/>
      <w:pStyle w:val="2"/>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3">
    <w:nsid w:val="55835A8C"/>
    <w:multiLevelType w:val="singleLevel"/>
    <w:tmpl w:val="55835A8C"/>
    <w:lvl w:ilvl="0" w:tentative="0">
      <w:start w:val="4"/>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OWZjMTdhZDhhZjU4OThiZWFjMGM2NzJiODRlYjYifQ=="/>
  </w:docVars>
  <w:rsids>
    <w:rsidRoot w:val="00172A27"/>
    <w:rsid w:val="002C4556"/>
    <w:rsid w:val="00824E33"/>
    <w:rsid w:val="00907506"/>
    <w:rsid w:val="00B1141C"/>
    <w:rsid w:val="00C97CCC"/>
    <w:rsid w:val="01077086"/>
    <w:rsid w:val="01273878"/>
    <w:rsid w:val="01830099"/>
    <w:rsid w:val="01F55459"/>
    <w:rsid w:val="02145195"/>
    <w:rsid w:val="02290253"/>
    <w:rsid w:val="025019E2"/>
    <w:rsid w:val="026B46C2"/>
    <w:rsid w:val="028B18FB"/>
    <w:rsid w:val="02936A01"/>
    <w:rsid w:val="02C83B76"/>
    <w:rsid w:val="030C5205"/>
    <w:rsid w:val="03125B78"/>
    <w:rsid w:val="033569CA"/>
    <w:rsid w:val="03402A63"/>
    <w:rsid w:val="03F90560"/>
    <w:rsid w:val="042B4EF3"/>
    <w:rsid w:val="043849D7"/>
    <w:rsid w:val="043C2B5E"/>
    <w:rsid w:val="04A24CDA"/>
    <w:rsid w:val="04FC088E"/>
    <w:rsid w:val="05283431"/>
    <w:rsid w:val="0535762D"/>
    <w:rsid w:val="0547196F"/>
    <w:rsid w:val="0548762F"/>
    <w:rsid w:val="05B97C74"/>
    <w:rsid w:val="05E355AA"/>
    <w:rsid w:val="0619721E"/>
    <w:rsid w:val="06383B48"/>
    <w:rsid w:val="06897EFF"/>
    <w:rsid w:val="06954BEF"/>
    <w:rsid w:val="06A52714"/>
    <w:rsid w:val="06C13B3D"/>
    <w:rsid w:val="06C2267E"/>
    <w:rsid w:val="070677A2"/>
    <w:rsid w:val="07087EA7"/>
    <w:rsid w:val="071719AF"/>
    <w:rsid w:val="071A3E14"/>
    <w:rsid w:val="078132CC"/>
    <w:rsid w:val="07B2792A"/>
    <w:rsid w:val="08057A5A"/>
    <w:rsid w:val="08444A26"/>
    <w:rsid w:val="08524424"/>
    <w:rsid w:val="088A61B1"/>
    <w:rsid w:val="08C733B8"/>
    <w:rsid w:val="08E91129"/>
    <w:rsid w:val="09412D13"/>
    <w:rsid w:val="09876CC3"/>
    <w:rsid w:val="099F7A3A"/>
    <w:rsid w:val="09A07A0D"/>
    <w:rsid w:val="09C33728"/>
    <w:rsid w:val="0A4B60BB"/>
    <w:rsid w:val="0A501EF0"/>
    <w:rsid w:val="0A856C30"/>
    <w:rsid w:val="0A8E31DC"/>
    <w:rsid w:val="0AC37758"/>
    <w:rsid w:val="0ACC485F"/>
    <w:rsid w:val="0AEE1FF9"/>
    <w:rsid w:val="0B400066"/>
    <w:rsid w:val="0B745622"/>
    <w:rsid w:val="0BFB1C69"/>
    <w:rsid w:val="0C040028"/>
    <w:rsid w:val="0C627450"/>
    <w:rsid w:val="0C7E676A"/>
    <w:rsid w:val="0CC230B5"/>
    <w:rsid w:val="0CC77250"/>
    <w:rsid w:val="0CD93263"/>
    <w:rsid w:val="0D1A5D55"/>
    <w:rsid w:val="0D373BF3"/>
    <w:rsid w:val="0D417485"/>
    <w:rsid w:val="0D7F305A"/>
    <w:rsid w:val="0DA84D74"/>
    <w:rsid w:val="0DB77A48"/>
    <w:rsid w:val="0E250E55"/>
    <w:rsid w:val="0E2B5D40"/>
    <w:rsid w:val="0E5B4877"/>
    <w:rsid w:val="0E7F1E58"/>
    <w:rsid w:val="0EA97F9C"/>
    <w:rsid w:val="0F5F5CA1"/>
    <w:rsid w:val="0F9B4BC9"/>
    <w:rsid w:val="0FB6788B"/>
    <w:rsid w:val="0FC85F3C"/>
    <w:rsid w:val="0FDC3796"/>
    <w:rsid w:val="107A59A6"/>
    <w:rsid w:val="10ED552F"/>
    <w:rsid w:val="113C03CA"/>
    <w:rsid w:val="115B693C"/>
    <w:rsid w:val="118A115F"/>
    <w:rsid w:val="11B45A05"/>
    <w:rsid w:val="11B855BA"/>
    <w:rsid w:val="11BE5174"/>
    <w:rsid w:val="11D737C8"/>
    <w:rsid w:val="12107DED"/>
    <w:rsid w:val="12240AC3"/>
    <w:rsid w:val="12353631"/>
    <w:rsid w:val="1278482A"/>
    <w:rsid w:val="12863121"/>
    <w:rsid w:val="12AB56A1"/>
    <w:rsid w:val="12B04A66"/>
    <w:rsid w:val="12BF1BF0"/>
    <w:rsid w:val="136729AC"/>
    <w:rsid w:val="13851A37"/>
    <w:rsid w:val="13A77D4A"/>
    <w:rsid w:val="13F74CFE"/>
    <w:rsid w:val="145B2D70"/>
    <w:rsid w:val="14863CD0"/>
    <w:rsid w:val="14B43A04"/>
    <w:rsid w:val="14CF38C9"/>
    <w:rsid w:val="14FB646C"/>
    <w:rsid w:val="15613208"/>
    <w:rsid w:val="15680001"/>
    <w:rsid w:val="158521DA"/>
    <w:rsid w:val="15A77C94"/>
    <w:rsid w:val="15C947BC"/>
    <w:rsid w:val="15CC7E09"/>
    <w:rsid w:val="15CF3677"/>
    <w:rsid w:val="15E05662"/>
    <w:rsid w:val="15E30B21"/>
    <w:rsid w:val="16090B7C"/>
    <w:rsid w:val="16470173"/>
    <w:rsid w:val="16557DFE"/>
    <w:rsid w:val="167D7355"/>
    <w:rsid w:val="168D7598"/>
    <w:rsid w:val="1694158B"/>
    <w:rsid w:val="16AF343C"/>
    <w:rsid w:val="16C77C29"/>
    <w:rsid w:val="16CB4564"/>
    <w:rsid w:val="16F225A7"/>
    <w:rsid w:val="176C3651"/>
    <w:rsid w:val="177B0796"/>
    <w:rsid w:val="179606CE"/>
    <w:rsid w:val="17A032FB"/>
    <w:rsid w:val="17A76437"/>
    <w:rsid w:val="17C43C1A"/>
    <w:rsid w:val="17DC4231"/>
    <w:rsid w:val="182B52BA"/>
    <w:rsid w:val="18CB0627"/>
    <w:rsid w:val="18D000DB"/>
    <w:rsid w:val="18D55226"/>
    <w:rsid w:val="18D75D4E"/>
    <w:rsid w:val="18F1518C"/>
    <w:rsid w:val="191A0021"/>
    <w:rsid w:val="191A70DD"/>
    <w:rsid w:val="193965C2"/>
    <w:rsid w:val="198D78AF"/>
    <w:rsid w:val="19A97716"/>
    <w:rsid w:val="19E52AA1"/>
    <w:rsid w:val="1A2E1092"/>
    <w:rsid w:val="1A670100"/>
    <w:rsid w:val="1A8875E1"/>
    <w:rsid w:val="1AB31597"/>
    <w:rsid w:val="1AB62E35"/>
    <w:rsid w:val="1B4F7512"/>
    <w:rsid w:val="1B576901"/>
    <w:rsid w:val="1B9B201D"/>
    <w:rsid w:val="1C163621"/>
    <w:rsid w:val="1CAC2742"/>
    <w:rsid w:val="1CD81C08"/>
    <w:rsid w:val="1CE04199"/>
    <w:rsid w:val="1D01655B"/>
    <w:rsid w:val="1D0C4F8F"/>
    <w:rsid w:val="1D332083"/>
    <w:rsid w:val="1D4A08EF"/>
    <w:rsid w:val="1E0D0FBE"/>
    <w:rsid w:val="1E1E54FA"/>
    <w:rsid w:val="1E363B74"/>
    <w:rsid w:val="1E614720"/>
    <w:rsid w:val="1E9422E2"/>
    <w:rsid w:val="1EB140BD"/>
    <w:rsid w:val="1EB44C7D"/>
    <w:rsid w:val="1ED42E02"/>
    <w:rsid w:val="1ED8318B"/>
    <w:rsid w:val="1F1C595D"/>
    <w:rsid w:val="1F2B12BD"/>
    <w:rsid w:val="1F2C1918"/>
    <w:rsid w:val="1F43231F"/>
    <w:rsid w:val="1F647304"/>
    <w:rsid w:val="1F9D659A"/>
    <w:rsid w:val="1FAB3324"/>
    <w:rsid w:val="1FE87F35"/>
    <w:rsid w:val="20062169"/>
    <w:rsid w:val="20237250"/>
    <w:rsid w:val="209F6845"/>
    <w:rsid w:val="20A911DE"/>
    <w:rsid w:val="20AA5D86"/>
    <w:rsid w:val="20AE148C"/>
    <w:rsid w:val="20BB73F7"/>
    <w:rsid w:val="20CD36FD"/>
    <w:rsid w:val="20F54E6E"/>
    <w:rsid w:val="21030097"/>
    <w:rsid w:val="21151544"/>
    <w:rsid w:val="214574FA"/>
    <w:rsid w:val="21613CCA"/>
    <w:rsid w:val="21B322C4"/>
    <w:rsid w:val="2237286E"/>
    <w:rsid w:val="22396826"/>
    <w:rsid w:val="224631C9"/>
    <w:rsid w:val="225D758A"/>
    <w:rsid w:val="229D0DE7"/>
    <w:rsid w:val="234611FA"/>
    <w:rsid w:val="23696C97"/>
    <w:rsid w:val="236C49D9"/>
    <w:rsid w:val="239A7798"/>
    <w:rsid w:val="23AF6C1B"/>
    <w:rsid w:val="23DF51AB"/>
    <w:rsid w:val="240864B0"/>
    <w:rsid w:val="240C6695"/>
    <w:rsid w:val="244551D8"/>
    <w:rsid w:val="24741D97"/>
    <w:rsid w:val="247B55B1"/>
    <w:rsid w:val="24A00DDE"/>
    <w:rsid w:val="24CA7C09"/>
    <w:rsid w:val="25445C0D"/>
    <w:rsid w:val="25590984"/>
    <w:rsid w:val="257E286D"/>
    <w:rsid w:val="25853B30"/>
    <w:rsid w:val="25983863"/>
    <w:rsid w:val="25B20DC9"/>
    <w:rsid w:val="25B74631"/>
    <w:rsid w:val="25D24FC7"/>
    <w:rsid w:val="265A38D5"/>
    <w:rsid w:val="265C0D6F"/>
    <w:rsid w:val="26605B76"/>
    <w:rsid w:val="26E86A6C"/>
    <w:rsid w:val="27100A48"/>
    <w:rsid w:val="272F6449"/>
    <w:rsid w:val="27367428"/>
    <w:rsid w:val="27455C6D"/>
    <w:rsid w:val="27577DD5"/>
    <w:rsid w:val="27696349"/>
    <w:rsid w:val="27AB7E41"/>
    <w:rsid w:val="27B50523"/>
    <w:rsid w:val="27B626C7"/>
    <w:rsid w:val="27CA353C"/>
    <w:rsid w:val="27F96049"/>
    <w:rsid w:val="27FC457D"/>
    <w:rsid w:val="283D1A97"/>
    <w:rsid w:val="289A5B44"/>
    <w:rsid w:val="28BA6802"/>
    <w:rsid w:val="28EC0C04"/>
    <w:rsid w:val="2909657F"/>
    <w:rsid w:val="290F3A5F"/>
    <w:rsid w:val="291122AA"/>
    <w:rsid w:val="294C422D"/>
    <w:rsid w:val="294E705B"/>
    <w:rsid w:val="29A60D2E"/>
    <w:rsid w:val="29D37560"/>
    <w:rsid w:val="2A0B4F4C"/>
    <w:rsid w:val="2A1E4B2A"/>
    <w:rsid w:val="2A3D51DB"/>
    <w:rsid w:val="2A41096D"/>
    <w:rsid w:val="2AB63109"/>
    <w:rsid w:val="2B0A0673"/>
    <w:rsid w:val="2B6D7ACB"/>
    <w:rsid w:val="2BB86A0D"/>
    <w:rsid w:val="2C0559CB"/>
    <w:rsid w:val="2C1C4194"/>
    <w:rsid w:val="2C450C47"/>
    <w:rsid w:val="2C4B162F"/>
    <w:rsid w:val="2C6A60BC"/>
    <w:rsid w:val="2CEB696E"/>
    <w:rsid w:val="2CF2743D"/>
    <w:rsid w:val="2D2105E2"/>
    <w:rsid w:val="2D3558AF"/>
    <w:rsid w:val="2D5F54FA"/>
    <w:rsid w:val="2DB31B82"/>
    <w:rsid w:val="2DE7182C"/>
    <w:rsid w:val="2E0929AB"/>
    <w:rsid w:val="2E32595E"/>
    <w:rsid w:val="2E39231C"/>
    <w:rsid w:val="2E417E9E"/>
    <w:rsid w:val="2E6469D8"/>
    <w:rsid w:val="2E9279E9"/>
    <w:rsid w:val="2EAE1CF7"/>
    <w:rsid w:val="2ECD6330"/>
    <w:rsid w:val="2ED2428A"/>
    <w:rsid w:val="2EF22714"/>
    <w:rsid w:val="2F3E191F"/>
    <w:rsid w:val="2F432A92"/>
    <w:rsid w:val="2F8E270B"/>
    <w:rsid w:val="302D3F11"/>
    <w:rsid w:val="3034687E"/>
    <w:rsid w:val="306F78B6"/>
    <w:rsid w:val="30727760"/>
    <w:rsid w:val="3075311F"/>
    <w:rsid w:val="312E32CE"/>
    <w:rsid w:val="314011DB"/>
    <w:rsid w:val="31692558"/>
    <w:rsid w:val="31B94249"/>
    <w:rsid w:val="31F52043"/>
    <w:rsid w:val="323B3EF4"/>
    <w:rsid w:val="323B5CA2"/>
    <w:rsid w:val="323F7C3F"/>
    <w:rsid w:val="326E52D5"/>
    <w:rsid w:val="32817F4C"/>
    <w:rsid w:val="32B179C7"/>
    <w:rsid w:val="32BF2D77"/>
    <w:rsid w:val="32DE50AA"/>
    <w:rsid w:val="32E34AE1"/>
    <w:rsid w:val="33122EC2"/>
    <w:rsid w:val="33580FBC"/>
    <w:rsid w:val="33680D19"/>
    <w:rsid w:val="336D27D3"/>
    <w:rsid w:val="33B020B6"/>
    <w:rsid w:val="33C56275"/>
    <w:rsid w:val="33D95773"/>
    <w:rsid w:val="33F23CB8"/>
    <w:rsid w:val="341E3ACD"/>
    <w:rsid w:val="34256C0A"/>
    <w:rsid w:val="345E6CDD"/>
    <w:rsid w:val="348B1019"/>
    <w:rsid w:val="348E2A01"/>
    <w:rsid w:val="34A83397"/>
    <w:rsid w:val="35215623"/>
    <w:rsid w:val="3533104D"/>
    <w:rsid w:val="35D15BBC"/>
    <w:rsid w:val="363B0967"/>
    <w:rsid w:val="3660230D"/>
    <w:rsid w:val="36877708"/>
    <w:rsid w:val="369D33CF"/>
    <w:rsid w:val="37441A9D"/>
    <w:rsid w:val="37502E0D"/>
    <w:rsid w:val="377803A6"/>
    <w:rsid w:val="37895702"/>
    <w:rsid w:val="379522F8"/>
    <w:rsid w:val="37973F65"/>
    <w:rsid w:val="37A46956"/>
    <w:rsid w:val="37BE2895"/>
    <w:rsid w:val="3812280E"/>
    <w:rsid w:val="385E6B8E"/>
    <w:rsid w:val="38723E12"/>
    <w:rsid w:val="38855EC9"/>
    <w:rsid w:val="38DF7CCF"/>
    <w:rsid w:val="3902751A"/>
    <w:rsid w:val="397877DC"/>
    <w:rsid w:val="39962CB8"/>
    <w:rsid w:val="39A71E6F"/>
    <w:rsid w:val="39B44AD7"/>
    <w:rsid w:val="39D1731B"/>
    <w:rsid w:val="3A30687B"/>
    <w:rsid w:val="3A414F2A"/>
    <w:rsid w:val="3A572A0C"/>
    <w:rsid w:val="3A7158D5"/>
    <w:rsid w:val="3A960861"/>
    <w:rsid w:val="3AB6680E"/>
    <w:rsid w:val="3AF31810"/>
    <w:rsid w:val="3B015D67"/>
    <w:rsid w:val="3B1E1FEA"/>
    <w:rsid w:val="3B221820"/>
    <w:rsid w:val="3B4B47A2"/>
    <w:rsid w:val="3B675D5A"/>
    <w:rsid w:val="3B816181"/>
    <w:rsid w:val="3BBD5F23"/>
    <w:rsid w:val="3C046AB8"/>
    <w:rsid w:val="3C183777"/>
    <w:rsid w:val="3C37572C"/>
    <w:rsid w:val="3C706E90"/>
    <w:rsid w:val="3C830972"/>
    <w:rsid w:val="3CA233BF"/>
    <w:rsid w:val="3D073351"/>
    <w:rsid w:val="3D801355"/>
    <w:rsid w:val="3DBB00BE"/>
    <w:rsid w:val="3E9F580B"/>
    <w:rsid w:val="3EBD2D69"/>
    <w:rsid w:val="3EF64DDA"/>
    <w:rsid w:val="3F212046"/>
    <w:rsid w:val="3F634A8A"/>
    <w:rsid w:val="3F697127"/>
    <w:rsid w:val="3FE05661"/>
    <w:rsid w:val="4004001B"/>
    <w:rsid w:val="401126BE"/>
    <w:rsid w:val="408F1FDB"/>
    <w:rsid w:val="40B51316"/>
    <w:rsid w:val="40E031C9"/>
    <w:rsid w:val="40E340D5"/>
    <w:rsid w:val="40E35E83"/>
    <w:rsid w:val="40F938F8"/>
    <w:rsid w:val="413A71CB"/>
    <w:rsid w:val="414F52C6"/>
    <w:rsid w:val="418036D2"/>
    <w:rsid w:val="41F30A12"/>
    <w:rsid w:val="42366486"/>
    <w:rsid w:val="424B1F31"/>
    <w:rsid w:val="4253528A"/>
    <w:rsid w:val="42997141"/>
    <w:rsid w:val="429A5D42"/>
    <w:rsid w:val="42C27294"/>
    <w:rsid w:val="42C45840"/>
    <w:rsid w:val="42CF60C1"/>
    <w:rsid w:val="435A14A9"/>
    <w:rsid w:val="43655275"/>
    <w:rsid w:val="43F839F3"/>
    <w:rsid w:val="44112439"/>
    <w:rsid w:val="44464165"/>
    <w:rsid w:val="445F1CC4"/>
    <w:rsid w:val="446831B0"/>
    <w:rsid w:val="447E2955"/>
    <w:rsid w:val="44A1408B"/>
    <w:rsid w:val="44B6565C"/>
    <w:rsid w:val="455235D7"/>
    <w:rsid w:val="455D6476"/>
    <w:rsid w:val="460B12FA"/>
    <w:rsid w:val="463C2C63"/>
    <w:rsid w:val="464715CA"/>
    <w:rsid w:val="46AC02CF"/>
    <w:rsid w:val="46AD19AA"/>
    <w:rsid w:val="46C027C2"/>
    <w:rsid w:val="46E44703"/>
    <w:rsid w:val="46F70C58"/>
    <w:rsid w:val="46FF778E"/>
    <w:rsid w:val="4723522B"/>
    <w:rsid w:val="47525B10"/>
    <w:rsid w:val="477F61D9"/>
    <w:rsid w:val="47841A42"/>
    <w:rsid w:val="47B57E4D"/>
    <w:rsid w:val="47D20CA6"/>
    <w:rsid w:val="47E50732"/>
    <w:rsid w:val="47EE3067"/>
    <w:rsid w:val="48192719"/>
    <w:rsid w:val="4826071F"/>
    <w:rsid w:val="489669BD"/>
    <w:rsid w:val="48AE4FC8"/>
    <w:rsid w:val="48B06F92"/>
    <w:rsid w:val="48D16F09"/>
    <w:rsid w:val="4913307D"/>
    <w:rsid w:val="492670D2"/>
    <w:rsid w:val="4946722B"/>
    <w:rsid w:val="49607A70"/>
    <w:rsid w:val="49724D0C"/>
    <w:rsid w:val="4995452E"/>
    <w:rsid w:val="4A174DEF"/>
    <w:rsid w:val="4A6022F2"/>
    <w:rsid w:val="4AA85A47"/>
    <w:rsid w:val="4AB60164"/>
    <w:rsid w:val="4AC76815"/>
    <w:rsid w:val="4ADD3943"/>
    <w:rsid w:val="4B4475D2"/>
    <w:rsid w:val="4B475260"/>
    <w:rsid w:val="4B644064"/>
    <w:rsid w:val="4B661B8A"/>
    <w:rsid w:val="4B7C315C"/>
    <w:rsid w:val="4B9F3BB2"/>
    <w:rsid w:val="4BA426B2"/>
    <w:rsid w:val="4BCD1C09"/>
    <w:rsid w:val="4C23177E"/>
    <w:rsid w:val="4C86359F"/>
    <w:rsid w:val="4CA25171"/>
    <w:rsid w:val="4D072EF9"/>
    <w:rsid w:val="4D1E4DF7"/>
    <w:rsid w:val="4D2179A0"/>
    <w:rsid w:val="4D3A1520"/>
    <w:rsid w:val="4D472F3D"/>
    <w:rsid w:val="4D4F4053"/>
    <w:rsid w:val="4DA42E3E"/>
    <w:rsid w:val="4DBE3EFF"/>
    <w:rsid w:val="4DD728CB"/>
    <w:rsid w:val="4DDD3AAB"/>
    <w:rsid w:val="4DDF5C24"/>
    <w:rsid w:val="4DE6535D"/>
    <w:rsid w:val="4E061402"/>
    <w:rsid w:val="4E516B22"/>
    <w:rsid w:val="4E6C5709"/>
    <w:rsid w:val="4E726A98"/>
    <w:rsid w:val="4E766588"/>
    <w:rsid w:val="4E944C60"/>
    <w:rsid w:val="4F272DEC"/>
    <w:rsid w:val="4F371F35"/>
    <w:rsid w:val="4F6C0426"/>
    <w:rsid w:val="4F735B65"/>
    <w:rsid w:val="4F980780"/>
    <w:rsid w:val="4FE81E63"/>
    <w:rsid w:val="4FEE1983"/>
    <w:rsid w:val="506D3550"/>
    <w:rsid w:val="50BF2DEC"/>
    <w:rsid w:val="51056772"/>
    <w:rsid w:val="514E559A"/>
    <w:rsid w:val="515C2C15"/>
    <w:rsid w:val="51A76A58"/>
    <w:rsid w:val="51C969CF"/>
    <w:rsid w:val="51E269DA"/>
    <w:rsid w:val="52065EB5"/>
    <w:rsid w:val="520774F7"/>
    <w:rsid w:val="523C1897"/>
    <w:rsid w:val="524D5852"/>
    <w:rsid w:val="52542378"/>
    <w:rsid w:val="52F65D25"/>
    <w:rsid w:val="52FB3500"/>
    <w:rsid w:val="52FC2DD4"/>
    <w:rsid w:val="52FD1026"/>
    <w:rsid w:val="532F6B09"/>
    <w:rsid w:val="535449BE"/>
    <w:rsid w:val="535E74E0"/>
    <w:rsid w:val="538C5F06"/>
    <w:rsid w:val="538E22AC"/>
    <w:rsid w:val="5394408B"/>
    <w:rsid w:val="53A939EF"/>
    <w:rsid w:val="53C54A2F"/>
    <w:rsid w:val="54240360"/>
    <w:rsid w:val="54534C76"/>
    <w:rsid w:val="545D78A2"/>
    <w:rsid w:val="54BF6A11"/>
    <w:rsid w:val="554051FA"/>
    <w:rsid w:val="554271C4"/>
    <w:rsid w:val="557A79D9"/>
    <w:rsid w:val="559531DE"/>
    <w:rsid w:val="559E4304"/>
    <w:rsid w:val="55C7591B"/>
    <w:rsid w:val="55E53FF3"/>
    <w:rsid w:val="560157A1"/>
    <w:rsid w:val="5613290E"/>
    <w:rsid w:val="565C0354"/>
    <w:rsid w:val="56666EE2"/>
    <w:rsid w:val="570A47CC"/>
    <w:rsid w:val="57361328"/>
    <w:rsid w:val="57827D4C"/>
    <w:rsid w:val="57914433"/>
    <w:rsid w:val="57A777B2"/>
    <w:rsid w:val="57BF1BC9"/>
    <w:rsid w:val="57E6326E"/>
    <w:rsid w:val="57E814D0"/>
    <w:rsid w:val="57FB365A"/>
    <w:rsid w:val="582F73E6"/>
    <w:rsid w:val="58733B38"/>
    <w:rsid w:val="58F74716"/>
    <w:rsid w:val="591744C4"/>
    <w:rsid w:val="592D018B"/>
    <w:rsid w:val="593250E7"/>
    <w:rsid w:val="594902D2"/>
    <w:rsid w:val="59BB24B6"/>
    <w:rsid w:val="5A2C3F9F"/>
    <w:rsid w:val="5A3A490E"/>
    <w:rsid w:val="5A470DD9"/>
    <w:rsid w:val="5A7476F4"/>
    <w:rsid w:val="5AB3646E"/>
    <w:rsid w:val="5B0311A3"/>
    <w:rsid w:val="5B2551F4"/>
    <w:rsid w:val="5B344FE4"/>
    <w:rsid w:val="5BA504AD"/>
    <w:rsid w:val="5BD91C49"/>
    <w:rsid w:val="5C2F1392"/>
    <w:rsid w:val="5C4B1054"/>
    <w:rsid w:val="5C596881"/>
    <w:rsid w:val="5C7414C4"/>
    <w:rsid w:val="5C8E01AF"/>
    <w:rsid w:val="5C936933"/>
    <w:rsid w:val="5C99260E"/>
    <w:rsid w:val="5CAC13C7"/>
    <w:rsid w:val="5CC21B66"/>
    <w:rsid w:val="5D0631CD"/>
    <w:rsid w:val="5D276C9F"/>
    <w:rsid w:val="5D4C4397"/>
    <w:rsid w:val="5D890DED"/>
    <w:rsid w:val="5DA66ECD"/>
    <w:rsid w:val="5DB85D8D"/>
    <w:rsid w:val="5DC71B9F"/>
    <w:rsid w:val="5E111E29"/>
    <w:rsid w:val="5E510478"/>
    <w:rsid w:val="5E744166"/>
    <w:rsid w:val="5EB250B7"/>
    <w:rsid w:val="5EC83355"/>
    <w:rsid w:val="5EDF5A84"/>
    <w:rsid w:val="5F2B2A77"/>
    <w:rsid w:val="5F3E3824"/>
    <w:rsid w:val="5F8D1984"/>
    <w:rsid w:val="5FD200AD"/>
    <w:rsid w:val="5FD27396"/>
    <w:rsid w:val="5FD30456"/>
    <w:rsid w:val="5FD44EBD"/>
    <w:rsid w:val="5FE40CB2"/>
    <w:rsid w:val="600523D3"/>
    <w:rsid w:val="60331883"/>
    <w:rsid w:val="605472DD"/>
    <w:rsid w:val="60AE63FE"/>
    <w:rsid w:val="610608D3"/>
    <w:rsid w:val="611D1A76"/>
    <w:rsid w:val="61857C06"/>
    <w:rsid w:val="619012B7"/>
    <w:rsid w:val="61CA73E7"/>
    <w:rsid w:val="61DF79A0"/>
    <w:rsid w:val="61F77588"/>
    <w:rsid w:val="62851733"/>
    <w:rsid w:val="62A07483"/>
    <w:rsid w:val="6304773C"/>
    <w:rsid w:val="63730E90"/>
    <w:rsid w:val="637C31BE"/>
    <w:rsid w:val="63F43D7F"/>
    <w:rsid w:val="63FA6EBC"/>
    <w:rsid w:val="64216B3E"/>
    <w:rsid w:val="645C36D2"/>
    <w:rsid w:val="647C1FC7"/>
    <w:rsid w:val="64A90948"/>
    <w:rsid w:val="64AA6B34"/>
    <w:rsid w:val="64EA6F30"/>
    <w:rsid w:val="64FA08A5"/>
    <w:rsid w:val="65240698"/>
    <w:rsid w:val="652630B9"/>
    <w:rsid w:val="652D7C77"/>
    <w:rsid w:val="65875B8B"/>
    <w:rsid w:val="66524D8D"/>
    <w:rsid w:val="666F7E07"/>
    <w:rsid w:val="667747F4"/>
    <w:rsid w:val="670D5158"/>
    <w:rsid w:val="6718581E"/>
    <w:rsid w:val="6719094F"/>
    <w:rsid w:val="6759214B"/>
    <w:rsid w:val="6765041B"/>
    <w:rsid w:val="677F7E04"/>
    <w:rsid w:val="67B9615C"/>
    <w:rsid w:val="67E61308"/>
    <w:rsid w:val="67E71070"/>
    <w:rsid w:val="68000819"/>
    <w:rsid w:val="68386205"/>
    <w:rsid w:val="68E0136D"/>
    <w:rsid w:val="68EB5291"/>
    <w:rsid w:val="69245997"/>
    <w:rsid w:val="693924D4"/>
    <w:rsid w:val="69431305"/>
    <w:rsid w:val="69B420B5"/>
    <w:rsid w:val="69CC4E56"/>
    <w:rsid w:val="69D370C5"/>
    <w:rsid w:val="69F61ED3"/>
    <w:rsid w:val="6A072332"/>
    <w:rsid w:val="6A640D8F"/>
    <w:rsid w:val="6AF24DBB"/>
    <w:rsid w:val="6B1E2737"/>
    <w:rsid w:val="6B3F1F80"/>
    <w:rsid w:val="6C0E2555"/>
    <w:rsid w:val="6C517895"/>
    <w:rsid w:val="6C8A7724"/>
    <w:rsid w:val="6C9D03CE"/>
    <w:rsid w:val="6CEF1588"/>
    <w:rsid w:val="6CF90658"/>
    <w:rsid w:val="6D062D75"/>
    <w:rsid w:val="6D1234C8"/>
    <w:rsid w:val="6D467CD3"/>
    <w:rsid w:val="6D4D62AE"/>
    <w:rsid w:val="6D793547"/>
    <w:rsid w:val="6D800432"/>
    <w:rsid w:val="6D865144"/>
    <w:rsid w:val="6D8E2E7E"/>
    <w:rsid w:val="6D8E6FF3"/>
    <w:rsid w:val="6DBB3B60"/>
    <w:rsid w:val="6DED319C"/>
    <w:rsid w:val="6E1868BC"/>
    <w:rsid w:val="6E1D0376"/>
    <w:rsid w:val="6E217876"/>
    <w:rsid w:val="6E565636"/>
    <w:rsid w:val="6EA2087C"/>
    <w:rsid w:val="6EA325D7"/>
    <w:rsid w:val="6EF53022"/>
    <w:rsid w:val="6F1D3D63"/>
    <w:rsid w:val="6F247264"/>
    <w:rsid w:val="6FE62BC5"/>
    <w:rsid w:val="70085806"/>
    <w:rsid w:val="70350A2D"/>
    <w:rsid w:val="705362D1"/>
    <w:rsid w:val="705F07D2"/>
    <w:rsid w:val="707B75D6"/>
    <w:rsid w:val="70A14E15"/>
    <w:rsid w:val="70B87E32"/>
    <w:rsid w:val="70E94540"/>
    <w:rsid w:val="70FE448F"/>
    <w:rsid w:val="718801FD"/>
    <w:rsid w:val="71902C0D"/>
    <w:rsid w:val="71AA1F21"/>
    <w:rsid w:val="71B52674"/>
    <w:rsid w:val="71C31235"/>
    <w:rsid w:val="71D76CCE"/>
    <w:rsid w:val="722225DB"/>
    <w:rsid w:val="723143F0"/>
    <w:rsid w:val="729329B5"/>
    <w:rsid w:val="72A2709C"/>
    <w:rsid w:val="72C60FDD"/>
    <w:rsid w:val="7300727B"/>
    <w:rsid w:val="73027B3B"/>
    <w:rsid w:val="734343DB"/>
    <w:rsid w:val="73A65AFE"/>
    <w:rsid w:val="73D67F7A"/>
    <w:rsid w:val="73E536E4"/>
    <w:rsid w:val="74185A8C"/>
    <w:rsid w:val="7440091B"/>
    <w:rsid w:val="7494340B"/>
    <w:rsid w:val="74A23383"/>
    <w:rsid w:val="74B23D44"/>
    <w:rsid w:val="74DD704E"/>
    <w:rsid w:val="752E4C17"/>
    <w:rsid w:val="75F81663"/>
    <w:rsid w:val="76311B65"/>
    <w:rsid w:val="76630D4C"/>
    <w:rsid w:val="76740D50"/>
    <w:rsid w:val="76B36162"/>
    <w:rsid w:val="76C73713"/>
    <w:rsid w:val="76DC6FEB"/>
    <w:rsid w:val="76E25CB9"/>
    <w:rsid w:val="770910A8"/>
    <w:rsid w:val="771A08AE"/>
    <w:rsid w:val="77440722"/>
    <w:rsid w:val="777128B1"/>
    <w:rsid w:val="77901BB9"/>
    <w:rsid w:val="77AA696A"/>
    <w:rsid w:val="77B604D5"/>
    <w:rsid w:val="77CB7D2F"/>
    <w:rsid w:val="77E93077"/>
    <w:rsid w:val="781B5927"/>
    <w:rsid w:val="783E66FE"/>
    <w:rsid w:val="784F737E"/>
    <w:rsid w:val="78520C1D"/>
    <w:rsid w:val="78545197"/>
    <w:rsid w:val="787E1A12"/>
    <w:rsid w:val="79053EE1"/>
    <w:rsid w:val="79144124"/>
    <w:rsid w:val="7923015C"/>
    <w:rsid w:val="79506026"/>
    <w:rsid w:val="79595125"/>
    <w:rsid w:val="796230E1"/>
    <w:rsid w:val="798200B7"/>
    <w:rsid w:val="798902DE"/>
    <w:rsid w:val="798E02E4"/>
    <w:rsid w:val="79CE2CFE"/>
    <w:rsid w:val="79D008E6"/>
    <w:rsid w:val="79D044EF"/>
    <w:rsid w:val="7A2605B3"/>
    <w:rsid w:val="7A2A2CC5"/>
    <w:rsid w:val="7A3E36D0"/>
    <w:rsid w:val="7A765096"/>
    <w:rsid w:val="7AAB2866"/>
    <w:rsid w:val="7AE9377F"/>
    <w:rsid w:val="7B142536"/>
    <w:rsid w:val="7B225A30"/>
    <w:rsid w:val="7B5D1DB2"/>
    <w:rsid w:val="7B664481"/>
    <w:rsid w:val="7B8B4A70"/>
    <w:rsid w:val="7B8F2A7B"/>
    <w:rsid w:val="7B9334F5"/>
    <w:rsid w:val="7BE646C2"/>
    <w:rsid w:val="7C120DEF"/>
    <w:rsid w:val="7C30396B"/>
    <w:rsid w:val="7CCD740C"/>
    <w:rsid w:val="7CDE33C7"/>
    <w:rsid w:val="7CE464A4"/>
    <w:rsid w:val="7D362C80"/>
    <w:rsid w:val="7D404A71"/>
    <w:rsid w:val="7D433490"/>
    <w:rsid w:val="7D502CB8"/>
    <w:rsid w:val="7D550142"/>
    <w:rsid w:val="7DD17CA7"/>
    <w:rsid w:val="7DD2150D"/>
    <w:rsid w:val="7DE62533"/>
    <w:rsid w:val="7DFF7C63"/>
    <w:rsid w:val="7E33329E"/>
    <w:rsid w:val="7E5D4DAC"/>
    <w:rsid w:val="7EA92FCB"/>
    <w:rsid w:val="7ED71E7C"/>
    <w:rsid w:val="7F0E5296"/>
    <w:rsid w:val="7F0F2700"/>
    <w:rsid w:val="7F392B36"/>
    <w:rsid w:val="7F4734A5"/>
    <w:rsid w:val="7F932059"/>
    <w:rsid w:val="7FA802AC"/>
    <w:rsid w:val="7FCC2B42"/>
    <w:rsid w:val="7FE40CF4"/>
    <w:rsid w:val="7FE7253A"/>
    <w:rsid w:val="7FEC1957"/>
    <w:rsid w:val="7FF014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bidi w:val="0"/>
      <w:spacing w:line="360" w:lineRule="auto"/>
      <w:ind w:firstLine="480"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6"/>
    <w:qFormat/>
    <w:uiPriority w:val="0"/>
    <w:pPr>
      <w:keepNext/>
      <w:keepLines/>
      <w:numPr>
        <w:ilvl w:val="0"/>
        <w:numId w:val="1"/>
      </w:numPr>
      <w:spacing w:beforeLines="0" w:afterLines="0"/>
      <w:ind w:firstLine="0" w:firstLineChars="0"/>
      <w:jc w:val="center"/>
      <w:outlineLvl w:val="0"/>
    </w:pPr>
    <w:rPr>
      <w:rFonts w:eastAsia="黑体"/>
      <w:b/>
      <w:kern w:val="44"/>
      <w:sz w:val="32"/>
    </w:rPr>
  </w:style>
  <w:style w:type="paragraph" w:styleId="3">
    <w:name w:val="heading 2"/>
    <w:basedOn w:val="1"/>
    <w:next w:val="1"/>
    <w:link w:val="25"/>
    <w:autoRedefine/>
    <w:unhideWhenUsed/>
    <w:qFormat/>
    <w:uiPriority w:val="0"/>
    <w:pPr>
      <w:keepNext/>
      <w:keepLines/>
      <w:spacing w:beforeLines="0" w:beforeAutospacing="0" w:afterLines="0" w:afterAutospacing="0" w:line="360" w:lineRule="auto"/>
      <w:ind w:left="240" w:leftChars="100" w:firstLine="0" w:firstLineChars="0"/>
      <w:outlineLvl w:val="1"/>
    </w:pPr>
    <w:rPr>
      <w:rFonts w:eastAsia="黑体"/>
      <w:b/>
      <w:sz w:val="30"/>
    </w:rPr>
  </w:style>
  <w:style w:type="paragraph" w:styleId="4">
    <w:name w:val="heading 3"/>
    <w:basedOn w:val="1"/>
    <w:next w:val="1"/>
    <w:autoRedefine/>
    <w:unhideWhenUsed/>
    <w:qFormat/>
    <w:uiPriority w:val="0"/>
    <w:pPr>
      <w:keepNext/>
      <w:keepLines/>
      <w:spacing w:beforeLines="0" w:beforeAutospacing="0" w:afterLines="0" w:afterAutospacing="0" w:line="360" w:lineRule="auto"/>
      <w:ind w:left="480" w:leftChars="200" w:firstLine="0" w:firstLineChars="0"/>
      <w:outlineLvl w:val="2"/>
    </w:pPr>
    <w:rPr>
      <w:rFonts w:eastAsia="黑体"/>
      <w:b/>
      <w:sz w:val="28"/>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1">
    <w:name w:val="Default Paragraph Font"/>
    <w:autoRedefine/>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Normal Indent"/>
    <w:qFormat/>
    <w:uiPriority w:val="0"/>
    <w:pPr>
      <w:widowControl/>
      <w:spacing w:line="360" w:lineRule="auto"/>
      <w:ind w:firstLine="560" w:firstLineChars="200"/>
      <w:jc w:val="left"/>
    </w:pPr>
    <w:rPr>
      <w:rFonts w:ascii="Times New Roman" w:hAnsi="Times New Roman" w:eastAsia="宋体" w:cs="Times New Roman"/>
      <w:kern w:val="0"/>
      <w:sz w:val="28"/>
      <w:szCs w:val="20"/>
      <w:lang w:val="en-US" w:eastAsia="zh-CN" w:bidi="ar-SA"/>
    </w:rPr>
  </w:style>
  <w:style w:type="paragraph" w:styleId="7">
    <w:name w:val="toa heading"/>
    <w:next w:val="1"/>
    <w:qFormat/>
    <w:uiPriority w:val="0"/>
    <w:pPr>
      <w:widowControl w:val="0"/>
      <w:spacing w:before="120"/>
      <w:jc w:val="both"/>
    </w:pPr>
    <w:rPr>
      <w:rFonts w:ascii="Cambria" w:hAnsi="Cambria" w:eastAsia="宋体" w:cs="Times New Roman"/>
      <w:kern w:val="2"/>
      <w:sz w:val="24"/>
      <w:szCs w:val="24"/>
      <w:lang w:val="en-US" w:eastAsia="zh-CN" w:bidi="ar-SA"/>
    </w:rPr>
  </w:style>
  <w:style w:type="paragraph" w:styleId="8">
    <w:name w:val="annotation text"/>
    <w:basedOn w:val="1"/>
    <w:autoRedefine/>
    <w:qFormat/>
    <w:uiPriority w:val="0"/>
    <w:pPr>
      <w:jc w:val="left"/>
    </w:pPr>
  </w:style>
  <w:style w:type="paragraph" w:styleId="9">
    <w:name w:val="Body Text"/>
    <w:basedOn w:val="1"/>
    <w:autoRedefine/>
    <w:semiHidden/>
    <w:qFormat/>
    <w:uiPriority w:val="0"/>
    <w:rPr>
      <w:rFonts w:ascii="Arial" w:hAnsi="Arial" w:eastAsia="Arial" w:cs="Arial"/>
      <w:sz w:val="21"/>
      <w:szCs w:val="21"/>
      <w:lang w:val="en-US" w:eastAsia="en-US" w:bidi="ar-SA"/>
    </w:rPr>
  </w:style>
  <w:style w:type="paragraph" w:styleId="10">
    <w:name w:val="Body Text Indent"/>
    <w:autoRedefine/>
    <w:qFormat/>
    <w:uiPriority w:val="0"/>
    <w:pPr>
      <w:widowControl w:val="0"/>
      <w:ind w:firstLine="560" w:firstLineChars="200"/>
      <w:jc w:val="both"/>
    </w:pPr>
    <w:rPr>
      <w:rFonts w:ascii="Times New Roman" w:hAnsi="Times New Roman" w:eastAsia="宋体" w:cs="Times New Roman"/>
      <w:kern w:val="2"/>
      <w:sz w:val="28"/>
      <w:szCs w:val="24"/>
      <w:lang w:val="en-US" w:eastAsia="zh-CN" w:bidi="ar-SA"/>
    </w:rPr>
  </w:style>
  <w:style w:type="paragraph" w:styleId="11">
    <w:name w:val="toc 3"/>
    <w:basedOn w:val="1"/>
    <w:next w:val="1"/>
    <w:autoRedefine/>
    <w:qFormat/>
    <w:uiPriority w:val="0"/>
    <w:pPr>
      <w:ind w:left="840" w:leftChars="400"/>
    </w:pPr>
    <w:rPr>
      <w:rFonts w:ascii="Times New Roman" w:hAnsi="Times New Roman" w:eastAsia="宋体"/>
      <w:sz w:val="21"/>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link w:val="28"/>
    <w:autoRedefine/>
    <w:qFormat/>
    <w:uiPriority w:val="0"/>
    <w:pPr>
      <w:ind w:firstLine="0" w:firstLineChars="0"/>
    </w:pPr>
  </w:style>
  <w:style w:type="paragraph" w:styleId="15">
    <w:name w:val="toc 2"/>
    <w:basedOn w:val="1"/>
    <w:next w:val="1"/>
    <w:autoRedefine/>
    <w:qFormat/>
    <w:uiPriority w:val="0"/>
    <w:pPr>
      <w:ind w:left="420" w:leftChars="200" w:firstLine="0" w:firstLineChars="0"/>
    </w:pPr>
    <w:rPr>
      <w:rFonts w:ascii="Times New Roman" w:hAnsi="Times New Roman" w:eastAsia="宋体"/>
      <w:sz w:val="24"/>
    </w:rPr>
  </w:style>
  <w:style w:type="paragraph" w:styleId="16">
    <w:name w:val="Normal (Web)"/>
    <w:autoRedefine/>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7">
    <w:name w:val="Title"/>
    <w:next w:val="1"/>
    <w:qFormat/>
    <w:uiPriority w:val="0"/>
    <w:pPr>
      <w:keepNext/>
      <w:keepLines/>
      <w:widowControl w:val="0"/>
      <w:tabs>
        <w:tab w:val="left" w:pos="360"/>
      </w:tabs>
      <w:autoSpaceDE/>
      <w:autoSpaceDN/>
      <w:spacing w:before="120" w:beforeLines="0" w:after="120" w:afterLines="0"/>
      <w:ind w:left="360" w:hanging="360" w:firstLineChars="0"/>
      <w:jc w:val="both"/>
      <w:outlineLvl w:val="9"/>
    </w:pPr>
    <w:rPr>
      <w:rFonts w:ascii="Times New Roman" w:hAnsi="Times New Roman" w:eastAsia="宋体" w:cs="Times New Roman"/>
      <w:b/>
      <w:kern w:val="44"/>
      <w:sz w:val="21"/>
      <w:szCs w:val="44"/>
      <w:lang w:val="en-US" w:eastAsia="zh-CN" w:bidi="ar-SA"/>
    </w:rPr>
  </w:style>
  <w:style w:type="paragraph" w:styleId="18">
    <w:name w:val="Body Text First Indent 2"/>
    <w:next w:val="1"/>
    <w:autoRedefine/>
    <w:qFormat/>
    <w:uiPriority w:val="0"/>
    <w:pPr>
      <w:spacing w:after="120" w:afterLines="0" w:line="600" w:lineRule="exact"/>
      <w:ind w:left="420" w:leftChars="200" w:firstLine="420" w:firstLineChars="200"/>
    </w:pPr>
    <w:rPr>
      <w:rFonts w:ascii="宋体" w:hAnsi="宋体" w:eastAsia="宋体" w:cs="宋体"/>
      <w:kern w:val="0"/>
      <w:sz w:val="24"/>
      <w:szCs w:val="24"/>
      <w:lang w:val="en-US" w:eastAsia="zh-CN" w:bidi="ar-SA"/>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character" w:styleId="23">
    <w:name w:val="page number"/>
    <w:basedOn w:val="21"/>
    <w:autoRedefine/>
    <w:qFormat/>
    <w:uiPriority w:val="0"/>
  </w:style>
  <w:style w:type="paragraph" w:customStyle="1" w:styleId="24">
    <w:name w:val=" Char Char1 Char Char Char Char"/>
    <w:qFormat/>
    <w:uiPriority w:val="0"/>
    <w:pPr>
      <w:widowControl w:val="0"/>
      <w:spacing w:line="360" w:lineRule="auto"/>
      <w:ind w:firstLine="880" w:firstLineChars="200"/>
      <w:jc w:val="both"/>
    </w:pPr>
    <w:rPr>
      <w:rFonts w:ascii="Times New Roman" w:hAnsi="Times New Roman" w:eastAsia="宋体" w:cs="Times New Roman"/>
      <w:kern w:val="2"/>
      <w:sz w:val="28"/>
      <w:szCs w:val="24"/>
      <w:lang w:val="en-US" w:eastAsia="zh-CN" w:bidi="ar-SA"/>
    </w:rPr>
  </w:style>
  <w:style w:type="character" w:customStyle="1" w:styleId="25">
    <w:name w:val="标题 2 Char"/>
    <w:link w:val="3"/>
    <w:qFormat/>
    <w:uiPriority w:val="0"/>
    <w:rPr>
      <w:rFonts w:eastAsia="黑体"/>
      <w:b/>
      <w:sz w:val="30"/>
    </w:rPr>
  </w:style>
  <w:style w:type="character" w:customStyle="1" w:styleId="26">
    <w:name w:val="标题 1 Char"/>
    <w:link w:val="2"/>
    <w:autoRedefine/>
    <w:qFormat/>
    <w:uiPriority w:val="0"/>
    <w:rPr>
      <w:rFonts w:ascii="Times New Roman" w:hAnsi="Times New Roman" w:eastAsia="黑体" w:cs="Times New Roman"/>
      <w:b/>
      <w:kern w:val="44"/>
      <w:sz w:val="32"/>
      <w:szCs w:val="24"/>
      <w:lang w:val="en-US" w:eastAsia="zh-CN" w:bidi="ar-SA"/>
    </w:rPr>
  </w:style>
  <w:style w:type="paragraph" w:customStyle="1" w:styleId="27">
    <w:name w:val="Default"/>
    <w:next w:val="1"/>
    <w:autoRedefine/>
    <w:qFormat/>
    <w:uiPriority w:val="0"/>
    <w:pPr>
      <w:widowControl w:val="0"/>
      <w:autoSpaceDE w:val="0"/>
      <w:autoSpaceDN w:val="0"/>
      <w:adjustRightInd w:val="0"/>
    </w:pPr>
    <w:rPr>
      <w:rFonts w:ascii="Arial Unicode MS" w:hAnsi="Arial Unicode MS" w:eastAsia="宋体" w:cs="Arial Unicode MS"/>
      <w:color w:val="000000"/>
      <w:sz w:val="24"/>
      <w:szCs w:val="24"/>
      <w:lang w:val="en-US" w:eastAsia="zh-CN" w:bidi="ar-SA"/>
    </w:rPr>
  </w:style>
  <w:style w:type="character" w:customStyle="1" w:styleId="28">
    <w:name w:val="目录 1 Char"/>
    <w:link w:val="14"/>
    <w:qFormat/>
    <w:uiPriority w:val="0"/>
    <w:rPr>
      <w:rFonts w:eastAsia="宋体"/>
    </w:rPr>
  </w:style>
  <w:style w:type="paragraph" w:customStyle="1" w:styleId="29">
    <w:name w:val="样式 小四 首行缩进:  0.85 厘米 行距: 固定值 22 磅"/>
    <w:basedOn w:val="1"/>
    <w:autoRedefine/>
    <w:qFormat/>
    <w:uiPriority w:val="0"/>
    <w:pPr>
      <w:widowControl/>
      <w:spacing w:line="440" w:lineRule="exact"/>
      <w:ind w:firstLine="480" w:firstLineChars="200"/>
    </w:pPr>
    <w:rPr>
      <w:rFonts w:ascii="新宋体" w:hAnsi="新宋体" w:eastAsia="新宋体" w:cs="新宋体"/>
      <w:kern w:val="0"/>
      <w:sz w:val="24"/>
      <w:szCs w:val="20"/>
      <w:lang w:eastAsia="en-US" w:bidi="en-US"/>
    </w:rPr>
  </w:style>
  <w:style w:type="paragraph" w:customStyle="1" w:styleId="30">
    <w:name w:val="Table Text"/>
    <w:autoRedefine/>
    <w:semiHidden/>
    <w:qFormat/>
    <w:uiPriority w:val="0"/>
    <w:pPr>
      <w:kinsoku w:val="0"/>
      <w:autoSpaceDE w:val="0"/>
      <w:autoSpaceDN w:val="0"/>
      <w:adjustRightInd w:val="0"/>
      <w:snapToGrid w:val="0"/>
      <w:spacing w:line="240" w:lineRule="auto"/>
      <w:jc w:val="left"/>
      <w:textAlignment w:val="baseline"/>
    </w:pPr>
    <w:rPr>
      <w:rFonts w:ascii="宋体" w:hAnsi="宋体" w:eastAsia="宋体" w:cs="宋体"/>
      <w:snapToGrid w:val="0"/>
      <w:color w:val="000000"/>
      <w:kern w:val="0"/>
      <w:sz w:val="28"/>
      <w:szCs w:val="28"/>
      <w:lang w:val="en-US" w:eastAsia="en-US" w:bidi="ar-SA"/>
    </w:rPr>
  </w:style>
  <w:style w:type="table" w:customStyle="1" w:styleId="31">
    <w:name w:val="Table Normal"/>
    <w:autoRedefine/>
    <w:unhideWhenUsed/>
    <w:qFormat/>
    <w:uiPriority w:val="0"/>
    <w:tblPr>
      <w:tblCellMar>
        <w:top w:w="0" w:type="dxa"/>
        <w:left w:w="0" w:type="dxa"/>
        <w:bottom w:w="0" w:type="dxa"/>
        <w:right w:w="0" w:type="dxa"/>
      </w:tblCellMar>
    </w:tblPr>
  </w:style>
  <w:style w:type="paragraph" w:customStyle="1" w:styleId="32">
    <w:name w:val="表内容"/>
    <w:autoRedefine/>
    <w:qFormat/>
    <w:uiPriority w:val="0"/>
    <w:pPr>
      <w:widowControl/>
      <w:snapToGrid w:val="0"/>
      <w:spacing w:line="320" w:lineRule="exact"/>
      <w:ind w:firstLine="560" w:firstLineChars="200"/>
      <w:jc w:val="center"/>
    </w:pPr>
    <w:rPr>
      <w:rFonts w:ascii="Times New Roman" w:hAnsi="Times New Roman" w:eastAsia="宋体" w:cs="Times New Roman"/>
      <w:kern w:val="0"/>
      <w:sz w:val="24"/>
      <w:szCs w:val="20"/>
      <w:lang w:val="en-US" w:eastAsia="zh-CN" w:bidi="ar-SA"/>
    </w:rPr>
  </w:style>
  <w:style w:type="paragraph" w:customStyle="1" w:styleId="33">
    <w:name w:val="样式 黑体 四号 黑色 行距: 固定值 30 磅"/>
    <w:qFormat/>
    <w:uiPriority w:val="0"/>
    <w:pPr>
      <w:spacing w:line="600" w:lineRule="exact"/>
      <w:ind w:firstLine="560" w:firstLineChars="200"/>
    </w:pPr>
    <w:rPr>
      <w:rFonts w:ascii="黑体" w:hAnsi="宋体" w:eastAsia="黑体" w:cs="宋体"/>
      <w:color w:val="000000"/>
      <w:sz w:val="30"/>
      <w:szCs w:val="20"/>
      <w:lang w:val="en-US" w:eastAsia="zh-CN" w:bidi="ar-SA"/>
    </w:rPr>
  </w:style>
  <w:style w:type="paragraph" w:customStyle="1" w:styleId="34">
    <w:name w:val="样式2222"/>
    <w:autoRedefine/>
    <w:qFormat/>
    <w:uiPriority w:val="0"/>
    <w:pPr>
      <w:spacing w:line="600" w:lineRule="exact"/>
      <w:ind w:firstLine="200" w:firstLineChars="200"/>
    </w:pPr>
    <w:rPr>
      <w:rFonts w:ascii="Times New Roman" w:hAnsi="Times New Roman" w:eastAsia="宋体" w:cs="Times New Roman"/>
      <w:color w:val="000000"/>
      <w:kern w:val="2"/>
      <w:sz w:val="28"/>
      <w:szCs w:val="28"/>
      <w:lang w:val="en-US" w:eastAsia="zh-CN" w:bidi="ar-SA"/>
    </w:rPr>
  </w:style>
  <w:style w:type="paragraph" w:customStyle="1" w:styleId="35">
    <w:name w:val="标准段落"/>
    <w:qFormat/>
    <w:uiPriority w:val="0"/>
    <w:pPr>
      <w:adjustRightInd w:val="0"/>
      <w:snapToGrid w:val="0"/>
      <w:spacing w:before="156" w:beforeLines="50" w:line="360" w:lineRule="auto"/>
      <w:ind w:firstLine="200" w:firstLineChars="200"/>
    </w:pPr>
    <w:rPr>
      <w:rFonts w:ascii="Times New Roman" w:hAnsi="Times New Roman" w:eastAsia="宋体" w:cs="Times New Roman"/>
      <w:color w:val="000000"/>
      <w:kern w:val="2"/>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34.jpeg"/><Relationship Id="rId43" Type="http://schemas.openxmlformats.org/officeDocument/2006/relationships/image" Target="media/image33.jpeg"/><Relationship Id="rId42" Type="http://schemas.openxmlformats.org/officeDocument/2006/relationships/image" Target="media/image32.jpeg"/><Relationship Id="rId41" Type="http://schemas.openxmlformats.org/officeDocument/2006/relationships/image" Target="media/image31.jpeg"/><Relationship Id="rId40" Type="http://schemas.openxmlformats.org/officeDocument/2006/relationships/image" Target="media/image30.jpeg"/><Relationship Id="rId4" Type="http://schemas.openxmlformats.org/officeDocument/2006/relationships/endnotes" Target="endnotes.xml"/><Relationship Id="rId39" Type="http://schemas.openxmlformats.org/officeDocument/2006/relationships/image" Target="media/image29.jpeg"/><Relationship Id="rId38" Type="http://schemas.openxmlformats.org/officeDocument/2006/relationships/image" Target="media/image28.jpeg"/><Relationship Id="rId37" Type="http://schemas.openxmlformats.org/officeDocument/2006/relationships/image" Target="media/image27.jpeg"/><Relationship Id="rId36" Type="http://schemas.openxmlformats.org/officeDocument/2006/relationships/image" Target="media/image26.jpeg"/><Relationship Id="rId35" Type="http://schemas.openxmlformats.org/officeDocument/2006/relationships/image" Target="media/image25.jpe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jpeg"/><Relationship Id="rId31" Type="http://schemas.openxmlformats.org/officeDocument/2006/relationships/image" Target="media/image21.jpeg"/><Relationship Id="rId30" Type="http://schemas.openxmlformats.org/officeDocument/2006/relationships/image" Target="media/image20.jpeg"/><Relationship Id="rId3" Type="http://schemas.openxmlformats.org/officeDocument/2006/relationships/footnotes" Target="footnotes.xml"/><Relationship Id="rId29" Type="http://schemas.openxmlformats.org/officeDocument/2006/relationships/image" Target="media/image19.png"/><Relationship Id="rId28" Type="http://schemas.openxmlformats.org/officeDocument/2006/relationships/image" Target="media/image18.jpe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jpe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pn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108</Pages>
  <Words>9256</Words>
  <Characters>11058</Characters>
  <Lines>0</Lines>
  <Paragraphs>0</Paragraphs>
  <TotalTime>15</TotalTime>
  <ScaleCrop>false</ScaleCrop>
  <LinksUpToDate>false</LinksUpToDate>
  <CharactersWithSpaces>11946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爱哭的男孩</cp:lastModifiedBy>
  <cp:lastPrinted>2023-10-18T06:50:00Z</cp:lastPrinted>
  <dcterms:modified xsi:type="dcterms:W3CDTF">2024-12-09T03:25:31Z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5172B3BA749E47418B7AC06158E02C43_13</vt:lpwstr>
  </property>
</Properties>
</file>