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64DEC">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auto"/>
          <w:kern w:val="0"/>
          <w:sz w:val="44"/>
          <w:szCs w:val="44"/>
          <w:lang w:val="en-US" w:eastAsia="zh-CN" w:bidi="ar"/>
        </w:rPr>
      </w:pPr>
    </w:p>
    <w:p w14:paraId="3FDD9AA5">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auto"/>
          <w:kern w:val="0"/>
          <w:sz w:val="44"/>
          <w:szCs w:val="44"/>
          <w:lang w:val="en-US" w:eastAsia="zh-CN" w:bidi="ar"/>
        </w:rPr>
      </w:pPr>
      <w:r>
        <w:rPr>
          <w:rFonts w:hint="default" w:ascii="Times New Roman" w:hAnsi="Times New Roman" w:eastAsia="宋体" w:cs="Times New Roman"/>
          <w:b/>
          <w:bCs/>
          <w:color w:val="auto"/>
          <w:kern w:val="0"/>
          <w:sz w:val="44"/>
          <w:szCs w:val="44"/>
          <w:lang w:val="en-US" w:eastAsia="zh-CN" w:bidi="ar"/>
        </w:rPr>
        <w:t>艾坦途</w:t>
      </w:r>
      <w:r>
        <w:rPr>
          <w:rFonts w:hint="eastAsia" w:cs="Times New Roman"/>
          <w:b/>
          <w:bCs/>
          <w:color w:val="auto"/>
          <w:kern w:val="0"/>
          <w:sz w:val="44"/>
          <w:szCs w:val="44"/>
          <w:lang w:val="en-US" w:eastAsia="zh-CN" w:bidi="ar"/>
        </w:rPr>
        <w:t>（</w:t>
      </w:r>
      <w:r>
        <w:rPr>
          <w:rFonts w:hint="default" w:ascii="Times New Roman" w:hAnsi="Times New Roman" w:eastAsia="宋体" w:cs="Times New Roman"/>
          <w:b/>
          <w:bCs/>
          <w:color w:val="auto"/>
          <w:kern w:val="0"/>
          <w:sz w:val="44"/>
          <w:szCs w:val="44"/>
          <w:lang w:val="en-US" w:eastAsia="zh-CN" w:bidi="ar"/>
        </w:rPr>
        <w:t>宜春</w:t>
      </w:r>
      <w:r>
        <w:rPr>
          <w:rFonts w:hint="eastAsia" w:cs="Times New Roman"/>
          <w:b/>
          <w:bCs/>
          <w:color w:val="auto"/>
          <w:kern w:val="0"/>
          <w:sz w:val="44"/>
          <w:szCs w:val="44"/>
          <w:lang w:val="en-US" w:eastAsia="zh-CN" w:bidi="ar"/>
        </w:rPr>
        <w:t>）</w:t>
      </w:r>
      <w:r>
        <w:rPr>
          <w:rFonts w:hint="default" w:ascii="Times New Roman" w:hAnsi="Times New Roman" w:eastAsia="宋体" w:cs="Times New Roman"/>
          <w:b/>
          <w:bCs/>
          <w:color w:val="auto"/>
          <w:kern w:val="0"/>
          <w:sz w:val="44"/>
          <w:szCs w:val="44"/>
          <w:lang w:val="en-US" w:eastAsia="zh-CN" w:bidi="ar"/>
        </w:rPr>
        <w:t>物流有限公司</w:t>
      </w:r>
    </w:p>
    <w:p w14:paraId="5A0CCFBD">
      <w:pPr>
        <w:keepNext w:val="0"/>
        <w:keepLines w:val="0"/>
        <w:pageBreakBefore w:val="0"/>
        <w:widowControl/>
        <w:suppressLineNumbers w:val="0"/>
        <w:kinsoku/>
        <w:wordWrap/>
        <w:overflowPunct/>
        <w:topLinePunct w:val="0"/>
        <w:autoSpaceDE/>
        <w:autoSpaceDN/>
        <w:bidi w:val="0"/>
        <w:adjustRightInd/>
        <w:snapToGrid/>
        <w:spacing w:line="300" w:lineRule="auto"/>
        <w:ind w:firstLine="0" w:firstLineChars="0"/>
        <w:jc w:val="center"/>
        <w:textAlignment w:val="auto"/>
        <w:rPr>
          <w:rFonts w:hint="default" w:ascii="Times New Roman" w:hAnsi="Times New Roman" w:eastAsia="宋体" w:cs="Times New Roman"/>
          <w:b/>
          <w:bCs/>
          <w:color w:val="auto"/>
          <w:kern w:val="0"/>
          <w:sz w:val="44"/>
          <w:szCs w:val="44"/>
          <w:lang w:val="en-US" w:eastAsia="zh-CN" w:bidi="ar"/>
        </w:rPr>
      </w:pPr>
      <w:r>
        <w:rPr>
          <w:rFonts w:hint="default" w:ascii="Times New Roman" w:hAnsi="Times New Roman" w:eastAsia="宋体" w:cs="Times New Roman"/>
          <w:b/>
          <w:bCs/>
          <w:color w:val="auto"/>
          <w:kern w:val="0"/>
          <w:sz w:val="44"/>
          <w:szCs w:val="44"/>
          <w:lang w:val="en-US" w:eastAsia="zh-CN" w:bidi="ar"/>
        </w:rPr>
        <w:t>平面交叉道口工程施工作业</w:t>
      </w:r>
    </w:p>
    <w:p w14:paraId="5680A6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color w:val="auto"/>
          <w:sz w:val="52"/>
          <w:szCs w:val="52"/>
          <w:lang w:eastAsia="zh-CN"/>
        </w:rPr>
      </w:pPr>
      <w:r>
        <w:rPr>
          <w:rFonts w:hint="default" w:ascii="Times New Roman" w:hAnsi="Times New Roman" w:eastAsia="黑体" w:cs="Times New Roman"/>
          <w:b/>
          <w:color w:val="auto"/>
          <w:sz w:val="52"/>
          <w:szCs w:val="52"/>
          <w:lang w:eastAsia="zh-CN"/>
        </w:rPr>
        <w:t>安全</w:t>
      </w:r>
      <w:r>
        <w:rPr>
          <w:rFonts w:hint="eastAsia" w:eastAsia="黑体" w:cs="Times New Roman"/>
          <w:b/>
          <w:color w:val="auto"/>
          <w:sz w:val="52"/>
          <w:szCs w:val="52"/>
          <w:lang w:val="en-US" w:eastAsia="zh-CN"/>
        </w:rPr>
        <w:t>评估</w:t>
      </w:r>
      <w:r>
        <w:rPr>
          <w:rFonts w:hint="default" w:ascii="Times New Roman" w:hAnsi="Times New Roman" w:eastAsia="黑体" w:cs="Times New Roman"/>
          <w:b/>
          <w:color w:val="auto"/>
          <w:sz w:val="52"/>
          <w:szCs w:val="52"/>
          <w:lang w:eastAsia="zh-CN"/>
        </w:rPr>
        <w:t>报告</w:t>
      </w:r>
    </w:p>
    <w:p w14:paraId="3EE971C7">
      <w:pPr>
        <w:keepNext w:val="0"/>
        <w:keepLines w:val="0"/>
        <w:pageBreakBefore w:val="0"/>
        <w:widowControl w:val="0"/>
        <w:tabs>
          <w:tab w:val="left" w:leader="middleDot" w:pos="8540"/>
        </w:tabs>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cs="Times New Roman"/>
          <w:b/>
          <w:color w:val="auto"/>
          <w:sz w:val="44"/>
          <w:szCs w:val="44"/>
        </w:rPr>
      </w:pPr>
      <w:r>
        <w:rPr>
          <w:rFonts w:hint="default" w:ascii="Times New Roman" w:hAnsi="Times New Roman" w:cs="Times New Roman"/>
          <w:b/>
          <w:color w:val="auto"/>
          <w:sz w:val="44"/>
          <w:szCs w:val="44"/>
        </w:rPr>
        <w:t>（</w:t>
      </w:r>
      <w:r>
        <w:rPr>
          <w:rFonts w:hint="eastAsia" w:cs="Times New Roman"/>
          <w:b/>
          <w:color w:val="auto"/>
          <w:sz w:val="44"/>
          <w:szCs w:val="44"/>
          <w:lang w:val="en-US" w:eastAsia="zh-CN"/>
        </w:rPr>
        <w:t>终稿</w:t>
      </w:r>
      <w:r>
        <w:rPr>
          <w:rFonts w:hint="default" w:ascii="Times New Roman" w:hAnsi="Times New Roman" w:cs="Times New Roman"/>
          <w:b/>
          <w:color w:val="auto"/>
          <w:sz w:val="44"/>
          <w:szCs w:val="44"/>
        </w:rPr>
        <w:t>）</w:t>
      </w:r>
    </w:p>
    <w:p w14:paraId="100B8244">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5DB6A073">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436364FE">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16E2A644">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082E5685">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46BD644B">
      <w:pPr>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jc w:val="center"/>
        <w:textAlignment w:val="auto"/>
        <w:rPr>
          <w:rFonts w:hint="default" w:ascii="Times New Roman" w:hAnsi="Times New Roman" w:eastAsia="宋体" w:cs="Times New Roman"/>
          <w:color w:val="auto"/>
          <w:sz w:val="52"/>
          <w:szCs w:val="52"/>
        </w:rPr>
      </w:pPr>
    </w:p>
    <w:p w14:paraId="4E958B49">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7EEC8231">
      <w:pPr>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default" w:ascii="Times New Roman" w:hAnsi="Times New Roman" w:eastAsia="宋体" w:cs="Times New Roman"/>
          <w:color w:val="auto"/>
          <w:sz w:val="52"/>
          <w:szCs w:val="52"/>
        </w:rPr>
      </w:pPr>
    </w:p>
    <w:p w14:paraId="51749A09">
      <w:pPr>
        <w:pStyle w:val="29"/>
        <w:keepNext w:val="0"/>
        <w:keepLines w:val="0"/>
        <w:pageBreakBefore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52"/>
          <w:szCs w:val="52"/>
        </w:rPr>
      </w:pPr>
    </w:p>
    <w:p w14:paraId="06D64F87">
      <w:pPr>
        <w:pStyle w:val="29"/>
        <w:keepNext w:val="0"/>
        <w:keepLines w:val="0"/>
        <w:pageBreakBefore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52"/>
          <w:szCs w:val="52"/>
        </w:rPr>
      </w:pPr>
    </w:p>
    <w:p w14:paraId="38FEAA8F">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bCs/>
          <w:color w:val="auto"/>
          <w:sz w:val="44"/>
          <w:szCs w:val="44"/>
        </w:rPr>
      </w:pPr>
      <w:r>
        <w:rPr>
          <w:rFonts w:hint="default" w:ascii="Times New Roman" w:hAnsi="Times New Roman" w:eastAsia="宋体" w:cs="Times New Roman"/>
          <w:b/>
          <w:bCs/>
          <w:color w:val="auto"/>
          <w:sz w:val="44"/>
          <w:szCs w:val="44"/>
        </w:rPr>
        <w:t>江西赣安安全生产科学技术咨询服务中心</w:t>
      </w:r>
    </w:p>
    <w:p w14:paraId="65BD90D9">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rPr>
        <w:t>APJ-（赣）-002</w:t>
      </w:r>
    </w:p>
    <w:p w14:paraId="1E7619E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color w:val="auto"/>
          <w:sz w:val="32"/>
          <w:szCs w:val="32"/>
          <w:lang w:val="en-US" w:eastAsia="zh-CN"/>
        </w:rPr>
      </w:pPr>
      <w:r>
        <w:rPr>
          <w:rFonts w:hint="default" w:ascii="Times New Roman" w:hAnsi="Times New Roman" w:cs="Times New Roman"/>
          <w:b/>
          <w:color w:val="auto"/>
          <w:sz w:val="32"/>
          <w:szCs w:val="32"/>
          <w:lang w:val="en-US" w:eastAsia="zh-CN"/>
        </w:rPr>
        <w:t>202</w:t>
      </w:r>
      <w:r>
        <w:rPr>
          <w:rFonts w:hint="eastAsia" w:cs="Times New Roman"/>
          <w:b/>
          <w:color w:val="auto"/>
          <w:sz w:val="32"/>
          <w:szCs w:val="32"/>
          <w:lang w:val="en-US" w:eastAsia="zh-CN"/>
        </w:rPr>
        <w:t>4</w:t>
      </w:r>
      <w:r>
        <w:rPr>
          <w:rFonts w:hint="default" w:ascii="Times New Roman" w:hAnsi="Times New Roman" w:eastAsia="宋体" w:cs="Times New Roman"/>
          <w:b/>
          <w:color w:val="auto"/>
          <w:sz w:val="32"/>
          <w:szCs w:val="32"/>
        </w:rPr>
        <w:t>年</w:t>
      </w:r>
      <w:r>
        <w:rPr>
          <w:rFonts w:hint="eastAsia" w:cs="Times New Roman"/>
          <w:b/>
          <w:color w:val="auto"/>
          <w:sz w:val="32"/>
          <w:szCs w:val="32"/>
          <w:lang w:val="en-US" w:eastAsia="zh-CN"/>
        </w:rPr>
        <w:t>3</w:t>
      </w:r>
      <w:r>
        <w:rPr>
          <w:rFonts w:hint="default" w:ascii="Times New Roman" w:hAnsi="Times New Roman" w:eastAsia="宋体" w:cs="Times New Roman"/>
          <w:b/>
          <w:color w:val="auto"/>
          <w:sz w:val="32"/>
          <w:szCs w:val="32"/>
        </w:rPr>
        <w:t>月</w:t>
      </w:r>
      <w:r>
        <w:rPr>
          <w:rFonts w:hint="eastAsia" w:cs="Times New Roman"/>
          <w:b/>
          <w:color w:val="auto"/>
          <w:sz w:val="32"/>
          <w:szCs w:val="32"/>
          <w:lang w:val="en-US" w:eastAsia="zh-CN"/>
        </w:rPr>
        <w:t>20</w:t>
      </w:r>
      <w:r>
        <w:rPr>
          <w:rFonts w:hint="eastAsia" w:ascii="Times New Roman" w:hAnsi="Times New Roman" w:eastAsia="宋体" w:cs="Times New Roman"/>
          <w:b/>
          <w:color w:val="auto"/>
          <w:sz w:val="32"/>
          <w:szCs w:val="32"/>
          <w:lang w:val="en-US" w:eastAsia="zh-CN"/>
        </w:rPr>
        <w:t>日</w:t>
      </w:r>
    </w:p>
    <w:p w14:paraId="09EBAF99">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color w:val="auto"/>
        </w:rPr>
      </w:pPr>
    </w:p>
    <w:p w14:paraId="0643721B">
      <w:pPr>
        <w:rPr>
          <w:rFonts w:hint="default" w:ascii="Times New Roman" w:hAnsi="Times New Roman" w:cs="Times New Roman"/>
          <w:color w:val="auto"/>
        </w:rPr>
        <w:sectPr>
          <w:headerReference r:id="rId5" w:type="first"/>
          <w:footerReference r:id="rId6" w:type="first"/>
          <w:pgSz w:w="11906" w:h="16839"/>
          <w:pgMar w:top="1417" w:right="1417" w:bottom="1417" w:left="1417" w:header="850" w:footer="992" w:gutter="0"/>
          <w:pgBorders>
            <w:top w:val="none" w:sz="0" w:space="0"/>
            <w:left w:val="none" w:sz="0" w:space="0"/>
            <w:bottom w:val="none" w:sz="0" w:space="0"/>
            <w:right w:val="none" w:sz="0" w:space="0"/>
          </w:pgBorders>
          <w:pgNumType w:fmt="upperRoman" w:start="1"/>
          <w:cols w:space="720" w:num="1"/>
          <w:rtlGutter w:val="0"/>
          <w:docGrid w:linePitch="312" w:charSpace="0"/>
        </w:sectPr>
      </w:pPr>
    </w:p>
    <w:p w14:paraId="793F63A2">
      <w:pPr>
        <w:rPr>
          <w:rFonts w:hint="default" w:ascii="Times New Roman" w:hAnsi="Times New Roman" w:cs="Times New Roman"/>
          <w:color w:val="auto"/>
        </w:rPr>
      </w:pPr>
    </w:p>
    <w:p w14:paraId="7468F0F2">
      <w:pPr>
        <w:rPr>
          <w:rFonts w:hint="default" w:ascii="Times New Roman" w:hAnsi="Times New Roman" w:cs="Times New Roman"/>
          <w:color w:val="auto"/>
        </w:rPr>
      </w:pPr>
    </w:p>
    <w:p w14:paraId="771B81AB">
      <w:pPr>
        <w:rPr>
          <w:rFonts w:hint="default" w:ascii="Times New Roman" w:hAnsi="Times New Roman" w:cs="Times New Roman"/>
          <w:color w:val="auto"/>
        </w:rPr>
      </w:pPr>
    </w:p>
    <w:p w14:paraId="27D91E9C">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color w:val="auto"/>
          <w:sz w:val="32"/>
          <w:szCs w:val="32"/>
          <w:lang w:eastAsia="zh-CN"/>
        </w:rPr>
      </w:pPr>
      <w:r>
        <w:rPr>
          <w:rFonts w:hint="eastAsia" w:ascii="宋体" w:hAnsi="宋体" w:eastAsia="宋体" w:cs="Times New Roman"/>
          <w:b/>
          <w:color w:val="auto"/>
          <w:sz w:val="32"/>
          <w:szCs w:val="32"/>
          <w:lang w:eastAsia="zh-CN"/>
        </w:rPr>
        <w:t>艾坦途（宜春）物流有限公司</w:t>
      </w:r>
    </w:p>
    <w:p w14:paraId="2B63A95B">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Times New Roman"/>
          <w:b/>
          <w:bCs w:val="0"/>
          <w:color w:val="auto"/>
          <w:sz w:val="32"/>
          <w:szCs w:val="32"/>
          <w:lang w:eastAsia="zh-CN"/>
        </w:rPr>
      </w:pPr>
      <w:r>
        <w:rPr>
          <w:rFonts w:hint="eastAsia" w:ascii="宋体" w:hAnsi="宋体" w:eastAsia="宋体" w:cs="Times New Roman"/>
          <w:b/>
          <w:color w:val="auto"/>
          <w:sz w:val="32"/>
          <w:szCs w:val="32"/>
          <w:lang w:eastAsia="zh-CN"/>
        </w:rPr>
        <w:t>平面交叉道口工程施工作业</w:t>
      </w:r>
    </w:p>
    <w:p w14:paraId="17693190">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宋体"/>
          <w:b/>
          <w:color w:val="auto"/>
          <w:sz w:val="44"/>
          <w:szCs w:val="44"/>
        </w:rPr>
      </w:pPr>
      <w:r>
        <w:rPr>
          <w:rFonts w:hint="eastAsia" w:ascii="宋体" w:hAnsi="宋体" w:eastAsia="宋体" w:cs="宋体"/>
          <w:b/>
          <w:color w:val="auto"/>
          <w:sz w:val="44"/>
          <w:szCs w:val="44"/>
        </w:rPr>
        <w:t>安全评估报告</w:t>
      </w:r>
    </w:p>
    <w:p w14:paraId="3B1FC1AC">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hint="eastAsia" w:ascii="宋体" w:hAnsi="宋体" w:eastAsia="宋体" w:cs="宋体"/>
          <w:b/>
          <w:color w:val="auto"/>
          <w:sz w:val="44"/>
          <w:szCs w:val="44"/>
        </w:rPr>
      </w:pPr>
      <w:r>
        <w:rPr>
          <w:rFonts w:hint="eastAsia" w:ascii="宋体" w:hAnsi="宋体" w:eastAsia="宋体" w:cs="宋体"/>
          <w:b/>
          <w:color w:val="auto"/>
          <w:sz w:val="44"/>
          <w:szCs w:val="44"/>
        </w:rPr>
        <w:t>（</w:t>
      </w:r>
      <w:r>
        <w:rPr>
          <w:rFonts w:hint="eastAsia" w:ascii="宋体" w:hAnsi="宋体" w:cs="宋体"/>
          <w:b/>
          <w:color w:val="auto"/>
          <w:sz w:val="44"/>
          <w:szCs w:val="44"/>
          <w:lang w:val="en-US" w:eastAsia="zh-CN"/>
        </w:rPr>
        <w:t>终稿</w:t>
      </w:r>
      <w:r>
        <w:rPr>
          <w:rFonts w:hint="eastAsia" w:ascii="宋体" w:hAnsi="宋体" w:eastAsia="宋体" w:cs="宋体"/>
          <w:b/>
          <w:color w:val="auto"/>
          <w:sz w:val="44"/>
          <w:szCs w:val="44"/>
        </w:rPr>
        <w:t>）</w:t>
      </w:r>
    </w:p>
    <w:p w14:paraId="6121CF8B">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196C5BEC">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color w:val="auto"/>
        </w:rPr>
      </w:pPr>
      <w:bookmarkStart w:id="192" w:name="_GoBack"/>
      <w:bookmarkEnd w:id="192"/>
    </w:p>
    <w:p w14:paraId="42F77923">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5AEB2401">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1B37B47E">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33736FB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33BADD85">
      <w:pPr>
        <w:keepNext w:val="0"/>
        <w:keepLines w:val="0"/>
        <w:pageBreakBefore w:val="0"/>
        <w:kinsoku/>
        <w:wordWrap/>
        <w:overflowPunct/>
        <w:topLinePunct w:val="0"/>
        <w:autoSpaceDE/>
        <w:autoSpaceDN/>
        <w:bidi w:val="0"/>
        <w:adjustRightInd/>
        <w:snapToGrid/>
        <w:spacing w:line="560" w:lineRule="exact"/>
        <w:ind w:firstLine="0" w:firstLineChars="0"/>
        <w:textAlignment w:val="auto"/>
        <w:rPr>
          <w:color w:val="auto"/>
        </w:rPr>
      </w:pPr>
    </w:p>
    <w:p w14:paraId="7C5DC02B">
      <w:pPr>
        <w:pStyle w:val="29"/>
        <w:keepNext w:val="0"/>
        <w:keepLines w:val="0"/>
        <w:pageBreakBefore w:val="0"/>
        <w:kinsoku/>
        <w:wordWrap/>
        <w:overflowPunct/>
        <w:topLinePunct w:val="0"/>
        <w:autoSpaceDE/>
        <w:autoSpaceDN/>
        <w:bidi w:val="0"/>
        <w:adjustRightInd/>
        <w:snapToGrid/>
        <w:ind w:firstLine="0" w:firstLineChars="0"/>
        <w:textAlignment w:val="auto"/>
        <w:rPr>
          <w:color w:val="auto"/>
        </w:rPr>
      </w:pPr>
    </w:p>
    <w:p w14:paraId="66C2A022">
      <w:pPr>
        <w:keepNext w:val="0"/>
        <w:keepLines w:val="0"/>
        <w:pageBreakBefore w:val="0"/>
        <w:kinsoku/>
        <w:wordWrap/>
        <w:overflowPunct/>
        <w:topLinePunct w:val="0"/>
        <w:autoSpaceDE/>
        <w:autoSpaceDN/>
        <w:bidi w:val="0"/>
        <w:adjustRightInd/>
        <w:snapToGrid/>
        <w:spacing w:line="400" w:lineRule="exact"/>
        <w:ind w:firstLine="0" w:firstLineChars="0"/>
        <w:jc w:val="both"/>
        <w:textAlignment w:val="auto"/>
        <w:rPr>
          <w:rFonts w:hint="eastAsia" w:ascii="宋体" w:hAnsi="宋体" w:cs="宋体"/>
          <w:color w:val="auto"/>
          <w:sz w:val="28"/>
          <w:szCs w:val="28"/>
        </w:rPr>
      </w:pPr>
    </w:p>
    <w:p w14:paraId="7046E53F">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rPr>
        <w:t>法定代表人：</w:t>
      </w:r>
      <w:r>
        <w:rPr>
          <w:rFonts w:hint="eastAsia" w:ascii="宋体" w:hAnsi="宋体" w:cs="宋体"/>
          <w:color w:val="auto"/>
          <w:sz w:val="28"/>
          <w:szCs w:val="28"/>
          <w:lang w:val="en-US" w:eastAsia="zh-CN"/>
        </w:rPr>
        <w:t>应  宏</w:t>
      </w:r>
    </w:p>
    <w:p w14:paraId="25E8B554">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cs="宋体"/>
          <w:color w:val="auto"/>
          <w:sz w:val="28"/>
          <w:szCs w:val="28"/>
        </w:rPr>
      </w:pPr>
    </w:p>
    <w:p w14:paraId="3705AC76">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Cs/>
          <w:color w:val="auto"/>
          <w:sz w:val="28"/>
          <w:szCs w:val="28"/>
          <w:lang w:val="en-US" w:eastAsia="zh-CN"/>
        </w:rPr>
      </w:pPr>
      <w:r>
        <w:rPr>
          <w:rFonts w:hint="eastAsia" w:ascii="宋体" w:hAnsi="宋体" w:cs="宋体"/>
          <w:bCs/>
          <w:color w:val="auto"/>
          <w:sz w:val="28"/>
          <w:szCs w:val="28"/>
        </w:rPr>
        <w:t>技术负责人：</w:t>
      </w:r>
      <w:r>
        <w:rPr>
          <w:rFonts w:hint="eastAsia" w:ascii="宋体" w:hAnsi="宋体" w:cs="宋体"/>
          <w:bCs/>
          <w:color w:val="auto"/>
          <w:sz w:val="28"/>
          <w:szCs w:val="28"/>
          <w:lang w:val="en-US" w:eastAsia="zh-CN"/>
        </w:rPr>
        <w:t>管自强</w:t>
      </w:r>
    </w:p>
    <w:p w14:paraId="669883C3">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cs="宋体"/>
          <w:bCs/>
          <w:color w:val="auto"/>
          <w:sz w:val="28"/>
          <w:szCs w:val="28"/>
        </w:rPr>
      </w:pPr>
    </w:p>
    <w:p w14:paraId="5985D2B9">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Cs/>
          <w:color w:val="auto"/>
          <w:sz w:val="32"/>
          <w:szCs w:val="32"/>
          <w:lang w:val="en-US" w:eastAsia="zh-CN"/>
        </w:rPr>
      </w:pPr>
      <w:r>
        <w:rPr>
          <w:rFonts w:hint="eastAsia" w:ascii="宋体" w:hAnsi="宋体" w:cs="宋体"/>
          <w:bCs/>
          <w:color w:val="auto"/>
          <w:sz w:val="28"/>
          <w:szCs w:val="28"/>
        </w:rPr>
        <w:t>项目负责人：</w:t>
      </w:r>
      <w:r>
        <w:rPr>
          <w:rFonts w:hint="eastAsia" w:ascii="宋体" w:hAnsi="宋体" w:cs="宋体"/>
          <w:bCs/>
          <w:color w:val="auto"/>
          <w:sz w:val="28"/>
          <w:szCs w:val="28"/>
          <w:lang w:val="en-US" w:eastAsia="zh-CN"/>
        </w:rPr>
        <w:t>许玉才</w:t>
      </w:r>
    </w:p>
    <w:p w14:paraId="6A6A12C4">
      <w:pPr>
        <w:pStyle w:val="29"/>
        <w:keepNext w:val="0"/>
        <w:keepLines w:val="0"/>
        <w:pageBreakBefore w:val="0"/>
        <w:kinsoku/>
        <w:wordWrap/>
        <w:overflowPunct/>
        <w:topLinePunct w:val="0"/>
        <w:autoSpaceDE/>
        <w:autoSpaceDN/>
        <w:bidi w:val="0"/>
        <w:adjustRightInd/>
        <w:snapToGrid/>
        <w:ind w:left="0" w:leftChars="0" w:firstLine="0" w:firstLineChars="0"/>
        <w:textAlignment w:val="auto"/>
        <w:rPr>
          <w:rFonts w:hint="eastAsia"/>
          <w:color w:val="auto"/>
        </w:rPr>
      </w:pPr>
    </w:p>
    <w:p w14:paraId="19EC0A73">
      <w:pPr>
        <w:keepNext w:val="0"/>
        <w:keepLines w:val="0"/>
        <w:pageBreakBefore w:val="0"/>
        <w:widowControl w:val="0"/>
        <w:tabs>
          <w:tab w:val="left" w:pos="5325"/>
          <w:tab w:val="center" w:pos="5642"/>
        </w:tabs>
        <w:kinsoku/>
        <w:wordWrap/>
        <w:overflowPunct/>
        <w:topLinePunct w:val="0"/>
        <w:autoSpaceDE/>
        <w:autoSpaceDN/>
        <w:bidi w:val="0"/>
        <w:adjustRightInd/>
        <w:snapToGrid/>
        <w:spacing w:line="540" w:lineRule="exact"/>
        <w:ind w:firstLine="0" w:firstLineChars="0"/>
        <w:jc w:val="center"/>
        <w:textAlignment w:val="auto"/>
        <w:rPr>
          <w:rFonts w:hint="eastAsia" w:ascii="宋体" w:hAnsi="宋体" w:cs="宋体"/>
          <w:b/>
          <w:color w:val="auto"/>
          <w:sz w:val="24"/>
        </w:rPr>
      </w:pPr>
    </w:p>
    <w:p w14:paraId="7ED3889E">
      <w:pPr>
        <w:keepNext w:val="0"/>
        <w:keepLines w:val="0"/>
        <w:pageBreakBefore w:val="0"/>
        <w:widowControl w:val="0"/>
        <w:tabs>
          <w:tab w:val="left" w:pos="5325"/>
          <w:tab w:val="center" w:pos="5642"/>
        </w:tabs>
        <w:kinsoku/>
        <w:wordWrap/>
        <w:overflowPunct/>
        <w:topLinePunct w:val="0"/>
        <w:autoSpaceDE/>
        <w:autoSpaceDN/>
        <w:bidi w:val="0"/>
        <w:adjustRightInd/>
        <w:snapToGrid/>
        <w:spacing w:line="540" w:lineRule="exact"/>
        <w:ind w:firstLine="0" w:firstLineChars="0"/>
        <w:jc w:val="center"/>
        <w:textAlignment w:val="auto"/>
        <w:rPr>
          <w:rFonts w:hint="default" w:ascii="宋体" w:hAnsi="宋体" w:eastAsia="宋体" w:cs="宋体"/>
          <w:b/>
          <w:color w:val="auto"/>
          <w:sz w:val="24"/>
          <w:lang w:val="en-US" w:eastAsia="zh-CN"/>
        </w:rPr>
      </w:pPr>
      <w:r>
        <w:rPr>
          <w:rFonts w:hint="eastAsia" w:ascii="宋体" w:hAnsi="宋体" w:eastAsia="宋体" w:cs="宋体"/>
          <w:b/>
          <w:color w:val="auto"/>
          <w:sz w:val="24"/>
        </w:rPr>
        <w:t>报告完成日期：</w:t>
      </w:r>
      <w:r>
        <w:rPr>
          <w:rFonts w:hint="default" w:ascii="Times New Roman" w:hAnsi="Times New Roman" w:eastAsia="宋体" w:cs="Times New Roman"/>
          <w:b/>
          <w:color w:val="auto"/>
          <w:sz w:val="24"/>
        </w:rPr>
        <w:t>202</w:t>
      </w:r>
      <w:r>
        <w:rPr>
          <w:rFonts w:hint="eastAsia" w:cs="Times New Roman"/>
          <w:b/>
          <w:color w:val="auto"/>
          <w:sz w:val="24"/>
          <w:lang w:val="en-US" w:eastAsia="zh-CN"/>
        </w:rPr>
        <w:t>4</w:t>
      </w:r>
      <w:r>
        <w:rPr>
          <w:rFonts w:hint="default" w:ascii="Times New Roman" w:hAnsi="Times New Roman" w:eastAsia="宋体" w:cs="Times New Roman"/>
          <w:b/>
          <w:color w:val="auto"/>
          <w:sz w:val="24"/>
        </w:rPr>
        <w:t>年</w:t>
      </w:r>
      <w:r>
        <w:rPr>
          <w:rFonts w:hint="eastAsia" w:cs="Times New Roman"/>
          <w:b/>
          <w:color w:val="auto"/>
          <w:sz w:val="24"/>
          <w:lang w:val="en-US" w:eastAsia="zh-CN"/>
        </w:rPr>
        <w:t>3</w:t>
      </w:r>
      <w:r>
        <w:rPr>
          <w:rFonts w:hint="default" w:ascii="Times New Roman" w:hAnsi="Times New Roman" w:eastAsia="宋体" w:cs="Times New Roman"/>
          <w:b/>
          <w:color w:val="auto"/>
          <w:sz w:val="24"/>
        </w:rPr>
        <w:t>月</w:t>
      </w:r>
      <w:r>
        <w:rPr>
          <w:rFonts w:hint="eastAsia" w:cs="Times New Roman"/>
          <w:b/>
          <w:color w:val="auto"/>
          <w:sz w:val="24"/>
          <w:lang w:val="en-US" w:eastAsia="zh-CN"/>
        </w:rPr>
        <w:t>20</w:t>
      </w:r>
      <w:r>
        <w:rPr>
          <w:rFonts w:hint="default" w:ascii="Times New Roman" w:hAnsi="Times New Roman" w:eastAsia="宋体" w:cs="Times New Roman"/>
          <w:b/>
          <w:color w:val="auto"/>
          <w:sz w:val="24"/>
        </w:rPr>
        <w:t>日</w:t>
      </w:r>
    </w:p>
    <w:p w14:paraId="395E008C">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宋体" w:hAnsi="宋体" w:cs="宋体"/>
          <w:color w:val="auto"/>
          <w:kern w:val="0"/>
          <w:sz w:val="30"/>
          <w:szCs w:val="30"/>
          <w:lang w:eastAsia="zh-CN"/>
        </w:rPr>
      </w:pPr>
    </w:p>
    <w:p w14:paraId="774F6C40">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both"/>
        <w:textAlignment w:val="auto"/>
        <w:rPr>
          <w:rFonts w:hint="eastAsia" w:ascii="宋体" w:hAnsi="宋体" w:cs="宋体"/>
          <w:color w:val="auto"/>
          <w:kern w:val="0"/>
          <w:sz w:val="30"/>
          <w:szCs w:val="30"/>
          <w:lang w:eastAsia="zh-CN"/>
        </w:rPr>
      </w:pPr>
    </w:p>
    <w:p w14:paraId="4FCE868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auto"/>
          <w:sz w:val="32"/>
          <w:szCs w:val="32"/>
          <w:lang w:eastAsia="zh-CN"/>
        </w:rPr>
      </w:pPr>
    </w:p>
    <w:p w14:paraId="361DF0F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auto"/>
          <w:sz w:val="32"/>
          <w:szCs w:val="32"/>
          <w:lang w:eastAsia="zh-CN"/>
        </w:rPr>
      </w:pPr>
      <w:r>
        <w:rPr>
          <w:rFonts w:hint="eastAsia" w:ascii="宋体" w:hAnsi="宋体" w:eastAsia="宋体" w:cs="Times New Roman"/>
          <w:b/>
          <w:color w:val="auto"/>
          <w:sz w:val="32"/>
          <w:szCs w:val="32"/>
          <w:lang w:eastAsia="zh-CN"/>
        </w:rPr>
        <w:t>艾坦途（宜春）物流有限公司</w:t>
      </w:r>
    </w:p>
    <w:p w14:paraId="3272D27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auto"/>
          <w:sz w:val="32"/>
          <w:szCs w:val="32"/>
          <w:lang w:eastAsia="zh-CN"/>
        </w:rPr>
      </w:pPr>
      <w:r>
        <w:rPr>
          <w:rFonts w:hint="eastAsia" w:ascii="宋体" w:hAnsi="宋体" w:eastAsia="宋体" w:cs="Times New Roman"/>
          <w:b/>
          <w:color w:val="auto"/>
          <w:sz w:val="32"/>
          <w:szCs w:val="32"/>
          <w:lang w:eastAsia="zh-CN"/>
        </w:rPr>
        <w:t>平面交叉道口工程施工作业</w:t>
      </w:r>
    </w:p>
    <w:p w14:paraId="47E8C27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auto"/>
          <w:sz w:val="32"/>
          <w:szCs w:val="32"/>
          <w:lang w:eastAsia="zh-CN"/>
        </w:rPr>
      </w:pPr>
      <w:r>
        <w:rPr>
          <w:rFonts w:hint="eastAsia" w:ascii="宋体" w:hAnsi="宋体" w:eastAsia="宋体" w:cs="Times New Roman"/>
          <w:b/>
          <w:color w:val="auto"/>
          <w:sz w:val="32"/>
          <w:szCs w:val="32"/>
          <w:lang w:eastAsia="zh-CN"/>
        </w:rPr>
        <w:t>安全评估技术服务承诺书</w:t>
      </w:r>
    </w:p>
    <w:p w14:paraId="73466BB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Times New Roman"/>
          <w:b/>
          <w:color w:val="auto"/>
          <w:sz w:val="32"/>
          <w:szCs w:val="32"/>
          <w:lang w:eastAsia="zh-CN"/>
        </w:rPr>
      </w:pPr>
    </w:p>
    <w:p w14:paraId="61C6DFA6">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sz w:val="32"/>
          <w:szCs w:val="32"/>
        </w:rPr>
      </w:pPr>
      <w:r>
        <w:rPr>
          <w:rFonts w:hint="eastAsia" w:ascii="Times New Roman" w:hAnsi="Times New Roman" w:eastAsia="仿宋" w:cs="宋体"/>
          <w:color w:val="auto"/>
          <w:sz w:val="32"/>
          <w:szCs w:val="32"/>
        </w:rPr>
        <w:t>一、在该项目安全评</w:t>
      </w:r>
      <w:r>
        <w:rPr>
          <w:rFonts w:hint="eastAsia" w:eastAsia="仿宋" w:cs="宋体"/>
          <w:color w:val="auto"/>
          <w:sz w:val="32"/>
          <w:szCs w:val="32"/>
          <w:lang w:val="en-US" w:eastAsia="zh-CN"/>
        </w:rPr>
        <w:t>估</w:t>
      </w:r>
      <w:r>
        <w:rPr>
          <w:rFonts w:hint="eastAsia" w:ascii="Times New Roman" w:hAnsi="Times New Roman" w:eastAsia="仿宋" w:cs="宋体"/>
          <w:color w:val="auto"/>
          <w:sz w:val="32"/>
          <w:szCs w:val="32"/>
        </w:rPr>
        <w:t>活动过程中，我单位严格遵守《安全生产法》及相关法律、法规和标准的要求。</w:t>
      </w:r>
    </w:p>
    <w:p w14:paraId="6AFFD09C">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sz w:val="32"/>
          <w:szCs w:val="32"/>
        </w:rPr>
      </w:pPr>
      <w:r>
        <w:rPr>
          <w:rFonts w:hint="eastAsia" w:ascii="Times New Roman" w:hAnsi="Times New Roman" w:eastAsia="仿宋" w:cs="宋体"/>
          <w:color w:val="auto"/>
          <w:sz w:val="32"/>
          <w:szCs w:val="32"/>
        </w:rPr>
        <w:t>二、在该项目安全评</w:t>
      </w:r>
      <w:r>
        <w:rPr>
          <w:rFonts w:hint="eastAsia" w:eastAsia="仿宋" w:cs="宋体"/>
          <w:color w:val="auto"/>
          <w:sz w:val="32"/>
          <w:szCs w:val="32"/>
          <w:lang w:val="en-US" w:eastAsia="zh-CN"/>
        </w:rPr>
        <w:t>估</w:t>
      </w:r>
      <w:r>
        <w:rPr>
          <w:rFonts w:hint="eastAsia" w:ascii="Times New Roman" w:hAnsi="Times New Roman" w:eastAsia="仿宋" w:cs="宋体"/>
          <w:color w:val="auto"/>
          <w:sz w:val="32"/>
          <w:szCs w:val="32"/>
        </w:rPr>
        <w:t>活动过程中，我单位作为第三方，未受到任何组织和个人的干预和影响，依法独立开展工作，保证了技术服务活动的客观公正性。</w:t>
      </w:r>
    </w:p>
    <w:p w14:paraId="68637216">
      <w:pPr>
        <w:keepNext w:val="0"/>
        <w:keepLines w:val="0"/>
        <w:pageBreakBefore w:val="0"/>
        <w:widowControl/>
        <w:kinsoku/>
        <w:wordWrap w:val="0"/>
        <w:overflowPunct/>
        <w:topLinePunct w:val="0"/>
        <w:autoSpaceDE/>
        <w:autoSpaceDN/>
        <w:bidi w:val="0"/>
        <w:adjustRightInd/>
        <w:snapToGrid/>
        <w:spacing w:line="480" w:lineRule="auto"/>
        <w:ind w:firstLine="640" w:firstLineChars="200"/>
        <w:jc w:val="left"/>
        <w:textAlignment w:val="auto"/>
        <w:rPr>
          <w:rFonts w:hint="eastAsia" w:ascii="Times New Roman" w:hAnsi="Times New Roman" w:eastAsia="仿宋" w:cs="宋体"/>
          <w:color w:val="auto"/>
          <w:sz w:val="32"/>
          <w:szCs w:val="32"/>
        </w:rPr>
      </w:pPr>
      <w:r>
        <w:rPr>
          <w:rFonts w:hint="eastAsia" w:ascii="Times New Roman" w:hAnsi="Times New Roman" w:eastAsia="仿宋" w:cs="宋体"/>
          <w:color w:val="auto"/>
          <w:sz w:val="32"/>
          <w:szCs w:val="32"/>
        </w:rPr>
        <w:t>三、我单位按照实事求是的原则，对该项目进行安全评</w:t>
      </w:r>
      <w:r>
        <w:rPr>
          <w:rFonts w:hint="eastAsia" w:eastAsia="仿宋" w:cs="宋体"/>
          <w:color w:val="auto"/>
          <w:sz w:val="32"/>
          <w:szCs w:val="32"/>
          <w:lang w:val="en-US" w:eastAsia="zh-CN"/>
        </w:rPr>
        <w:t>估</w:t>
      </w:r>
      <w:r>
        <w:rPr>
          <w:rFonts w:hint="eastAsia" w:ascii="Times New Roman" w:hAnsi="Times New Roman" w:eastAsia="仿宋" w:cs="宋体"/>
          <w:color w:val="auto"/>
          <w:sz w:val="32"/>
          <w:szCs w:val="32"/>
        </w:rPr>
        <w:t>，确保出具的报告均真实有效，报告所提出的措施具有针对性、有效性和可行性。</w:t>
      </w:r>
    </w:p>
    <w:p w14:paraId="3958EB2A">
      <w:pPr>
        <w:keepNext w:val="0"/>
        <w:keepLines w:val="0"/>
        <w:pageBreakBefore w:val="0"/>
        <w:widowControl/>
        <w:kinsoku/>
        <w:wordWrap w:val="0"/>
        <w:overflowPunct/>
        <w:topLinePunct w:val="0"/>
        <w:autoSpaceDE/>
        <w:autoSpaceDN/>
        <w:bidi w:val="0"/>
        <w:adjustRightInd/>
        <w:snapToGrid/>
        <w:spacing w:line="480" w:lineRule="auto"/>
        <w:ind w:firstLine="624" w:firstLineChars="200"/>
        <w:jc w:val="left"/>
        <w:textAlignment w:val="auto"/>
        <w:rPr>
          <w:rFonts w:hint="eastAsia" w:ascii="Times New Roman" w:hAnsi="Times New Roman" w:eastAsia="仿宋" w:cs="宋体"/>
          <w:color w:val="auto"/>
          <w:spacing w:val="-4"/>
          <w:sz w:val="32"/>
          <w:szCs w:val="32"/>
        </w:rPr>
      </w:pPr>
      <w:r>
        <w:rPr>
          <w:rFonts w:hint="eastAsia" w:ascii="Times New Roman" w:hAnsi="Times New Roman" w:eastAsia="仿宋" w:cs="宋体"/>
          <w:color w:val="auto"/>
          <w:spacing w:val="-4"/>
          <w:sz w:val="32"/>
          <w:szCs w:val="32"/>
        </w:rPr>
        <w:t>四、我单位对该项目安全评</w:t>
      </w:r>
      <w:r>
        <w:rPr>
          <w:rFonts w:hint="eastAsia" w:eastAsia="仿宋" w:cs="宋体"/>
          <w:color w:val="auto"/>
          <w:spacing w:val="-4"/>
          <w:sz w:val="32"/>
          <w:szCs w:val="32"/>
          <w:lang w:val="en-US" w:eastAsia="zh-CN"/>
        </w:rPr>
        <w:t>估</w:t>
      </w:r>
      <w:r>
        <w:rPr>
          <w:rFonts w:hint="eastAsia" w:ascii="Times New Roman" w:hAnsi="Times New Roman" w:eastAsia="仿宋" w:cs="宋体"/>
          <w:color w:val="auto"/>
          <w:spacing w:val="-4"/>
          <w:sz w:val="32"/>
          <w:szCs w:val="32"/>
        </w:rPr>
        <w:t>报告中结论性内容承担法律责任。</w:t>
      </w:r>
    </w:p>
    <w:p w14:paraId="452D7FF6">
      <w:pPr>
        <w:keepNext w:val="0"/>
        <w:keepLines w:val="0"/>
        <w:pageBreakBefore w:val="0"/>
        <w:widowControl/>
        <w:kinsoku/>
        <w:wordWrap w:val="0"/>
        <w:overflowPunct/>
        <w:topLinePunct w:val="0"/>
        <w:autoSpaceDE/>
        <w:autoSpaceDN/>
        <w:bidi w:val="0"/>
        <w:adjustRightInd/>
        <w:snapToGrid/>
        <w:spacing w:before="100" w:beforeAutospacing="1" w:after="100" w:afterAutospacing="1" w:line="360" w:lineRule="auto"/>
        <w:ind w:left="5918" w:leftChars="228" w:hanging="5280" w:hangingChars="1650"/>
        <w:jc w:val="right"/>
        <w:textAlignment w:val="auto"/>
        <w:rPr>
          <w:rFonts w:hint="default" w:ascii="Times New Roman" w:hAnsi="Times New Roman" w:eastAsia="宋体" w:cs="Times New Roman"/>
          <w:color w:val="auto"/>
          <w:kern w:val="0"/>
          <w:sz w:val="32"/>
          <w:szCs w:val="32"/>
        </w:rPr>
      </w:pPr>
      <w:r>
        <w:rPr>
          <w:rFonts w:hint="default" w:ascii="Times New Roman" w:hAnsi="Times New Roman" w:eastAsia="宋体" w:cs="Times New Roman"/>
          <w:color w:val="auto"/>
          <w:kern w:val="0"/>
          <w:sz w:val="32"/>
          <w:szCs w:val="32"/>
        </w:rPr>
        <w:t>江西赣安安全生产科学技术咨询服务中心</w:t>
      </w:r>
    </w:p>
    <w:p w14:paraId="25F6D414">
      <w:pPr>
        <w:keepNext w:val="0"/>
        <w:keepLines w:val="0"/>
        <w:pageBreakBefore w:val="0"/>
        <w:kinsoku/>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0"/>
          <w:sz w:val="32"/>
          <w:szCs w:val="32"/>
        </w:rPr>
        <w:t xml:space="preserve">            </w:t>
      </w:r>
      <w:r>
        <w:rPr>
          <w:rFonts w:hint="default" w:ascii="Times New Roman" w:hAnsi="Times New Roman" w:eastAsia="宋体" w:cs="Times New Roman"/>
          <w:color w:val="auto"/>
          <w:kern w:val="0"/>
          <w:sz w:val="32"/>
          <w:szCs w:val="32"/>
          <w:lang w:val="en-US" w:eastAsia="zh-CN"/>
        </w:rPr>
        <w:t xml:space="preserve">                     </w:t>
      </w:r>
      <w:r>
        <w:rPr>
          <w:rFonts w:hint="default" w:ascii="Times New Roman" w:hAnsi="Times New Roman" w:eastAsia="宋体" w:cs="Times New Roman"/>
          <w:color w:val="auto"/>
          <w:kern w:val="0"/>
          <w:sz w:val="32"/>
          <w:szCs w:val="32"/>
        </w:rPr>
        <w:t>202</w:t>
      </w:r>
      <w:r>
        <w:rPr>
          <w:rFonts w:hint="eastAsia" w:cs="Times New Roman"/>
          <w:color w:val="auto"/>
          <w:kern w:val="0"/>
          <w:sz w:val="32"/>
          <w:szCs w:val="32"/>
          <w:lang w:val="en-US" w:eastAsia="zh-CN"/>
        </w:rPr>
        <w:t>4</w:t>
      </w:r>
      <w:r>
        <w:rPr>
          <w:rFonts w:hint="default" w:ascii="Times New Roman" w:hAnsi="Times New Roman" w:eastAsia="宋体" w:cs="Times New Roman"/>
          <w:color w:val="auto"/>
          <w:kern w:val="0"/>
          <w:sz w:val="32"/>
          <w:szCs w:val="32"/>
        </w:rPr>
        <w:t>年</w:t>
      </w:r>
      <w:r>
        <w:rPr>
          <w:rFonts w:hint="eastAsia" w:cs="Times New Roman"/>
          <w:color w:val="auto"/>
          <w:kern w:val="0"/>
          <w:sz w:val="32"/>
          <w:szCs w:val="32"/>
          <w:lang w:val="en-US" w:eastAsia="zh-CN"/>
        </w:rPr>
        <w:t>3</w:t>
      </w:r>
      <w:r>
        <w:rPr>
          <w:rFonts w:hint="default" w:ascii="Times New Roman" w:hAnsi="Times New Roman" w:eastAsia="宋体" w:cs="Times New Roman"/>
          <w:color w:val="auto"/>
          <w:kern w:val="0"/>
          <w:sz w:val="32"/>
          <w:szCs w:val="32"/>
        </w:rPr>
        <w:t>月</w:t>
      </w:r>
      <w:r>
        <w:rPr>
          <w:rFonts w:hint="eastAsia" w:cs="Times New Roman"/>
          <w:color w:val="auto"/>
          <w:kern w:val="0"/>
          <w:sz w:val="32"/>
          <w:szCs w:val="32"/>
          <w:lang w:val="en-US" w:eastAsia="zh-CN"/>
        </w:rPr>
        <w:t>20</w:t>
      </w:r>
      <w:r>
        <w:rPr>
          <w:rFonts w:hint="default" w:ascii="Times New Roman" w:hAnsi="Times New Roman" w:eastAsia="宋体" w:cs="Times New Roman"/>
          <w:color w:val="auto"/>
          <w:kern w:val="0"/>
          <w:sz w:val="32"/>
          <w:szCs w:val="32"/>
        </w:rPr>
        <w:t>日</w:t>
      </w:r>
    </w:p>
    <w:p w14:paraId="1C81E64B">
      <w:pPr>
        <w:ind w:left="0" w:leftChars="0" w:firstLine="0" w:firstLineChars="0"/>
        <w:rPr>
          <w:rFonts w:hint="default" w:ascii="Times New Roman" w:hAnsi="Times New Roman" w:cs="Times New Roman"/>
          <w:color w:val="auto"/>
        </w:rPr>
      </w:pPr>
    </w:p>
    <w:p w14:paraId="3EBDDF53">
      <w:pPr>
        <w:ind w:left="0" w:leftChars="0" w:firstLine="0" w:firstLineChars="0"/>
        <w:rPr>
          <w:rFonts w:hint="default" w:ascii="Times New Roman" w:hAnsi="Times New Roman" w:cs="Times New Roman"/>
          <w:color w:val="auto"/>
        </w:rPr>
      </w:pPr>
    </w:p>
    <w:p w14:paraId="3701CD63">
      <w:pPr>
        <w:bidi w:val="0"/>
        <w:ind w:firstLine="560"/>
        <w:jc w:val="center"/>
        <w:rPr>
          <w:rFonts w:hint="eastAsia" w:ascii="Times New Roman" w:hAnsi="Times New Roman" w:eastAsia="宋体"/>
          <w:color w:val="auto"/>
          <w:kern w:val="0"/>
          <w:sz w:val="32"/>
          <w:szCs w:val="32"/>
        </w:rPr>
      </w:pPr>
    </w:p>
    <w:p w14:paraId="29FAE40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4194D9F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77F321E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63308A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4216FD6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4FA30D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olor w:val="auto"/>
          <w:kern w:val="0"/>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22D55C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305E9EF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50DB771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2C234CF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90F08CB">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olor w:val="auto"/>
          <w:kern w:val="0"/>
          <w:szCs w:val="28"/>
        </w:rPr>
      </w:pPr>
      <w:r>
        <w:rPr>
          <w:rFonts w:ascii="Times New Roman" w:hAnsi="Times New Roman" w:eastAsia="宋体"/>
          <w:color w:val="auto"/>
          <w:kern w:val="0"/>
          <w:szCs w:val="28"/>
        </w:rPr>
        <w:t>九、禁止安全生产监管部门及其工作人员参与、擅自干预中介机构从业活动，或者有获取不正当利益的行为。</w:t>
      </w:r>
    </w:p>
    <w:p w14:paraId="4707A812">
      <w:pPr>
        <w:ind w:left="0" w:leftChars="0" w:firstLine="0" w:firstLineChars="0"/>
        <w:rPr>
          <w:rFonts w:hint="default" w:ascii="Times New Roman" w:hAnsi="Times New Roman" w:cs="Times New Roman"/>
          <w:color w:val="auto"/>
        </w:rPr>
      </w:pPr>
      <w:r>
        <w:rPr>
          <w:rFonts w:ascii="Times New Roman" w:hAnsi="Times New Roman" w:eastAsia="宋体"/>
          <w:color w:val="auto"/>
          <w:kern w:val="0"/>
          <w:szCs w:val="28"/>
        </w:rPr>
        <w:br w:type="page"/>
      </w:r>
    </w:p>
    <w:p w14:paraId="4A14ECD4">
      <w:pPr>
        <w:keepNext w:val="0"/>
        <w:keepLines w:val="0"/>
        <w:pageBreakBefore w:val="0"/>
        <w:kinsoku/>
        <w:wordWrap/>
        <w:overflowPunct/>
        <w:topLinePunct w:val="0"/>
        <w:autoSpaceDE/>
        <w:autoSpaceDN/>
        <w:bidi w:val="0"/>
        <w:adjustRightInd/>
        <w:snapToGrid/>
        <w:spacing w:line="440" w:lineRule="exact"/>
        <w:ind w:firstLine="0" w:firstLineChars="0"/>
        <w:jc w:val="center"/>
        <w:textAlignment w:val="auto"/>
        <w:rPr>
          <w:rFonts w:ascii="Times New Roman" w:hAnsi="Times New Roman" w:eastAsia="黑体"/>
          <w:b/>
          <w:color w:val="auto"/>
          <w:sz w:val="32"/>
          <w:szCs w:val="32"/>
        </w:rPr>
      </w:pPr>
    </w:p>
    <w:p w14:paraId="381DC8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b/>
          <w:color w:val="auto"/>
          <w:sz w:val="32"/>
          <w:szCs w:val="32"/>
        </w:rPr>
      </w:pPr>
      <w:r>
        <w:rPr>
          <w:rFonts w:ascii="Times New Roman" w:hAnsi="Times New Roman" w:eastAsia="黑体"/>
          <w:b/>
          <w:color w:val="auto"/>
          <w:sz w:val="32"/>
          <w:szCs w:val="32"/>
        </w:rPr>
        <w:t xml:space="preserve">评 </w:t>
      </w:r>
      <w:r>
        <w:rPr>
          <w:rFonts w:hint="eastAsia" w:ascii="Times New Roman" w:hAnsi="Times New Roman" w:eastAsia="黑体"/>
          <w:b/>
          <w:color w:val="auto"/>
          <w:sz w:val="32"/>
          <w:szCs w:val="32"/>
        </w:rPr>
        <w:t>估</w:t>
      </w:r>
      <w:r>
        <w:rPr>
          <w:rFonts w:ascii="Times New Roman" w:hAnsi="Times New Roman" w:eastAsia="黑体"/>
          <w:b/>
          <w:color w:val="auto"/>
          <w:sz w:val="32"/>
          <w:szCs w:val="32"/>
        </w:rPr>
        <w:t xml:space="preserve"> 人 员</w:t>
      </w:r>
    </w:p>
    <w:p w14:paraId="695A5E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b/>
          <w:color w:val="auto"/>
          <w:sz w:val="32"/>
          <w:szCs w:val="32"/>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1301"/>
        <w:gridCol w:w="3044"/>
        <w:gridCol w:w="1577"/>
        <w:gridCol w:w="1312"/>
      </w:tblGrid>
      <w:tr w14:paraId="27A3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jc w:val="center"/>
        </w:trPr>
        <w:tc>
          <w:tcPr>
            <w:tcW w:w="1964" w:type="dxa"/>
            <w:tcBorders>
              <w:top w:val="single" w:color="auto" w:sz="4" w:space="0"/>
              <w:left w:val="single" w:color="auto" w:sz="4" w:space="0"/>
              <w:bottom w:val="single" w:color="auto" w:sz="4" w:space="0"/>
              <w:right w:val="single" w:color="auto" w:sz="4" w:space="0"/>
            </w:tcBorders>
            <w:noWrap w:val="0"/>
            <w:vAlign w:val="center"/>
          </w:tcPr>
          <w:p w14:paraId="2CED82B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301" w:type="dxa"/>
            <w:tcBorders>
              <w:top w:val="single" w:color="auto" w:sz="4" w:space="0"/>
              <w:left w:val="single" w:color="auto" w:sz="4" w:space="0"/>
              <w:bottom w:val="single" w:color="auto" w:sz="4" w:space="0"/>
              <w:right w:val="single" w:color="auto" w:sz="4" w:space="0"/>
            </w:tcBorders>
            <w:noWrap w:val="0"/>
            <w:vAlign w:val="center"/>
          </w:tcPr>
          <w:p w14:paraId="5EB253C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姓  名</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2494D8F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证书编号</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07AB4A7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从业登记号</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7400708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签字</w:t>
            </w:r>
          </w:p>
        </w:tc>
      </w:tr>
      <w:tr w14:paraId="099E1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1964" w:type="dxa"/>
            <w:tcBorders>
              <w:top w:val="single" w:color="auto" w:sz="4" w:space="0"/>
              <w:left w:val="single" w:color="auto" w:sz="4" w:space="0"/>
              <w:bottom w:val="single" w:color="auto" w:sz="4" w:space="0"/>
              <w:right w:val="single" w:color="auto" w:sz="4" w:space="0"/>
            </w:tcBorders>
            <w:noWrap w:val="0"/>
            <w:vAlign w:val="center"/>
          </w:tcPr>
          <w:p w14:paraId="4F051FD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项目负责人</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42BCB7C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许玉才</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17BCC94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w:t>
            </w:r>
            <w:r>
              <w:rPr>
                <w:rFonts w:hint="eastAsia" w:cs="Times New Roman"/>
                <w:color w:val="auto"/>
                <w:sz w:val="24"/>
                <w:lang w:eastAsia="zh-CN"/>
              </w:rPr>
              <w:t>05350535</w:t>
            </w:r>
            <w:r>
              <w:rPr>
                <w:rFonts w:hint="default" w:ascii="Times New Roman" w:hAnsi="Times New Roman" w:eastAsia="宋体" w:cs="Times New Roman"/>
                <w:color w:val="auto"/>
                <w:sz w:val="24"/>
              </w:rPr>
              <w:t>200658</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343ABD2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033460</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2CA34F5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69D7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1964" w:type="dxa"/>
            <w:vMerge w:val="restart"/>
            <w:tcBorders>
              <w:left w:val="single" w:color="auto" w:sz="4" w:space="0"/>
              <w:right w:val="single" w:color="auto" w:sz="4" w:space="0"/>
            </w:tcBorders>
            <w:noWrap w:val="0"/>
            <w:vAlign w:val="center"/>
          </w:tcPr>
          <w:p w14:paraId="5E626FD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ascii="Times New Roman" w:hAnsi="Times New Roman" w:eastAsia="宋体" w:cs="Times New Roman"/>
                <w:color w:val="auto"/>
                <w:kern w:val="2"/>
                <w:sz w:val="24"/>
                <w:szCs w:val="24"/>
              </w:rPr>
              <w:t>项目组成员</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F0BDA4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郑  强</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1BCD082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08</w:t>
            </w:r>
            <w:r>
              <w:rPr>
                <w:rFonts w:hint="eastAsia" w:cs="Times New Roman"/>
                <w:color w:val="auto"/>
                <w:sz w:val="24"/>
                <w:lang w:eastAsia="zh-CN"/>
              </w:rPr>
              <w:t>05350535</w:t>
            </w:r>
            <w:r>
              <w:rPr>
                <w:rFonts w:hint="default" w:ascii="Times New Roman" w:hAnsi="Times New Roman" w:eastAsia="宋体" w:cs="Times New Roman"/>
                <w:color w:val="auto"/>
                <w:sz w:val="24"/>
              </w:rPr>
              <w:t>101605</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15AB1F6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001851</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4102AC3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25B87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jc w:val="center"/>
        </w:trPr>
        <w:tc>
          <w:tcPr>
            <w:tcW w:w="1964" w:type="dxa"/>
            <w:vMerge w:val="continue"/>
            <w:tcBorders>
              <w:left w:val="single" w:color="auto" w:sz="4" w:space="0"/>
              <w:right w:val="single" w:color="auto" w:sz="4" w:space="0"/>
            </w:tcBorders>
            <w:noWrap w:val="0"/>
            <w:vAlign w:val="center"/>
          </w:tcPr>
          <w:p w14:paraId="2B3EDAD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130729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黄伯扬</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101DCB4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CAWS35</w:t>
            </w:r>
            <w:r>
              <w:rPr>
                <w:rFonts w:hint="eastAsia" w:cs="Times New Roman"/>
                <w:color w:val="auto"/>
                <w:sz w:val="24"/>
                <w:lang w:val="en-US" w:eastAsia="zh-CN"/>
              </w:rPr>
              <w:t>0535</w:t>
            </w:r>
            <w:r>
              <w:rPr>
                <w:rFonts w:hint="default" w:ascii="Times New Roman" w:hAnsi="Times New Roman" w:eastAsia="宋体" w:cs="Times New Roman"/>
                <w:color w:val="auto"/>
                <w:sz w:val="24"/>
                <w:lang w:val="en-US" w:eastAsia="zh-CN"/>
              </w:rPr>
              <w:t>230200232</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246469D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032737</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669CCB8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29A6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1964" w:type="dxa"/>
            <w:vMerge w:val="continue"/>
            <w:tcBorders>
              <w:left w:val="single" w:color="auto" w:sz="4" w:space="0"/>
              <w:right w:val="single" w:color="auto" w:sz="4" w:space="0"/>
            </w:tcBorders>
            <w:noWrap w:val="0"/>
            <w:vAlign w:val="center"/>
          </w:tcPr>
          <w:p w14:paraId="18BDEBC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153E21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许玉才</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220245C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18</w:t>
            </w:r>
            <w:r>
              <w:rPr>
                <w:rFonts w:hint="eastAsia" w:cs="Times New Roman"/>
                <w:color w:val="auto"/>
                <w:sz w:val="24"/>
                <w:lang w:eastAsia="zh-CN"/>
              </w:rPr>
              <w:t>05350535</w:t>
            </w:r>
            <w:r>
              <w:rPr>
                <w:rFonts w:hint="default" w:ascii="Times New Roman" w:hAnsi="Times New Roman" w:eastAsia="宋体" w:cs="Times New Roman"/>
                <w:color w:val="auto"/>
                <w:sz w:val="24"/>
              </w:rPr>
              <w:t>200658</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1C08F8C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rPr>
              <w:t>033460</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7F0087D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55A8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exact"/>
          <w:jc w:val="center"/>
        </w:trPr>
        <w:tc>
          <w:tcPr>
            <w:tcW w:w="1964" w:type="dxa"/>
            <w:tcBorders>
              <w:top w:val="single" w:color="auto" w:sz="4" w:space="0"/>
              <w:left w:val="single" w:color="auto" w:sz="4" w:space="0"/>
              <w:right w:val="single" w:color="auto" w:sz="4" w:space="0"/>
            </w:tcBorders>
            <w:noWrap w:val="0"/>
            <w:vAlign w:val="center"/>
          </w:tcPr>
          <w:p w14:paraId="4BA6138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报告编制人</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7FD7CB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黄伯扬</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5CB7E7B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CAWS35</w:t>
            </w:r>
            <w:r>
              <w:rPr>
                <w:rFonts w:hint="eastAsia" w:cs="Times New Roman"/>
                <w:color w:val="auto"/>
                <w:sz w:val="24"/>
                <w:lang w:val="en-US" w:eastAsia="zh-CN"/>
              </w:rPr>
              <w:t>0535</w:t>
            </w:r>
            <w:r>
              <w:rPr>
                <w:rFonts w:hint="default" w:ascii="Times New Roman" w:hAnsi="Times New Roman" w:eastAsia="宋体" w:cs="Times New Roman"/>
                <w:color w:val="auto"/>
                <w:sz w:val="24"/>
                <w:lang w:val="en-US" w:eastAsia="zh-CN"/>
              </w:rPr>
              <w:t>230200232</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367DCFC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032737</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26C72F2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123D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1964" w:type="dxa"/>
            <w:tcBorders>
              <w:top w:val="single" w:color="auto" w:sz="4" w:space="0"/>
              <w:left w:val="single" w:color="auto" w:sz="4" w:space="0"/>
              <w:bottom w:val="single" w:color="auto" w:sz="4" w:space="0"/>
              <w:right w:val="single" w:color="auto" w:sz="4" w:space="0"/>
            </w:tcBorders>
            <w:noWrap w:val="0"/>
            <w:vAlign w:val="center"/>
          </w:tcPr>
          <w:p w14:paraId="7F17652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报告审核人</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2D48BC5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李强</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0A5DB15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08</w:t>
            </w:r>
            <w:r>
              <w:rPr>
                <w:rFonts w:hint="eastAsia" w:cs="Times New Roman"/>
                <w:color w:val="auto"/>
                <w:sz w:val="24"/>
                <w:lang w:val="en-US" w:eastAsia="zh-CN"/>
              </w:rPr>
              <w:t>05350535</w:t>
            </w:r>
            <w:r>
              <w:rPr>
                <w:rFonts w:hint="default" w:ascii="Times New Roman" w:hAnsi="Times New Roman" w:cs="Times New Roman"/>
                <w:color w:val="auto"/>
                <w:sz w:val="24"/>
                <w:lang w:val="en-US" w:eastAsia="zh-CN"/>
              </w:rPr>
              <w:t>204055</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1DC2F35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007079</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6A12FF9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002AF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jc w:val="center"/>
        </w:trPr>
        <w:tc>
          <w:tcPr>
            <w:tcW w:w="1964" w:type="dxa"/>
            <w:tcBorders>
              <w:top w:val="single" w:color="auto" w:sz="4" w:space="0"/>
              <w:left w:val="single" w:color="auto" w:sz="4" w:space="0"/>
              <w:bottom w:val="single" w:color="auto" w:sz="4" w:space="0"/>
              <w:right w:val="single" w:color="auto" w:sz="4" w:space="0"/>
            </w:tcBorders>
            <w:noWrap w:val="0"/>
            <w:vAlign w:val="center"/>
          </w:tcPr>
          <w:p w14:paraId="2E6CDCF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过程控制负责</w:t>
            </w:r>
            <w:r>
              <w:rPr>
                <w:rFonts w:hint="eastAsia" w:ascii="Times New Roman" w:hAnsi="Times New Roman" w:cs="Times New Roman"/>
                <w:color w:val="auto"/>
                <w:sz w:val="24"/>
                <w:lang w:val="en-US" w:eastAsia="zh-CN"/>
              </w:rPr>
              <w:t>人</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3DD66E22">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檀廷斌</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69EF1FA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16</w:t>
            </w:r>
            <w:r>
              <w:rPr>
                <w:rFonts w:hint="eastAsia" w:cs="Times New Roman"/>
                <w:color w:val="auto"/>
                <w:sz w:val="24"/>
                <w:lang w:eastAsia="zh-CN"/>
              </w:rPr>
              <w:t>05350535</w:t>
            </w:r>
            <w:r>
              <w:rPr>
                <w:rFonts w:hint="default" w:ascii="Times New Roman" w:hAnsi="Times New Roman" w:eastAsia="宋体" w:cs="Times New Roman"/>
                <w:color w:val="auto"/>
                <w:sz w:val="24"/>
              </w:rPr>
              <w:t>200717</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5254C4A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029648</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592126C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p>
        </w:tc>
      </w:tr>
      <w:tr w14:paraId="6E674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jc w:val="center"/>
        </w:trPr>
        <w:tc>
          <w:tcPr>
            <w:tcW w:w="1964" w:type="dxa"/>
            <w:tcBorders>
              <w:top w:val="single" w:color="auto" w:sz="4" w:space="0"/>
              <w:left w:val="single" w:color="auto" w:sz="4" w:space="0"/>
              <w:bottom w:val="single" w:color="auto" w:sz="4" w:space="0"/>
              <w:right w:val="single" w:color="auto" w:sz="4" w:space="0"/>
            </w:tcBorders>
            <w:noWrap w:val="0"/>
            <w:vAlign w:val="center"/>
          </w:tcPr>
          <w:p w14:paraId="42B0FD4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技术负责人</w:t>
            </w:r>
          </w:p>
        </w:tc>
        <w:tc>
          <w:tcPr>
            <w:tcW w:w="1301" w:type="dxa"/>
            <w:tcBorders>
              <w:top w:val="single" w:color="auto" w:sz="4" w:space="0"/>
              <w:left w:val="single" w:color="auto" w:sz="4" w:space="0"/>
              <w:bottom w:val="single" w:color="auto" w:sz="4" w:space="0"/>
              <w:right w:val="single" w:color="auto" w:sz="4" w:space="0"/>
            </w:tcBorders>
            <w:noWrap w:val="0"/>
            <w:vAlign w:val="center"/>
          </w:tcPr>
          <w:p w14:paraId="04F972D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管自强</w:t>
            </w:r>
          </w:p>
        </w:tc>
        <w:tc>
          <w:tcPr>
            <w:tcW w:w="3044" w:type="dxa"/>
            <w:tcBorders>
              <w:top w:val="single" w:color="auto" w:sz="4" w:space="0"/>
              <w:left w:val="single" w:color="auto" w:sz="4" w:space="0"/>
              <w:bottom w:val="single" w:color="auto" w:sz="4" w:space="0"/>
              <w:right w:val="single" w:color="auto" w:sz="4" w:space="0"/>
            </w:tcBorders>
            <w:noWrap w:val="0"/>
            <w:vAlign w:val="center"/>
          </w:tcPr>
          <w:p w14:paraId="59C5FCD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S011035000110191000614</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7E4F8F4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020516</w:t>
            </w:r>
          </w:p>
        </w:tc>
        <w:tc>
          <w:tcPr>
            <w:tcW w:w="1312" w:type="dxa"/>
            <w:tcBorders>
              <w:top w:val="single" w:color="auto" w:sz="4" w:space="0"/>
              <w:left w:val="single" w:color="auto" w:sz="4" w:space="0"/>
              <w:bottom w:val="single" w:color="auto" w:sz="4" w:space="0"/>
              <w:right w:val="single" w:color="auto" w:sz="4" w:space="0"/>
            </w:tcBorders>
            <w:noWrap w:val="0"/>
            <w:vAlign w:val="center"/>
          </w:tcPr>
          <w:p w14:paraId="410FB7A8">
            <w:pPr>
              <w:spacing w:line="240" w:lineRule="auto"/>
              <w:ind w:firstLine="0" w:firstLineChars="0"/>
              <w:jc w:val="center"/>
              <w:rPr>
                <w:rFonts w:hint="default" w:ascii="Times New Roman" w:hAnsi="Times New Roman" w:eastAsia="宋体" w:cs="Times New Roman"/>
                <w:color w:val="auto"/>
                <w:sz w:val="24"/>
              </w:rPr>
            </w:pPr>
          </w:p>
        </w:tc>
      </w:tr>
    </w:tbl>
    <w:p w14:paraId="0264B15B">
      <w:pPr>
        <w:spacing w:before="234" w:beforeLines="75" w:after="234" w:afterLines="75" w:line="560" w:lineRule="exact"/>
        <w:ind w:firstLine="0" w:firstLineChars="0"/>
        <w:jc w:val="center"/>
        <w:rPr>
          <w:rFonts w:hint="eastAsia" w:ascii="宋体" w:hAnsi="宋体" w:eastAsia="宋体"/>
          <w:b/>
          <w:color w:val="auto"/>
          <w:sz w:val="36"/>
          <w:szCs w:val="36"/>
          <w:lang w:val="en-US" w:eastAsia="zh-CN"/>
        </w:rPr>
      </w:pPr>
    </w:p>
    <w:p w14:paraId="70AFEF10">
      <w:pPr>
        <w:ind w:left="0" w:leftChars="0" w:firstLine="0" w:firstLineChars="0"/>
        <w:jc w:val="center"/>
        <w:rPr>
          <w:rFonts w:hint="eastAsia" w:ascii="Times New Roman" w:hAnsi="Times New Roman" w:eastAsia="宋体"/>
          <w:b/>
          <w:bCs/>
          <w:color w:val="auto"/>
          <w:kern w:val="44"/>
          <w:sz w:val="32"/>
          <w:szCs w:val="32"/>
          <w:lang w:val="en-US" w:eastAsia="zh-CN" w:bidi="ar-SA"/>
        </w:rPr>
      </w:pPr>
      <w:r>
        <w:rPr>
          <w:rFonts w:ascii="Times New Roman" w:hAnsi="Times New Roman" w:eastAsia="宋体"/>
          <w:bCs/>
          <w:color w:val="auto"/>
          <w:kern w:val="2"/>
          <w:sz w:val="36"/>
          <w:szCs w:val="36"/>
          <w:lang w:val="en-US" w:eastAsia="zh-CN"/>
        </w:rPr>
        <w:br w:type="page"/>
      </w:r>
      <w:bookmarkStart w:id="0" w:name="_Toc16191"/>
      <w:bookmarkStart w:id="1" w:name="_Toc9314"/>
      <w:bookmarkStart w:id="2" w:name="_Toc2530"/>
      <w:r>
        <w:rPr>
          <w:rFonts w:hint="eastAsia" w:ascii="Times New Roman" w:hAnsi="Times New Roman" w:eastAsia="宋体"/>
          <w:b/>
          <w:bCs/>
          <w:color w:val="auto"/>
          <w:kern w:val="44"/>
          <w:sz w:val="32"/>
          <w:szCs w:val="32"/>
          <w:lang w:val="en-US" w:eastAsia="zh-CN" w:bidi="ar-SA"/>
        </w:rPr>
        <w:t xml:space="preserve">前 </w:t>
      </w:r>
      <w:r>
        <w:rPr>
          <w:rFonts w:hint="eastAsia"/>
          <w:b/>
          <w:bCs/>
          <w:color w:val="auto"/>
          <w:kern w:val="44"/>
          <w:sz w:val="32"/>
          <w:szCs w:val="32"/>
          <w:lang w:val="en-US" w:eastAsia="zh-CN" w:bidi="ar-SA"/>
        </w:rPr>
        <w:t xml:space="preserve"> </w:t>
      </w:r>
      <w:r>
        <w:rPr>
          <w:rFonts w:hint="eastAsia" w:ascii="Times New Roman" w:hAnsi="Times New Roman" w:eastAsia="宋体"/>
          <w:b/>
          <w:bCs/>
          <w:color w:val="auto"/>
          <w:kern w:val="44"/>
          <w:sz w:val="32"/>
          <w:szCs w:val="32"/>
          <w:lang w:val="en-US" w:eastAsia="zh-CN" w:bidi="ar-SA"/>
        </w:rPr>
        <w:t xml:space="preserve"> 言</w:t>
      </w:r>
      <w:bookmarkEnd w:id="0"/>
      <w:bookmarkEnd w:id="1"/>
      <w:bookmarkEnd w:id="2"/>
    </w:p>
    <w:p w14:paraId="5BB332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color w:val="auto"/>
          <w:lang w:val="en-US" w:eastAsia="zh-CN"/>
        </w:rPr>
        <w:t>艾坦途（宜春）物流有限公司地址位于江西省宜春市宜丰县澄塘镇桥下村。为方便车辆进出停车场，该公司拟建设平面交叉道口工程，停车场进出站道路与G354国道的搭接工程路面做法为：垫层为20cm厚极配碎石，基层为40cm厚水泥稳定碎石，面层为5cm厚的沥青混凝土路面。</w:t>
      </w:r>
    </w:p>
    <w:p w14:paraId="64F02FC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本报告评估对象为</w:t>
      </w:r>
      <w:r>
        <w:rPr>
          <w:rFonts w:hint="eastAsia"/>
          <w:color w:val="auto"/>
          <w:lang w:val="en-US" w:eastAsia="zh-CN"/>
        </w:rPr>
        <w:t>艾坦途（宜春）物流有限公司</w:t>
      </w:r>
      <w:r>
        <w:rPr>
          <w:rFonts w:hint="default"/>
          <w:color w:val="auto"/>
          <w:lang w:val="en-US" w:eastAsia="zh-CN"/>
        </w:rPr>
        <w:t>平面交叉道口工程施工作业。评估范围</w:t>
      </w:r>
      <w:r>
        <w:rPr>
          <w:rFonts w:hint="eastAsia"/>
          <w:color w:val="auto"/>
          <w:lang w:val="en-US" w:eastAsia="zh-CN"/>
        </w:rPr>
        <w:t>为</w:t>
      </w:r>
      <w:r>
        <w:rPr>
          <w:rFonts w:hint="default"/>
          <w:color w:val="auto"/>
          <w:lang w:val="en-US" w:eastAsia="zh-CN"/>
        </w:rPr>
        <w:t>平面交叉道口工程施工作业过程存在的危险有害因素及施工阶段对G354国道运行的影响。</w:t>
      </w:r>
    </w:p>
    <w:p w14:paraId="61A54D5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受</w:t>
      </w:r>
      <w:r>
        <w:rPr>
          <w:rFonts w:hint="eastAsia"/>
          <w:color w:val="auto"/>
          <w:lang w:val="en-US" w:eastAsia="zh-CN"/>
        </w:rPr>
        <w:t>艾坦途（宜春）物流有限公司</w:t>
      </w:r>
      <w:r>
        <w:rPr>
          <w:rFonts w:hint="default"/>
          <w:color w:val="auto"/>
          <w:lang w:val="en-US" w:eastAsia="zh-CN"/>
        </w:rPr>
        <w:t>委托，我中心按照相关法律法规中的条款要求，以本工程施工方案为基础，于202</w:t>
      </w:r>
      <w:r>
        <w:rPr>
          <w:rFonts w:hint="eastAsia"/>
          <w:color w:val="auto"/>
          <w:lang w:val="en-US" w:eastAsia="zh-CN"/>
        </w:rPr>
        <w:t>4</w:t>
      </w:r>
      <w:r>
        <w:rPr>
          <w:rFonts w:hint="default"/>
          <w:color w:val="auto"/>
          <w:lang w:val="en-US" w:eastAsia="zh-CN"/>
        </w:rPr>
        <w:t>年</w:t>
      </w:r>
      <w:r>
        <w:rPr>
          <w:rFonts w:hint="eastAsia"/>
          <w:color w:val="auto"/>
          <w:lang w:val="en-US" w:eastAsia="zh-CN"/>
        </w:rPr>
        <w:t>3</w:t>
      </w:r>
      <w:r>
        <w:rPr>
          <w:rFonts w:hint="default"/>
          <w:color w:val="auto"/>
          <w:lang w:val="en-US" w:eastAsia="zh-CN"/>
        </w:rPr>
        <w:t>月成立了专项评估小组，并勘察了平面交叉道口工程施工</w:t>
      </w:r>
      <w:r>
        <w:rPr>
          <w:rFonts w:hint="eastAsia"/>
          <w:color w:val="auto"/>
          <w:lang w:val="en-US" w:eastAsia="zh-CN"/>
        </w:rPr>
        <w:t>作业</w:t>
      </w:r>
      <w:r>
        <w:rPr>
          <w:rFonts w:hint="default"/>
          <w:color w:val="auto"/>
          <w:lang w:val="en-US" w:eastAsia="zh-CN"/>
        </w:rPr>
        <w:t>现场。</w:t>
      </w:r>
    </w:p>
    <w:p w14:paraId="5193C17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评估小组根据《中华人民共和国公路法》、《公路安全保护条列》等规定，参照《安全评价通则》（AQ8001-2007）、《安全预评价导则》（AQ8002-2007）等相关要求，针对本工程平面交叉道口工程施工作业安全方面进行了整体评估，并正确作出了相应的风险评估结论，编制完成本安全评估报告。</w:t>
      </w:r>
    </w:p>
    <w:p w14:paraId="0DB6323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在评估过程中得到了</w:t>
      </w:r>
      <w:r>
        <w:rPr>
          <w:rFonts w:hint="eastAsia"/>
          <w:color w:val="auto"/>
          <w:lang w:val="en-US" w:eastAsia="zh-CN"/>
        </w:rPr>
        <w:t>艾坦途（宜春）物流有限公司</w:t>
      </w:r>
      <w:r>
        <w:rPr>
          <w:rFonts w:hint="default"/>
          <w:color w:val="auto"/>
          <w:lang w:val="en-US" w:eastAsia="zh-CN"/>
        </w:rPr>
        <w:t>和相关部门的大力协助和支持，在此表示衷心感谢。</w:t>
      </w:r>
    </w:p>
    <w:p w14:paraId="4C186EF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color w:val="auto"/>
          <w:lang w:val="en-US" w:eastAsia="zh-CN"/>
        </w:rPr>
        <w:t>本报告不足之处，敬请指正。</w:t>
      </w:r>
    </w:p>
    <w:p w14:paraId="066A80C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黑体" w:cs="Times New Roman"/>
          <w:b/>
          <w:bCs/>
          <w:color w:val="auto"/>
          <w:sz w:val="32"/>
          <w:szCs w:val="32"/>
        </w:rPr>
      </w:pPr>
      <w:r>
        <w:rPr>
          <w:rFonts w:hint="default" w:ascii="Times New Roman" w:hAnsi="Times New Roman" w:cs="Times New Roman"/>
          <w:b/>
          <w:bCs/>
          <w:color w:val="auto"/>
          <w:sz w:val="28"/>
          <w:szCs w:val="28"/>
        </w:rPr>
        <w:br w:type="page"/>
      </w:r>
      <w:r>
        <w:rPr>
          <w:rFonts w:hint="default" w:ascii="Times New Roman" w:hAnsi="Times New Roman" w:eastAsia="黑体" w:cs="Times New Roman"/>
          <w:b/>
          <w:bCs/>
          <w:color w:val="auto"/>
          <w:sz w:val="32"/>
          <w:szCs w:val="32"/>
        </w:rPr>
        <w:t>目</w:t>
      </w:r>
      <w:r>
        <w:rPr>
          <w:rFonts w:hint="default" w:ascii="Times New Roman" w:hAnsi="Times New Roman" w:eastAsia="黑体" w:cs="Times New Roman"/>
          <w:b/>
          <w:bCs/>
          <w:color w:val="auto"/>
          <w:sz w:val="32"/>
          <w:szCs w:val="32"/>
          <w:lang w:val="en-US" w:eastAsia="zh-CN"/>
        </w:rPr>
        <w:t xml:space="preserve"> </w:t>
      </w:r>
      <w:r>
        <w:rPr>
          <w:rFonts w:hint="eastAsia" w:eastAsia="黑体" w:cs="Times New Roman"/>
          <w:b/>
          <w:bCs/>
          <w:color w:val="auto"/>
          <w:sz w:val="32"/>
          <w:szCs w:val="32"/>
          <w:lang w:val="en-US" w:eastAsia="zh-CN"/>
        </w:rPr>
        <w:t xml:space="preserve"> </w:t>
      </w:r>
      <w:r>
        <w:rPr>
          <w:rFonts w:hint="default" w:ascii="Times New Roman" w:hAnsi="Times New Roman" w:eastAsia="黑体" w:cs="Times New Roman"/>
          <w:b/>
          <w:bCs/>
          <w:color w:val="auto"/>
          <w:sz w:val="32"/>
          <w:szCs w:val="32"/>
          <w:lang w:val="en-US" w:eastAsia="zh-CN"/>
        </w:rPr>
        <w:t xml:space="preserve"> </w:t>
      </w:r>
      <w:r>
        <w:rPr>
          <w:rFonts w:hint="default" w:ascii="Times New Roman" w:hAnsi="Times New Roman" w:eastAsia="黑体" w:cs="Times New Roman"/>
          <w:b/>
          <w:bCs/>
          <w:color w:val="auto"/>
          <w:sz w:val="32"/>
          <w:szCs w:val="32"/>
        </w:rPr>
        <w:t>录</w:t>
      </w:r>
    </w:p>
    <w:p w14:paraId="0CA8D903">
      <w:pPr>
        <w:pStyle w:val="14"/>
        <w:tabs>
          <w:tab w:val="right" w:leader="dot" w:pos="9072"/>
        </w:tabs>
        <w:rPr>
          <w:color w:val="auto"/>
        </w:rPr>
      </w:pPr>
      <w:r>
        <w:rPr>
          <w:rFonts w:hint="default"/>
          <w:color w:val="auto"/>
        </w:rPr>
        <w:fldChar w:fldCharType="begin"/>
      </w:r>
      <w:r>
        <w:rPr>
          <w:rFonts w:hint="default"/>
          <w:color w:val="auto"/>
        </w:rPr>
        <w:instrText xml:space="preserve">TOC \o "1-3" \h \u </w:instrText>
      </w:r>
      <w:r>
        <w:rPr>
          <w:rFonts w:hint="default"/>
          <w:color w:val="auto"/>
        </w:rPr>
        <w:fldChar w:fldCharType="separate"/>
      </w:r>
      <w:r>
        <w:rPr>
          <w:rFonts w:hint="default"/>
          <w:color w:val="auto"/>
        </w:rPr>
        <w:fldChar w:fldCharType="begin"/>
      </w:r>
      <w:r>
        <w:rPr>
          <w:rFonts w:hint="default"/>
          <w:color w:val="auto"/>
        </w:rPr>
        <w:instrText xml:space="preserve"> HYPERLINK \l _Toc11629 </w:instrText>
      </w:r>
      <w:r>
        <w:rPr>
          <w:rFonts w:hint="default"/>
          <w:color w:val="auto"/>
        </w:rPr>
        <w:fldChar w:fldCharType="separate"/>
      </w:r>
      <w:r>
        <w:rPr>
          <w:rFonts w:hint="eastAsia" w:ascii="Times New Roman" w:hAnsi="Times New Roman" w:eastAsia="黑体" w:cs="Times New Roman"/>
          <w:color w:val="auto"/>
          <w:kern w:val="44"/>
          <w:szCs w:val="24"/>
          <w:lang w:val="en-US" w:eastAsia="zh-CN" w:bidi="ar-SA"/>
        </w:rPr>
        <w:t>1.</w:t>
      </w:r>
      <w:r>
        <w:rPr>
          <w:rFonts w:hint="eastAsia"/>
          <w:color w:val="auto"/>
        </w:rPr>
        <w:t>评估概述</w:t>
      </w:r>
      <w:r>
        <w:rPr>
          <w:color w:val="auto"/>
        </w:rPr>
        <w:tab/>
      </w:r>
      <w:r>
        <w:rPr>
          <w:color w:val="auto"/>
        </w:rPr>
        <w:fldChar w:fldCharType="begin"/>
      </w:r>
      <w:r>
        <w:rPr>
          <w:color w:val="auto"/>
        </w:rPr>
        <w:instrText xml:space="preserve"> PAGEREF _Toc11629 \h </w:instrText>
      </w:r>
      <w:r>
        <w:rPr>
          <w:color w:val="auto"/>
        </w:rPr>
        <w:fldChar w:fldCharType="separate"/>
      </w:r>
      <w:r>
        <w:rPr>
          <w:color w:val="auto"/>
        </w:rPr>
        <w:t>1</w:t>
      </w:r>
      <w:r>
        <w:rPr>
          <w:color w:val="auto"/>
        </w:rPr>
        <w:fldChar w:fldCharType="end"/>
      </w:r>
      <w:r>
        <w:rPr>
          <w:rFonts w:hint="default"/>
          <w:color w:val="auto"/>
        </w:rPr>
        <w:fldChar w:fldCharType="end"/>
      </w:r>
    </w:p>
    <w:p w14:paraId="1CC57D04">
      <w:pPr>
        <w:pStyle w:val="15"/>
        <w:tabs>
          <w:tab w:val="right" w:leader="dot" w:pos="9072"/>
        </w:tabs>
        <w:rPr>
          <w:color w:val="auto"/>
        </w:rPr>
      </w:pPr>
      <w:r>
        <w:rPr>
          <w:rFonts w:hint="default"/>
          <w:color w:val="auto"/>
        </w:rPr>
        <w:fldChar w:fldCharType="begin"/>
      </w:r>
      <w:r>
        <w:rPr>
          <w:rFonts w:hint="default"/>
          <w:color w:val="auto"/>
        </w:rPr>
        <w:instrText xml:space="preserve"> HYPERLINK \l _Toc19516 </w:instrText>
      </w:r>
      <w:r>
        <w:rPr>
          <w:rFonts w:hint="default"/>
          <w:color w:val="auto"/>
        </w:rPr>
        <w:fldChar w:fldCharType="separate"/>
      </w:r>
      <w:r>
        <w:rPr>
          <w:rFonts w:hint="eastAsia"/>
          <w:color w:val="auto"/>
          <w:lang w:val="en-US" w:eastAsia="zh-CN"/>
        </w:rPr>
        <w:t>1.1 评估对象和范围</w:t>
      </w:r>
      <w:r>
        <w:rPr>
          <w:color w:val="auto"/>
        </w:rPr>
        <w:tab/>
      </w:r>
      <w:r>
        <w:rPr>
          <w:color w:val="auto"/>
        </w:rPr>
        <w:fldChar w:fldCharType="begin"/>
      </w:r>
      <w:r>
        <w:rPr>
          <w:color w:val="auto"/>
        </w:rPr>
        <w:instrText xml:space="preserve"> PAGEREF _Toc19516 \h </w:instrText>
      </w:r>
      <w:r>
        <w:rPr>
          <w:color w:val="auto"/>
        </w:rPr>
        <w:fldChar w:fldCharType="separate"/>
      </w:r>
      <w:r>
        <w:rPr>
          <w:color w:val="auto"/>
        </w:rPr>
        <w:t>1</w:t>
      </w:r>
      <w:r>
        <w:rPr>
          <w:color w:val="auto"/>
        </w:rPr>
        <w:fldChar w:fldCharType="end"/>
      </w:r>
      <w:r>
        <w:rPr>
          <w:rFonts w:hint="default"/>
          <w:color w:val="auto"/>
        </w:rPr>
        <w:fldChar w:fldCharType="end"/>
      </w:r>
    </w:p>
    <w:p w14:paraId="00ECAFDD">
      <w:pPr>
        <w:pStyle w:val="11"/>
        <w:tabs>
          <w:tab w:val="right" w:leader="dot" w:pos="9072"/>
        </w:tabs>
        <w:rPr>
          <w:color w:val="auto"/>
        </w:rPr>
      </w:pPr>
      <w:r>
        <w:rPr>
          <w:rFonts w:hint="default"/>
          <w:color w:val="auto"/>
        </w:rPr>
        <w:fldChar w:fldCharType="begin"/>
      </w:r>
      <w:r>
        <w:rPr>
          <w:rFonts w:hint="default"/>
          <w:color w:val="auto"/>
        </w:rPr>
        <w:instrText xml:space="preserve"> HYPERLINK \l _Toc24890 </w:instrText>
      </w:r>
      <w:r>
        <w:rPr>
          <w:rFonts w:hint="default"/>
          <w:color w:val="auto"/>
        </w:rPr>
        <w:fldChar w:fldCharType="separate"/>
      </w:r>
      <w:r>
        <w:rPr>
          <w:rFonts w:hint="eastAsia"/>
          <w:color w:val="auto"/>
          <w:lang w:val="en-US" w:eastAsia="zh-CN"/>
        </w:rPr>
        <w:t>1.1.1 评估对象</w:t>
      </w:r>
      <w:r>
        <w:rPr>
          <w:color w:val="auto"/>
        </w:rPr>
        <w:tab/>
      </w:r>
      <w:r>
        <w:rPr>
          <w:color w:val="auto"/>
        </w:rPr>
        <w:fldChar w:fldCharType="begin"/>
      </w:r>
      <w:r>
        <w:rPr>
          <w:color w:val="auto"/>
        </w:rPr>
        <w:instrText xml:space="preserve"> PAGEREF _Toc24890 \h </w:instrText>
      </w:r>
      <w:r>
        <w:rPr>
          <w:color w:val="auto"/>
        </w:rPr>
        <w:fldChar w:fldCharType="separate"/>
      </w:r>
      <w:r>
        <w:rPr>
          <w:color w:val="auto"/>
        </w:rPr>
        <w:t>1</w:t>
      </w:r>
      <w:r>
        <w:rPr>
          <w:color w:val="auto"/>
        </w:rPr>
        <w:fldChar w:fldCharType="end"/>
      </w:r>
      <w:r>
        <w:rPr>
          <w:rFonts w:hint="default"/>
          <w:color w:val="auto"/>
        </w:rPr>
        <w:fldChar w:fldCharType="end"/>
      </w:r>
    </w:p>
    <w:p w14:paraId="6DDFC858">
      <w:pPr>
        <w:pStyle w:val="11"/>
        <w:tabs>
          <w:tab w:val="right" w:leader="dot" w:pos="9072"/>
        </w:tabs>
        <w:rPr>
          <w:color w:val="auto"/>
        </w:rPr>
      </w:pPr>
      <w:r>
        <w:rPr>
          <w:rFonts w:hint="default"/>
          <w:color w:val="auto"/>
        </w:rPr>
        <w:fldChar w:fldCharType="begin"/>
      </w:r>
      <w:r>
        <w:rPr>
          <w:rFonts w:hint="default"/>
          <w:color w:val="auto"/>
        </w:rPr>
        <w:instrText xml:space="preserve"> HYPERLINK \l _Toc26223 </w:instrText>
      </w:r>
      <w:r>
        <w:rPr>
          <w:rFonts w:hint="default"/>
          <w:color w:val="auto"/>
        </w:rPr>
        <w:fldChar w:fldCharType="separate"/>
      </w:r>
      <w:r>
        <w:rPr>
          <w:rFonts w:hint="eastAsia"/>
          <w:color w:val="auto"/>
          <w:lang w:val="en-US" w:eastAsia="zh-CN"/>
        </w:rPr>
        <w:t>1.1.2 评估范围</w:t>
      </w:r>
      <w:r>
        <w:rPr>
          <w:color w:val="auto"/>
        </w:rPr>
        <w:tab/>
      </w:r>
      <w:r>
        <w:rPr>
          <w:color w:val="auto"/>
        </w:rPr>
        <w:fldChar w:fldCharType="begin"/>
      </w:r>
      <w:r>
        <w:rPr>
          <w:color w:val="auto"/>
        </w:rPr>
        <w:instrText xml:space="preserve"> PAGEREF _Toc26223 \h </w:instrText>
      </w:r>
      <w:r>
        <w:rPr>
          <w:color w:val="auto"/>
        </w:rPr>
        <w:fldChar w:fldCharType="separate"/>
      </w:r>
      <w:r>
        <w:rPr>
          <w:color w:val="auto"/>
        </w:rPr>
        <w:t>1</w:t>
      </w:r>
      <w:r>
        <w:rPr>
          <w:color w:val="auto"/>
        </w:rPr>
        <w:fldChar w:fldCharType="end"/>
      </w:r>
      <w:r>
        <w:rPr>
          <w:rFonts w:hint="default"/>
          <w:color w:val="auto"/>
        </w:rPr>
        <w:fldChar w:fldCharType="end"/>
      </w:r>
    </w:p>
    <w:p w14:paraId="188F8E8D">
      <w:pPr>
        <w:pStyle w:val="15"/>
        <w:tabs>
          <w:tab w:val="right" w:leader="dot" w:pos="9072"/>
        </w:tabs>
        <w:rPr>
          <w:color w:val="auto"/>
        </w:rPr>
      </w:pPr>
      <w:r>
        <w:rPr>
          <w:rFonts w:hint="default"/>
          <w:color w:val="auto"/>
        </w:rPr>
        <w:fldChar w:fldCharType="begin"/>
      </w:r>
      <w:r>
        <w:rPr>
          <w:rFonts w:hint="default"/>
          <w:color w:val="auto"/>
        </w:rPr>
        <w:instrText xml:space="preserve"> HYPERLINK \l _Toc245 </w:instrText>
      </w:r>
      <w:r>
        <w:rPr>
          <w:rFonts w:hint="default"/>
          <w:color w:val="auto"/>
        </w:rPr>
        <w:fldChar w:fldCharType="separate"/>
      </w:r>
      <w:r>
        <w:rPr>
          <w:rFonts w:hint="eastAsia"/>
          <w:color w:val="auto"/>
          <w:lang w:val="en-US" w:eastAsia="zh-CN"/>
        </w:rPr>
        <w:t>1.2 评估目的</w:t>
      </w:r>
      <w:r>
        <w:rPr>
          <w:color w:val="auto"/>
        </w:rPr>
        <w:tab/>
      </w:r>
      <w:r>
        <w:rPr>
          <w:color w:val="auto"/>
        </w:rPr>
        <w:fldChar w:fldCharType="begin"/>
      </w:r>
      <w:r>
        <w:rPr>
          <w:color w:val="auto"/>
        </w:rPr>
        <w:instrText xml:space="preserve"> PAGEREF _Toc245 \h </w:instrText>
      </w:r>
      <w:r>
        <w:rPr>
          <w:color w:val="auto"/>
        </w:rPr>
        <w:fldChar w:fldCharType="separate"/>
      </w:r>
      <w:r>
        <w:rPr>
          <w:color w:val="auto"/>
        </w:rPr>
        <w:t>1</w:t>
      </w:r>
      <w:r>
        <w:rPr>
          <w:color w:val="auto"/>
        </w:rPr>
        <w:fldChar w:fldCharType="end"/>
      </w:r>
      <w:r>
        <w:rPr>
          <w:rFonts w:hint="default"/>
          <w:color w:val="auto"/>
        </w:rPr>
        <w:fldChar w:fldCharType="end"/>
      </w:r>
    </w:p>
    <w:p w14:paraId="2B6E1775">
      <w:pPr>
        <w:pStyle w:val="15"/>
        <w:tabs>
          <w:tab w:val="right" w:leader="dot" w:pos="9072"/>
        </w:tabs>
        <w:rPr>
          <w:color w:val="auto"/>
        </w:rPr>
      </w:pPr>
      <w:r>
        <w:rPr>
          <w:rFonts w:hint="default"/>
          <w:color w:val="auto"/>
        </w:rPr>
        <w:fldChar w:fldCharType="begin"/>
      </w:r>
      <w:r>
        <w:rPr>
          <w:rFonts w:hint="default"/>
          <w:color w:val="auto"/>
        </w:rPr>
        <w:instrText xml:space="preserve"> HYPERLINK \l _Toc3809 </w:instrText>
      </w:r>
      <w:r>
        <w:rPr>
          <w:rFonts w:hint="default"/>
          <w:color w:val="auto"/>
        </w:rPr>
        <w:fldChar w:fldCharType="separate"/>
      </w:r>
      <w:r>
        <w:rPr>
          <w:rFonts w:hint="eastAsia"/>
          <w:color w:val="auto"/>
          <w:lang w:val="en-US" w:eastAsia="zh-CN"/>
        </w:rPr>
        <w:t>1.3评</w:t>
      </w:r>
      <w:r>
        <w:rPr>
          <w:rFonts w:hint="eastAsia" w:ascii="Times New Roman" w:hAnsi="Times New Roman" w:eastAsia="黑体" w:cs="Times New Roman"/>
          <w:color w:val="auto"/>
          <w:kern w:val="2"/>
          <w:szCs w:val="24"/>
          <w:lang w:val="en-US" w:eastAsia="zh-CN" w:bidi="ar-SA"/>
        </w:rPr>
        <w:t>估</w:t>
      </w:r>
      <w:r>
        <w:rPr>
          <w:rFonts w:hint="eastAsia"/>
          <w:color w:val="auto"/>
          <w:lang w:val="en-US" w:eastAsia="zh-CN"/>
        </w:rPr>
        <w:t>依据</w:t>
      </w:r>
      <w:r>
        <w:rPr>
          <w:color w:val="auto"/>
        </w:rPr>
        <w:tab/>
      </w:r>
      <w:r>
        <w:rPr>
          <w:color w:val="auto"/>
        </w:rPr>
        <w:fldChar w:fldCharType="begin"/>
      </w:r>
      <w:r>
        <w:rPr>
          <w:color w:val="auto"/>
        </w:rPr>
        <w:instrText xml:space="preserve"> PAGEREF _Toc3809 \h </w:instrText>
      </w:r>
      <w:r>
        <w:rPr>
          <w:color w:val="auto"/>
        </w:rPr>
        <w:fldChar w:fldCharType="separate"/>
      </w:r>
      <w:r>
        <w:rPr>
          <w:color w:val="auto"/>
        </w:rPr>
        <w:t>1</w:t>
      </w:r>
      <w:r>
        <w:rPr>
          <w:color w:val="auto"/>
        </w:rPr>
        <w:fldChar w:fldCharType="end"/>
      </w:r>
      <w:r>
        <w:rPr>
          <w:rFonts w:hint="default"/>
          <w:color w:val="auto"/>
        </w:rPr>
        <w:fldChar w:fldCharType="end"/>
      </w:r>
    </w:p>
    <w:p w14:paraId="0C24DE52">
      <w:pPr>
        <w:pStyle w:val="11"/>
        <w:tabs>
          <w:tab w:val="right" w:leader="dot" w:pos="9072"/>
        </w:tabs>
        <w:rPr>
          <w:color w:val="auto"/>
        </w:rPr>
      </w:pPr>
      <w:r>
        <w:rPr>
          <w:rFonts w:hint="default"/>
          <w:color w:val="auto"/>
        </w:rPr>
        <w:fldChar w:fldCharType="begin"/>
      </w:r>
      <w:r>
        <w:rPr>
          <w:rFonts w:hint="default"/>
          <w:color w:val="auto"/>
        </w:rPr>
        <w:instrText xml:space="preserve"> HYPERLINK \l _Toc30933 </w:instrText>
      </w:r>
      <w:r>
        <w:rPr>
          <w:rFonts w:hint="default"/>
          <w:color w:val="auto"/>
        </w:rPr>
        <w:fldChar w:fldCharType="separate"/>
      </w:r>
      <w:r>
        <w:rPr>
          <w:rFonts w:hint="eastAsia" w:ascii="Times New Roman" w:hAnsi="Times New Roman" w:eastAsia="黑体" w:cs="Times New Roman"/>
          <w:color w:val="auto"/>
          <w:kern w:val="2"/>
          <w:szCs w:val="24"/>
          <w:lang w:val="en-US" w:eastAsia="zh-CN" w:bidi="ar-SA"/>
        </w:rPr>
        <w:t>1.</w:t>
      </w:r>
      <w:r>
        <w:rPr>
          <w:rFonts w:hint="eastAsia" w:eastAsia="黑体" w:cs="Times New Roman"/>
          <w:color w:val="auto"/>
          <w:kern w:val="2"/>
          <w:szCs w:val="24"/>
          <w:lang w:val="en-US" w:eastAsia="zh-CN" w:bidi="ar-SA"/>
        </w:rPr>
        <w:t>3</w:t>
      </w:r>
      <w:r>
        <w:rPr>
          <w:rFonts w:hint="eastAsia" w:ascii="Times New Roman" w:hAnsi="Times New Roman" w:eastAsia="黑体" w:cs="Times New Roman"/>
          <w:color w:val="auto"/>
          <w:kern w:val="2"/>
          <w:szCs w:val="24"/>
          <w:lang w:val="en-US" w:eastAsia="zh-CN" w:bidi="ar-SA"/>
        </w:rPr>
        <w:t>.1 法律法规</w:t>
      </w:r>
      <w:r>
        <w:rPr>
          <w:color w:val="auto"/>
        </w:rPr>
        <w:tab/>
      </w:r>
      <w:r>
        <w:rPr>
          <w:color w:val="auto"/>
        </w:rPr>
        <w:fldChar w:fldCharType="begin"/>
      </w:r>
      <w:r>
        <w:rPr>
          <w:color w:val="auto"/>
        </w:rPr>
        <w:instrText xml:space="preserve"> PAGEREF _Toc30933 \h </w:instrText>
      </w:r>
      <w:r>
        <w:rPr>
          <w:color w:val="auto"/>
        </w:rPr>
        <w:fldChar w:fldCharType="separate"/>
      </w:r>
      <w:r>
        <w:rPr>
          <w:color w:val="auto"/>
        </w:rPr>
        <w:t>1</w:t>
      </w:r>
      <w:r>
        <w:rPr>
          <w:color w:val="auto"/>
        </w:rPr>
        <w:fldChar w:fldCharType="end"/>
      </w:r>
      <w:r>
        <w:rPr>
          <w:rFonts w:hint="default"/>
          <w:color w:val="auto"/>
        </w:rPr>
        <w:fldChar w:fldCharType="end"/>
      </w:r>
    </w:p>
    <w:p w14:paraId="3066E9EB">
      <w:pPr>
        <w:pStyle w:val="11"/>
        <w:tabs>
          <w:tab w:val="right" w:leader="dot" w:pos="9072"/>
        </w:tabs>
        <w:rPr>
          <w:color w:val="auto"/>
        </w:rPr>
      </w:pPr>
      <w:r>
        <w:rPr>
          <w:rFonts w:hint="default"/>
          <w:color w:val="auto"/>
        </w:rPr>
        <w:fldChar w:fldCharType="begin"/>
      </w:r>
      <w:r>
        <w:rPr>
          <w:rFonts w:hint="default"/>
          <w:color w:val="auto"/>
        </w:rPr>
        <w:instrText xml:space="preserve"> HYPERLINK \l _Toc15168 </w:instrText>
      </w:r>
      <w:r>
        <w:rPr>
          <w:rFonts w:hint="default"/>
          <w:color w:val="auto"/>
        </w:rPr>
        <w:fldChar w:fldCharType="separate"/>
      </w:r>
      <w:r>
        <w:rPr>
          <w:rFonts w:hint="eastAsia"/>
          <w:color w:val="auto"/>
          <w:lang w:val="en-US" w:eastAsia="zh-CN"/>
        </w:rPr>
        <w:t>1.3.2 标准规范</w:t>
      </w:r>
      <w:r>
        <w:rPr>
          <w:color w:val="auto"/>
        </w:rPr>
        <w:tab/>
      </w:r>
      <w:r>
        <w:rPr>
          <w:color w:val="auto"/>
        </w:rPr>
        <w:fldChar w:fldCharType="begin"/>
      </w:r>
      <w:r>
        <w:rPr>
          <w:color w:val="auto"/>
        </w:rPr>
        <w:instrText xml:space="preserve"> PAGEREF _Toc15168 \h </w:instrText>
      </w:r>
      <w:r>
        <w:rPr>
          <w:color w:val="auto"/>
        </w:rPr>
        <w:fldChar w:fldCharType="separate"/>
      </w:r>
      <w:r>
        <w:rPr>
          <w:color w:val="auto"/>
        </w:rPr>
        <w:t>3</w:t>
      </w:r>
      <w:r>
        <w:rPr>
          <w:color w:val="auto"/>
        </w:rPr>
        <w:fldChar w:fldCharType="end"/>
      </w:r>
      <w:r>
        <w:rPr>
          <w:rFonts w:hint="default"/>
          <w:color w:val="auto"/>
        </w:rPr>
        <w:fldChar w:fldCharType="end"/>
      </w:r>
    </w:p>
    <w:p w14:paraId="5925BA2C">
      <w:pPr>
        <w:pStyle w:val="11"/>
        <w:tabs>
          <w:tab w:val="right" w:leader="dot" w:pos="9072"/>
        </w:tabs>
        <w:rPr>
          <w:color w:val="auto"/>
        </w:rPr>
      </w:pPr>
      <w:r>
        <w:rPr>
          <w:rFonts w:hint="default"/>
          <w:color w:val="auto"/>
        </w:rPr>
        <w:fldChar w:fldCharType="begin"/>
      </w:r>
      <w:r>
        <w:rPr>
          <w:rFonts w:hint="default"/>
          <w:color w:val="auto"/>
        </w:rPr>
        <w:instrText xml:space="preserve"> HYPERLINK \l _Toc216 </w:instrText>
      </w:r>
      <w:r>
        <w:rPr>
          <w:rFonts w:hint="default"/>
          <w:color w:val="auto"/>
        </w:rPr>
        <w:fldChar w:fldCharType="separate"/>
      </w: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3 建设项目</w:t>
      </w:r>
      <w:r>
        <w:rPr>
          <w:rFonts w:hint="eastAsia"/>
          <w:color w:val="auto"/>
        </w:rPr>
        <w:t>技术资料</w:t>
      </w:r>
      <w:r>
        <w:rPr>
          <w:color w:val="auto"/>
        </w:rPr>
        <w:tab/>
      </w:r>
      <w:r>
        <w:rPr>
          <w:color w:val="auto"/>
        </w:rPr>
        <w:fldChar w:fldCharType="begin"/>
      </w:r>
      <w:r>
        <w:rPr>
          <w:color w:val="auto"/>
        </w:rPr>
        <w:instrText xml:space="preserve"> PAGEREF _Toc216 \h </w:instrText>
      </w:r>
      <w:r>
        <w:rPr>
          <w:color w:val="auto"/>
        </w:rPr>
        <w:fldChar w:fldCharType="separate"/>
      </w:r>
      <w:r>
        <w:rPr>
          <w:color w:val="auto"/>
        </w:rPr>
        <w:t>4</w:t>
      </w:r>
      <w:r>
        <w:rPr>
          <w:color w:val="auto"/>
        </w:rPr>
        <w:fldChar w:fldCharType="end"/>
      </w:r>
      <w:r>
        <w:rPr>
          <w:rFonts w:hint="default"/>
          <w:color w:val="auto"/>
        </w:rPr>
        <w:fldChar w:fldCharType="end"/>
      </w:r>
    </w:p>
    <w:p w14:paraId="65C7941C">
      <w:pPr>
        <w:pStyle w:val="15"/>
        <w:tabs>
          <w:tab w:val="right" w:leader="dot" w:pos="9072"/>
        </w:tabs>
        <w:rPr>
          <w:color w:val="auto"/>
        </w:rPr>
      </w:pPr>
      <w:r>
        <w:rPr>
          <w:rFonts w:hint="default"/>
          <w:color w:val="auto"/>
        </w:rPr>
        <w:fldChar w:fldCharType="begin"/>
      </w:r>
      <w:r>
        <w:rPr>
          <w:rFonts w:hint="default"/>
          <w:color w:val="auto"/>
        </w:rPr>
        <w:instrText xml:space="preserve"> HYPERLINK \l _Toc8309 </w:instrText>
      </w:r>
      <w:r>
        <w:rPr>
          <w:rFonts w:hint="default"/>
          <w:color w:val="auto"/>
        </w:rPr>
        <w:fldChar w:fldCharType="separate"/>
      </w:r>
      <w:r>
        <w:rPr>
          <w:rFonts w:hint="eastAsia"/>
          <w:color w:val="auto"/>
          <w:lang w:val="en-US" w:eastAsia="zh-CN"/>
        </w:rPr>
        <w:t>1.4 评估程序</w:t>
      </w:r>
      <w:r>
        <w:rPr>
          <w:color w:val="auto"/>
        </w:rPr>
        <w:tab/>
      </w:r>
      <w:r>
        <w:rPr>
          <w:color w:val="auto"/>
        </w:rPr>
        <w:fldChar w:fldCharType="begin"/>
      </w:r>
      <w:r>
        <w:rPr>
          <w:color w:val="auto"/>
        </w:rPr>
        <w:instrText xml:space="preserve"> PAGEREF _Toc8309 \h </w:instrText>
      </w:r>
      <w:r>
        <w:rPr>
          <w:color w:val="auto"/>
        </w:rPr>
        <w:fldChar w:fldCharType="separate"/>
      </w:r>
      <w:r>
        <w:rPr>
          <w:color w:val="auto"/>
        </w:rPr>
        <w:t>5</w:t>
      </w:r>
      <w:r>
        <w:rPr>
          <w:color w:val="auto"/>
        </w:rPr>
        <w:fldChar w:fldCharType="end"/>
      </w:r>
      <w:r>
        <w:rPr>
          <w:rFonts w:hint="default"/>
          <w:color w:val="auto"/>
        </w:rPr>
        <w:fldChar w:fldCharType="end"/>
      </w:r>
    </w:p>
    <w:p w14:paraId="687CCBCC">
      <w:pPr>
        <w:pStyle w:val="14"/>
        <w:tabs>
          <w:tab w:val="right" w:leader="dot" w:pos="9072"/>
        </w:tabs>
        <w:rPr>
          <w:color w:val="auto"/>
        </w:rPr>
      </w:pPr>
      <w:r>
        <w:rPr>
          <w:rFonts w:hint="default"/>
          <w:color w:val="auto"/>
        </w:rPr>
        <w:fldChar w:fldCharType="begin"/>
      </w:r>
      <w:r>
        <w:rPr>
          <w:rFonts w:hint="default"/>
          <w:color w:val="auto"/>
        </w:rPr>
        <w:instrText xml:space="preserve"> HYPERLINK \l _Toc27550 </w:instrText>
      </w:r>
      <w:r>
        <w:rPr>
          <w:rFonts w:hint="default"/>
          <w:color w:val="auto"/>
        </w:rPr>
        <w:fldChar w:fldCharType="separate"/>
      </w:r>
      <w:r>
        <w:rPr>
          <w:rFonts w:hint="eastAsia"/>
          <w:color w:val="auto"/>
          <w:lang w:val="en-US" w:eastAsia="zh-CN"/>
        </w:rPr>
        <w:t>2. 评估项目情况</w:t>
      </w:r>
      <w:r>
        <w:rPr>
          <w:color w:val="auto"/>
        </w:rPr>
        <w:tab/>
      </w:r>
      <w:r>
        <w:rPr>
          <w:color w:val="auto"/>
        </w:rPr>
        <w:fldChar w:fldCharType="begin"/>
      </w:r>
      <w:r>
        <w:rPr>
          <w:color w:val="auto"/>
        </w:rPr>
        <w:instrText xml:space="preserve"> PAGEREF _Toc27550 \h </w:instrText>
      </w:r>
      <w:r>
        <w:rPr>
          <w:color w:val="auto"/>
        </w:rPr>
        <w:fldChar w:fldCharType="separate"/>
      </w:r>
      <w:r>
        <w:rPr>
          <w:color w:val="auto"/>
        </w:rPr>
        <w:t>6</w:t>
      </w:r>
      <w:r>
        <w:rPr>
          <w:color w:val="auto"/>
        </w:rPr>
        <w:fldChar w:fldCharType="end"/>
      </w:r>
      <w:r>
        <w:rPr>
          <w:rFonts w:hint="default"/>
          <w:color w:val="auto"/>
        </w:rPr>
        <w:fldChar w:fldCharType="end"/>
      </w:r>
    </w:p>
    <w:p w14:paraId="73AF0047">
      <w:pPr>
        <w:pStyle w:val="15"/>
        <w:tabs>
          <w:tab w:val="right" w:leader="dot" w:pos="9072"/>
        </w:tabs>
        <w:rPr>
          <w:color w:val="auto"/>
        </w:rPr>
      </w:pPr>
      <w:r>
        <w:rPr>
          <w:rFonts w:hint="default"/>
          <w:color w:val="auto"/>
        </w:rPr>
        <w:fldChar w:fldCharType="begin"/>
      </w:r>
      <w:r>
        <w:rPr>
          <w:rFonts w:hint="default"/>
          <w:color w:val="auto"/>
        </w:rPr>
        <w:instrText xml:space="preserve"> HYPERLINK \l _Toc23186 </w:instrText>
      </w:r>
      <w:r>
        <w:rPr>
          <w:rFonts w:hint="default"/>
          <w:color w:val="auto"/>
        </w:rPr>
        <w:fldChar w:fldCharType="separate"/>
      </w:r>
      <w:r>
        <w:rPr>
          <w:rFonts w:hint="default"/>
          <w:color w:val="auto"/>
          <w:lang w:val="en-US" w:eastAsia="zh-CN"/>
        </w:rPr>
        <w:t>2.1</w:t>
      </w:r>
      <w:r>
        <w:rPr>
          <w:rFonts w:hint="eastAsia"/>
          <w:color w:val="auto"/>
          <w:lang w:val="en-US" w:eastAsia="zh-CN"/>
        </w:rPr>
        <w:t xml:space="preserve"> </w:t>
      </w:r>
      <w:r>
        <w:rPr>
          <w:rFonts w:hint="default"/>
          <w:color w:val="auto"/>
          <w:lang w:val="en-US" w:eastAsia="zh-CN"/>
        </w:rPr>
        <w:t>工程概况</w:t>
      </w:r>
      <w:r>
        <w:rPr>
          <w:color w:val="auto"/>
        </w:rPr>
        <w:tab/>
      </w:r>
      <w:r>
        <w:rPr>
          <w:color w:val="auto"/>
        </w:rPr>
        <w:fldChar w:fldCharType="begin"/>
      </w:r>
      <w:r>
        <w:rPr>
          <w:color w:val="auto"/>
        </w:rPr>
        <w:instrText xml:space="preserve"> PAGEREF _Toc23186 \h </w:instrText>
      </w:r>
      <w:r>
        <w:rPr>
          <w:color w:val="auto"/>
        </w:rPr>
        <w:fldChar w:fldCharType="separate"/>
      </w:r>
      <w:r>
        <w:rPr>
          <w:color w:val="auto"/>
        </w:rPr>
        <w:t>6</w:t>
      </w:r>
      <w:r>
        <w:rPr>
          <w:color w:val="auto"/>
        </w:rPr>
        <w:fldChar w:fldCharType="end"/>
      </w:r>
      <w:r>
        <w:rPr>
          <w:rFonts w:hint="default"/>
          <w:color w:val="auto"/>
        </w:rPr>
        <w:fldChar w:fldCharType="end"/>
      </w:r>
    </w:p>
    <w:p w14:paraId="7E8E10B7">
      <w:pPr>
        <w:pStyle w:val="15"/>
        <w:tabs>
          <w:tab w:val="right" w:leader="dot" w:pos="9072"/>
        </w:tabs>
        <w:rPr>
          <w:color w:val="auto"/>
        </w:rPr>
      </w:pPr>
      <w:r>
        <w:rPr>
          <w:rFonts w:hint="default"/>
          <w:color w:val="auto"/>
        </w:rPr>
        <w:fldChar w:fldCharType="begin"/>
      </w:r>
      <w:r>
        <w:rPr>
          <w:rFonts w:hint="default"/>
          <w:color w:val="auto"/>
        </w:rPr>
        <w:instrText xml:space="preserve"> HYPERLINK \l _Toc28958 </w:instrText>
      </w:r>
      <w:r>
        <w:rPr>
          <w:rFonts w:hint="default"/>
          <w:color w:val="auto"/>
        </w:rPr>
        <w:fldChar w:fldCharType="separate"/>
      </w:r>
      <w:r>
        <w:rPr>
          <w:rFonts w:hint="default"/>
          <w:color w:val="auto"/>
          <w:lang w:val="en-US" w:eastAsia="zh-CN"/>
        </w:rPr>
        <w:t>2.2</w:t>
      </w:r>
      <w:r>
        <w:rPr>
          <w:rFonts w:hint="eastAsia"/>
          <w:color w:val="auto"/>
          <w:lang w:val="en-US" w:eastAsia="zh-CN"/>
        </w:rPr>
        <w:t xml:space="preserve"> </w:t>
      </w:r>
      <w:r>
        <w:rPr>
          <w:rFonts w:hint="default"/>
          <w:color w:val="auto"/>
          <w:lang w:val="en-US" w:eastAsia="zh-CN"/>
        </w:rPr>
        <w:t>自然条件</w:t>
      </w:r>
      <w:r>
        <w:rPr>
          <w:color w:val="auto"/>
        </w:rPr>
        <w:tab/>
      </w:r>
      <w:r>
        <w:rPr>
          <w:color w:val="auto"/>
        </w:rPr>
        <w:fldChar w:fldCharType="begin"/>
      </w:r>
      <w:r>
        <w:rPr>
          <w:color w:val="auto"/>
        </w:rPr>
        <w:instrText xml:space="preserve"> PAGEREF _Toc28958 \h </w:instrText>
      </w:r>
      <w:r>
        <w:rPr>
          <w:color w:val="auto"/>
        </w:rPr>
        <w:fldChar w:fldCharType="separate"/>
      </w:r>
      <w:r>
        <w:rPr>
          <w:color w:val="auto"/>
        </w:rPr>
        <w:t>6</w:t>
      </w:r>
      <w:r>
        <w:rPr>
          <w:color w:val="auto"/>
        </w:rPr>
        <w:fldChar w:fldCharType="end"/>
      </w:r>
      <w:r>
        <w:rPr>
          <w:rFonts w:hint="default"/>
          <w:color w:val="auto"/>
        </w:rPr>
        <w:fldChar w:fldCharType="end"/>
      </w:r>
    </w:p>
    <w:p w14:paraId="2548F338">
      <w:pPr>
        <w:pStyle w:val="11"/>
        <w:tabs>
          <w:tab w:val="right" w:leader="dot" w:pos="9072"/>
        </w:tabs>
        <w:rPr>
          <w:color w:val="auto"/>
        </w:rPr>
      </w:pPr>
      <w:r>
        <w:rPr>
          <w:rFonts w:hint="default"/>
          <w:color w:val="auto"/>
        </w:rPr>
        <w:fldChar w:fldCharType="begin"/>
      </w:r>
      <w:r>
        <w:rPr>
          <w:rFonts w:hint="default"/>
          <w:color w:val="auto"/>
        </w:rPr>
        <w:instrText xml:space="preserve"> HYPERLINK \l _Toc17714 </w:instrText>
      </w:r>
      <w:r>
        <w:rPr>
          <w:rFonts w:hint="default"/>
          <w:color w:val="auto"/>
        </w:rPr>
        <w:fldChar w:fldCharType="separate"/>
      </w:r>
      <w:r>
        <w:rPr>
          <w:rFonts w:hint="eastAsia"/>
          <w:color w:val="auto"/>
          <w:lang w:val="en-US" w:eastAsia="zh-CN"/>
        </w:rPr>
        <w:t xml:space="preserve">2.2.1 </w:t>
      </w:r>
      <w:r>
        <w:rPr>
          <w:rFonts w:hint="default"/>
          <w:color w:val="auto"/>
          <w:lang w:val="en-US" w:eastAsia="zh-CN"/>
        </w:rPr>
        <w:t>气候</w:t>
      </w:r>
      <w:r>
        <w:rPr>
          <w:color w:val="auto"/>
        </w:rPr>
        <w:tab/>
      </w:r>
      <w:r>
        <w:rPr>
          <w:color w:val="auto"/>
        </w:rPr>
        <w:fldChar w:fldCharType="begin"/>
      </w:r>
      <w:r>
        <w:rPr>
          <w:color w:val="auto"/>
        </w:rPr>
        <w:instrText xml:space="preserve"> PAGEREF _Toc17714 \h </w:instrText>
      </w:r>
      <w:r>
        <w:rPr>
          <w:color w:val="auto"/>
        </w:rPr>
        <w:fldChar w:fldCharType="separate"/>
      </w:r>
      <w:r>
        <w:rPr>
          <w:color w:val="auto"/>
        </w:rPr>
        <w:t>6</w:t>
      </w:r>
      <w:r>
        <w:rPr>
          <w:color w:val="auto"/>
        </w:rPr>
        <w:fldChar w:fldCharType="end"/>
      </w:r>
      <w:r>
        <w:rPr>
          <w:rFonts w:hint="default"/>
          <w:color w:val="auto"/>
        </w:rPr>
        <w:fldChar w:fldCharType="end"/>
      </w:r>
    </w:p>
    <w:p w14:paraId="1147D348">
      <w:pPr>
        <w:pStyle w:val="11"/>
        <w:tabs>
          <w:tab w:val="right" w:leader="dot" w:pos="9072"/>
        </w:tabs>
        <w:rPr>
          <w:color w:val="auto"/>
        </w:rPr>
      </w:pPr>
      <w:r>
        <w:rPr>
          <w:rFonts w:hint="default"/>
          <w:color w:val="auto"/>
        </w:rPr>
        <w:fldChar w:fldCharType="begin"/>
      </w:r>
      <w:r>
        <w:rPr>
          <w:rFonts w:hint="default"/>
          <w:color w:val="auto"/>
        </w:rPr>
        <w:instrText xml:space="preserve"> HYPERLINK \l _Toc31739 </w:instrText>
      </w:r>
      <w:r>
        <w:rPr>
          <w:rFonts w:hint="default"/>
          <w:color w:val="auto"/>
        </w:rPr>
        <w:fldChar w:fldCharType="separate"/>
      </w:r>
      <w:r>
        <w:rPr>
          <w:rFonts w:hint="eastAsia"/>
          <w:color w:val="auto"/>
          <w:lang w:val="en-US" w:eastAsia="zh-CN"/>
        </w:rPr>
        <w:t xml:space="preserve">2.2.2 </w:t>
      </w:r>
      <w:r>
        <w:rPr>
          <w:rFonts w:hint="default"/>
          <w:color w:val="auto"/>
          <w:lang w:val="en-US" w:eastAsia="zh-CN"/>
        </w:rPr>
        <w:t>地理位置及交通条件</w:t>
      </w:r>
      <w:r>
        <w:rPr>
          <w:color w:val="auto"/>
        </w:rPr>
        <w:tab/>
      </w:r>
      <w:r>
        <w:rPr>
          <w:color w:val="auto"/>
        </w:rPr>
        <w:fldChar w:fldCharType="begin"/>
      </w:r>
      <w:r>
        <w:rPr>
          <w:color w:val="auto"/>
        </w:rPr>
        <w:instrText xml:space="preserve"> PAGEREF _Toc31739 \h </w:instrText>
      </w:r>
      <w:r>
        <w:rPr>
          <w:color w:val="auto"/>
        </w:rPr>
        <w:fldChar w:fldCharType="separate"/>
      </w:r>
      <w:r>
        <w:rPr>
          <w:color w:val="auto"/>
        </w:rPr>
        <w:t>6</w:t>
      </w:r>
      <w:r>
        <w:rPr>
          <w:color w:val="auto"/>
        </w:rPr>
        <w:fldChar w:fldCharType="end"/>
      </w:r>
      <w:r>
        <w:rPr>
          <w:rFonts w:hint="default"/>
          <w:color w:val="auto"/>
        </w:rPr>
        <w:fldChar w:fldCharType="end"/>
      </w:r>
    </w:p>
    <w:p w14:paraId="4587BEF9">
      <w:pPr>
        <w:pStyle w:val="15"/>
        <w:tabs>
          <w:tab w:val="right" w:leader="dot" w:pos="9072"/>
        </w:tabs>
        <w:rPr>
          <w:color w:val="auto"/>
        </w:rPr>
      </w:pPr>
      <w:r>
        <w:rPr>
          <w:rFonts w:hint="default"/>
          <w:color w:val="auto"/>
        </w:rPr>
        <w:fldChar w:fldCharType="begin"/>
      </w:r>
      <w:r>
        <w:rPr>
          <w:rFonts w:hint="default"/>
          <w:color w:val="auto"/>
        </w:rPr>
        <w:instrText xml:space="preserve"> HYPERLINK \l _Toc4097 </w:instrText>
      </w:r>
      <w:r>
        <w:rPr>
          <w:rFonts w:hint="default"/>
          <w:color w:val="auto"/>
        </w:rPr>
        <w:fldChar w:fldCharType="separate"/>
      </w:r>
      <w:r>
        <w:rPr>
          <w:rFonts w:hint="default"/>
          <w:color w:val="auto"/>
          <w:lang w:val="en-US" w:eastAsia="zh-CN"/>
        </w:rPr>
        <w:t>2.3</w:t>
      </w:r>
      <w:r>
        <w:rPr>
          <w:rFonts w:hint="eastAsia"/>
          <w:color w:val="auto"/>
          <w:lang w:val="en-US" w:eastAsia="zh-CN"/>
        </w:rPr>
        <w:t xml:space="preserve"> </w:t>
      </w:r>
      <w:r>
        <w:rPr>
          <w:rFonts w:hint="default"/>
          <w:color w:val="auto"/>
          <w:lang w:val="en-US" w:eastAsia="zh-CN"/>
        </w:rPr>
        <w:t>周边环境</w:t>
      </w:r>
      <w:r>
        <w:rPr>
          <w:color w:val="auto"/>
        </w:rPr>
        <w:tab/>
      </w:r>
      <w:r>
        <w:rPr>
          <w:color w:val="auto"/>
        </w:rPr>
        <w:fldChar w:fldCharType="begin"/>
      </w:r>
      <w:r>
        <w:rPr>
          <w:color w:val="auto"/>
        </w:rPr>
        <w:instrText xml:space="preserve"> PAGEREF _Toc4097 \h </w:instrText>
      </w:r>
      <w:r>
        <w:rPr>
          <w:color w:val="auto"/>
        </w:rPr>
        <w:fldChar w:fldCharType="separate"/>
      </w:r>
      <w:r>
        <w:rPr>
          <w:color w:val="auto"/>
        </w:rPr>
        <w:t>7</w:t>
      </w:r>
      <w:r>
        <w:rPr>
          <w:color w:val="auto"/>
        </w:rPr>
        <w:fldChar w:fldCharType="end"/>
      </w:r>
      <w:r>
        <w:rPr>
          <w:rFonts w:hint="default"/>
          <w:color w:val="auto"/>
        </w:rPr>
        <w:fldChar w:fldCharType="end"/>
      </w:r>
    </w:p>
    <w:p w14:paraId="32E36189">
      <w:pPr>
        <w:pStyle w:val="15"/>
        <w:tabs>
          <w:tab w:val="right" w:leader="dot" w:pos="9072"/>
        </w:tabs>
        <w:rPr>
          <w:color w:val="auto"/>
        </w:rPr>
      </w:pPr>
      <w:r>
        <w:rPr>
          <w:rFonts w:hint="default"/>
          <w:color w:val="auto"/>
        </w:rPr>
        <w:fldChar w:fldCharType="begin"/>
      </w:r>
      <w:r>
        <w:rPr>
          <w:rFonts w:hint="default"/>
          <w:color w:val="auto"/>
        </w:rPr>
        <w:instrText xml:space="preserve"> HYPERLINK \l _Toc30337 </w:instrText>
      </w:r>
      <w:r>
        <w:rPr>
          <w:rFonts w:hint="default"/>
          <w:color w:val="auto"/>
        </w:rPr>
        <w:fldChar w:fldCharType="separate"/>
      </w:r>
      <w:r>
        <w:rPr>
          <w:rFonts w:hint="default"/>
          <w:color w:val="auto"/>
          <w:lang w:val="en-US" w:eastAsia="zh-CN"/>
        </w:rPr>
        <w:t>2.4</w:t>
      </w:r>
      <w:r>
        <w:rPr>
          <w:rFonts w:hint="eastAsia"/>
          <w:color w:val="auto"/>
          <w:lang w:val="en-US" w:eastAsia="zh-CN"/>
        </w:rPr>
        <w:t xml:space="preserve"> </w:t>
      </w:r>
      <w:r>
        <w:rPr>
          <w:rFonts w:hint="default"/>
          <w:color w:val="auto"/>
          <w:lang w:val="en-US" w:eastAsia="zh-CN"/>
        </w:rPr>
        <w:t>项目物料</w:t>
      </w:r>
      <w:r>
        <w:rPr>
          <w:color w:val="auto"/>
        </w:rPr>
        <w:tab/>
      </w:r>
      <w:r>
        <w:rPr>
          <w:color w:val="auto"/>
        </w:rPr>
        <w:fldChar w:fldCharType="begin"/>
      </w:r>
      <w:r>
        <w:rPr>
          <w:color w:val="auto"/>
        </w:rPr>
        <w:instrText xml:space="preserve"> PAGEREF _Toc30337 \h </w:instrText>
      </w:r>
      <w:r>
        <w:rPr>
          <w:color w:val="auto"/>
        </w:rPr>
        <w:fldChar w:fldCharType="separate"/>
      </w:r>
      <w:r>
        <w:rPr>
          <w:color w:val="auto"/>
        </w:rPr>
        <w:t>7</w:t>
      </w:r>
      <w:r>
        <w:rPr>
          <w:color w:val="auto"/>
        </w:rPr>
        <w:fldChar w:fldCharType="end"/>
      </w:r>
      <w:r>
        <w:rPr>
          <w:rFonts w:hint="default"/>
          <w:color w:val="auto"/>
        </w:rPr>
        <w:fldChar w:fldCharType="end"/>
      </w:r>
    </w:p>
    <w:p w14:paraId="1BD74F22">
      <w:pPr>
        <w:pStyle w:val="15"/>
        <w:tabs>
          <w:tab w:val="right" w:leader="dot" w:pos="9072"/>
        </w:tabs>
        <w:rPr>
          <w:color w:val="auto"/>
        </w:rPr>
      </w:pPr>
      <w:r>
        <w:rPr>
          <w:rFonts w:hint="default"/>
          <w:color w:val="auto"/>
        </w:rPr>
        <w:fldChar w:fldCharType="begin"/>
      </w:r>
      <w:r>
        <w:rPr>
          <w:rFonts w:hint="default"/>
          <w:color w:val="auto"/>
        </w:rPr>
        <w:instrText xml:space="preserve"> HYPERLINK \l _Toc15510 </w:instrText>
      </w:r>
      <w:r>
        <w:rPr>
          <w:rFonts w:hint="default"/>
          <w:color w:val="auto"/>
        </w:rPr>
        <w:fldChar w:fldCharType="separate"/>
      </w:r>
      <w:r>
        <w:rPr>
          <w:rFonts w:hint="default"/>
          <w:color w:val="auto"/>
          <w:lang w:val="en-US" w:eastAsia="zh-CN"/>
        </w:rPr>
        <w:t>2.5</w:t>
      </w:r>
      <w:r>
        <w:rPr>
          <w:rFonts w:hint="eastAsia"/>
          <w:color w:val="auto"/>
          <w:lang w:val="en-US" w:eastAsia="zh-CN"/>
        </w:rPr>
        <w:t xml:space="preserve"> </w:t>
      </w:r>
      <w:r>
        <w:rPr>
          <w:rFonts w:hint="default"/>
          <w:color w:val="auto"/>
          <w:lang w:val="en-US" w:eastAsia="zh-CN"/>
        </w:rPr>
        <w:t>公用工程</w:t>
      </w:r>
      <w:r>
        <w:rPr>
          <w:color w:val="auto"/>
        </w:rPr>
        <w:tab/>
      </w:r>
      <w:r>
        <w:rPr>
          <w:color w:val="auto"/>
        </w:rPr>
        <w:fldChar w:fldCharType="begin"/>
      </w:r>
      <w:r>
        <w:rPr>
          <w:color w:val="auto"/>
        </w:rPr>
        <w:instrText xml:space="preserve"> PAGEREF _Toc15510 \h </w:instrText>
      </w:r>
      <w:r>
        <w:rPr>
          <w:color w:val="auto"/>
        </w:rPr>
        <w:fldChar w:fldCharType="separate"/>
      </w:r>
      <w:r>
        <w:rPr>
          <w:color w:val="auto"/>
        </w:rPr>
        <w:t>8</w:t>
      </w:r>
      <w:r>
        <w:rPr>
          <w:color w:val="auto"/>
        </w:rPr>
        <w:fldChar w:fldCharType="end"/>
      </w:r>
      <w:r>
        <w:rPr>
          <w:rFonts w:hint="default"/>
          <w:color w:val="auto"/>
        </w:rPr>
        <w:fldChar w:fldCharType="end"/>
      </w:r>
    </w:p>
    <w:p w14:paraId="04B75A66">
      <w:pPr>
        <w:pStyle w:val="11"/>
        <w:tabs>
          <w:tab w:val="right" w:leader="dot" w:pos="9072"/>
        </w:tabs>
        <w:rPr>
          <w:color w:val="auto"/>
        </w:rPr>
      </w:pPr>
      <w:r>
        <w:rPr>
          <w:rFonts w:hint="default"/>
          <w:color w:val="auto"/>
        </w:rPr>
        <w:fldChar w:fldCharType="begin"/>
      </w:r>
      <w:r>
        <w:rPr>
          <w:rFonts w:hint="default"/>
          <w:color w:val="auto"/>
        </w:rPr>
        <w:instrText xml:space="preserve"> HYPERLINK \l _Toc5981 </w:instrText>
      </w:r>
      <w:r>
        <w:rPr>
          <w:rFonts w:hint="default"/>
          <w:color w:val="auto"/>
        </w:rPr>
        <w:fldChar w:fldCharType="separate"/>
      </w:r>
      <w:r>
        <w:rPr>
          <w:rFonts w:hint="default"/>
          <w:color w:val="auto"/>
          <w:lang w:val="en-US" w:eastAsia="zh-CN"/>
        </w:rPr>
        <w:t>2.5.1</w:t>
      </w:r>
      <w:r>
        <w:rPr>
          <w:rFonts w:hint="eastAsia"/>
          <w:color w:val="auto"/>
          <w:lang w:val="en-US" w:eastAsia="zh-CN"/>
        </w:rPr>
        <w:t xml:space="preserve"> </w:t>
      </w:r>
      <w:r>
        <w:rPr>
          <w:rFonts w:hint="default"/>
          <w:color w:val="auto"/>
          <w:lang w:val="en-US" w:eastAsia="zh-CN"/>
        </w:rPr>
        <w:t>供电</w:t>
      </w:r>
      <w:r>
        <w:rPr>
          <w:color w:val="auto"/>
        </w:rPr>
        <w:tab/>
      </w:r>
      <w:r>
        <w:rPr>
          <w:color w:val="auto"/>
        </w:rPr>
        <w:fldChar w:fldCharType="begin"/>
      </w:r>
      <w:r>
        <w:rPr>
          <w:color w:val="auto"/>
        </w:rPr>
        <w:instrText xml:space="preserve"> PAGEREF _Toc5981 \h </w:instrText>
      </w:r>
      <w:r>
        <w:rPr>
          <w:color w:val="auto"/>
        </w:rPr>
        <w:fldChar w:fldCharType="separate"/>
      </w:r>
      <w:r>
        <w:rPr>
          <w:color w:val="auto"/>
        </w:rPr>
        <w:t>8</w:t>
      </w:r>
      <w:r>
        <w:rPr>
          <w:color w:val="auto"/>
        </w:rPr>
        <w:fldChar w:fldCharType="end"/>
      </w:r>
      <w:r>
        <w:rPr>
          <w:rFonts w:hint="default"/>
          <w:color w:val="auto"/>
        </w:rPr>
        <w:fldChar w:fldCharType="end"/>
      </w:r>
    </w:p>
    <w:p w14:paraId="0E15E728">
      <w:pPr>
        <w:pStyle w:val="11"/>
        <w:tabs>
          <w:tab w:val="right" w:leader="dot" w:pos="9072"/>
        </w:tabs>
        <w:rPr>
          <w:color w:val="auto"/>
        </w:rPr>
      </w:pPr>
      <w:r>
        <w:rPr>
          <w:rFonts w:hint="default"/>
          <w:color w:val="auto"/>
        </w:rPr>
        <w:fldChar w:fldCharType="begin"/>
      </w:r>
      <w:r>
        <w:rPr>
          <w:rFonts w:hint="default"/>
          <w:color w:val="auto"/>
        </w:rPr>
        <w:instrText xml:space="preserve"> HYPERLINK \l _Toc16929 </w:instrText>
      </w:r>
      <w:r>
        <w:rPr>
          <w:rFonts w:hint="default"/>
          <w:color w:val="auto"/>
        </w:rPr>
        <w:fldChar w:fldCharType="separate"/>
      </w:r>
      <w:r>
        <w:rPr>
          <w:rFonts w:hint="default"/>
          <w:color w:val="auto"/>
          <w:lang w:val="en-US" w:eastAsia="zh-CN"/>
        </w:rPr>
        <w:t>2.5.2</w:t>
      </w:r>
      <w:r>
        <w:rPr>
          <w:rFonts w:hint="eastAsia"/>
          <w:color w:val="auto"/>
          <w:lang w:val="en-US" w:eastAsia="zh-CN"/>
        </w:rPr>
        <w:t xml:space="preserve"> </w:t>
      </w:r>
      <w:r>
        <w:rPr>
          <w:rFonts w:hint="default"/>
          <w:color w:val="auto"/>
          <w:lang w:val="en-US" w:eastAsia="zh-CN"/>
        </w:rPr>
        <w:t>供水</w:t>
      </w:r>
      <w:r>
        <w:rPr>
          <w:color w:val="auto"/>
        </w:rPr>
        <w:tab/>
      </w:r>
      <w:r>
        <w:rPr>
          <w:color w:val="auto"/>
        </w:rPr>
        <w:fldChar w:fldCharType="begin"/>
      </w:r>
      <w:r>
        <w:rPr>
          <w:color w:val="auto"/>
        </w:rPr>
        <w:instrText xml:space="preserve"> PAGEREF _Toc16929 \h </w:instrText>
      </w:r>
      <w:r>
        <w:rPr>
          <w:color w:val="auto"/>
        </w:rPr>
        <w:fldChar w:fldCharType="separate"/>
      </w:r>
      <w:r>
        <w:rPr>
          <w:color w:val="auto"/>
        </w:rPr>
        <w:t>8</w:t>
      </w:r>
      <w:r>
        <w:rPr>
          <w:color w:val="auto"/>
        </w:rPr>
        <w:fldChar w:fldCharType="end"/>
      </w:r>
      <w:r>
        <w:rPr>
          <w:rFonts w:hint="default"/>
          <w:color w:val="auto"/>
        </w:rPr>
        <w:fldChar w:fldCharType="end"/>
      </w:r>
    </w:p>
    <w:p w14:paraId="3F5B783D">
      <w:pPr>
        <w:pStyle w:val="15"/>
        <w:tabs>
          <w:tab w:val="right" w:leader="dot" w:pos="9072"/>
        </w:tabs>
        <w:rPr>
          <w:color w:val="auto"/>
        </w:rPr>
      </w:pPr>
      <w:r>
        <w:rPr>
          <w:rFonts w:hint="default"/>
          <w:color w:val="auto"/>
        </w:rPr>
        <w:fldChar w:fldCharType="begin"/>
      </w:r>
      <w:r>
        <w:rPr>
          <w:rFonts w:hint="default"/>
          <w:color w:val="auto"/>
        </w:rPr>
        <w:instrText xml:space="preserve"> HYPERLINK \l _Toc30842 </w:instrText>
      </w:r>
      <w:r>
        <w:rPr>
          <w:rFonts w:hint="default"/>
          <w:color w:val="auto"/>
        </w:rPr>
        <w:fldChar w:fldCharType="separate"/>
      </w:r>
      <w:r>
        <w:rPr>
          <w:rFonts w:hint="default"/>
          <w:color w:val="auto"/>
          <w:lang w:val="en-US" w:eastAsia="zh-CN"/>
        </w:rPr>
        <w:t>2.6</w:t>
      </w:r>
      <w:r>
        <w:rPr>
          <w:rFonts w:hint="eastAsia"/>
          <w:color w:val="auto"/>
          <w:lang w:val="en-US" w:eastAsia="zh-CN"/>
        </w:rPr>
        <w:t xml:space="preserve"> </w:t>
      </w:r>
      <w:r>
        <w:rPr>
          <w:rFonts w:hint="default"/>
          <w:color w:val="auto"/>
          <w:lang w:val="en-US" w:eastAsia="zh-CN"/>
        </w:rPr>
        <w:t>平面交叉道口施工</w:t>
      </w:r>
      <w:r>
        <w:rPr>
          <w:color w:val="auto"/>
        </w:rPr>
        <w:tab/>
      </w:r>
      <w:r>
        <w:rPr>
          <w:color w:val="auto"/>
        </w:rPr>
        <w:fldChar w:fldCharType="begin"/>
      </w:r>
      <w:r>
        <w:rPr>
          <w:color w:val="auto"/>
        </w:rPr>
        <w:instrText xml:space="preserve"> PAGEREF _Toc30842 \h </w:instrText>
      </w:r>
      <w:r>
        <w:rPr>
          <w:color w:val="auto"/>
        </w:rPr>
        <w:fldChar w:fldCharType="separate"/>
      </w:r>
      <w:r>
        <w:rPr>
          <w:color w:val="auto"/>
        </w:rPr>
        <w:t>8</w:t>
      </w:r>
      <w:r>
        <w:rPr>
          <w:color w:val="auto"/>
        </w:rPr>
        <w:fldChar w:fldCharType="end"/>
      </w:r>
      <w:r>
        <w:rPr>
          <w:rFonts w:hint="default"/>
          <w:color w:val="auto"/>
        </w:rPr>
        <w:fldChar w:fldCharType="end"/>
      </w:r>
    </w:p>
    <w:p w14:paraId="06F7B75D">
      <w:pPr>
        <w:pStyle w:val="11"/>
        <w:tabs>
          <w:tab w:val="right" w:leader="dot" w:pos="9072"/>
        </w:tabs>
        <w:rPr>
          <w:color w:val="auto"/>
        </w:rPr>
      </w:pPr>
      <w:r>
        <w:rPr>
          <w:rFonts w:hint="default"/>
          <w:color w:val="auto"/>
        </w:rPr>
        <w:fldChar w:fldCharType="begin"/>
      </w:r>
      <w:r>
        <w:rPr>
          <w:rFonts w:hint="default"/>
          <w:color w:val="auto"/>
        </w:rPr>
        <w:instrText xml:space="preserve"> HYPERLINK \l _Toc14771 </w:instrText>
      </w:r>
      <w:r>
        <w:rPr>
          <w:rFonts w:hint="default"/>
          <w:color w:val="auto"/>
        </w:rPr>
        <w:fldChar w:fldCharType="separate"/>
      </w:r>
      <w:r>
        <w:rPr>
          <w:rFonts w:hint="eastAsia"/>
          <w:color w:val="auto"/>
          <w:lang w:val="en-US" w:eastAsia="zh-CN"/>
        </w:rPr>
        <w:t>2.6.1 施工方案</w:t>
      </w:r>
      <w:r>
        <w:rPr>
          <w:color w:val="auto"/>
        </w:rPr>
        <w:tab/>
      </w:r>
      <w:r>
        <w:rPr>
          <w:color w:val="auto"/>
        </w:rPr>
        <w:fldChar w:fldCharType="begin"/>
      </w:r>
      <w:r>
        <w:rPr>
          <w:color w:val="auto"/>
        </w:rPr>
        <w:instrText xml:space="preserve"> PAGEREF _Toc14771 \h </w:instrText>
      </w:r>
      <w:r>
        <w:rPr>
          <w:color w:val="auto"/>
        </w:rPr>
        <w:fldChar w:fldCharType="separate"/>
      </w:r>
      <w:r>
        <w:rPr>
          <w:color w:val="auto"/>
        </w:rPr>
        <w:t>8</w:t>
      </w:r>
      <w:r>
        <w:rPr>
          <w:color w:val="auto"/>
        </w:rPr>
        <w:fldChar w:fldCharType="end"/>
      </w:r>
      <w:r>
        <w:rPr>
          <w:rFonts w:hint="default"/>
          <w:color w:val="auto"/>
        </w:rPr>
        <w:fldChar w:fldCharType="end"/>
      </w:r>
    </w:p>
    <w:p w14:paraId="31FFE70A">
      <w:pPr>
        <w:pStyle w:val="11"/>
        <w:tabs>
          <w:tab w:val="right" w:leader="dot" w:pos="9072"/>
        </w:tabs>
        <w:rPr>
          <w:color w:val="auto"/>
        </w:rPr>
      </w:pPr>
      <w:r>
        <w:rPr>
          <w:rFonts w:hint="default"/>
          <w:color w:val="auto"/>
        </w:rPr>
        <w:fldChar w:fldCharType="begin"/>
      </w:r>
      <w:r>
        <w:rPr>
          <w:rFonts w:hint="default"/>
          <w:color w:val="auto"/>
        </w:rPr>
        <w:instrText xml:space="preserve"> HYPERLINK \l _Toc28846 </w:instrText>
      </w:r>
      <w:r>
        <w:rPr>
          <w:rFonts w:hint="default"/>
          <w:color w:val="auto"/>
        </w:rPr>
        <w:fldChar w:fldCharType="separate"/>
      </w:r>
      <w:r>
        <w:rPr>
          <w:rFonts w:hint="eastAsia"/>
          <w:color w:val="auto"/>
          <w:lang w:val="en-US" w:eastAsia="zh-CN"/>
        </w:rPr>
        <w:t xml:space="preserve">2.6.2 </w:t>
      </w:r>
      <w:r>
        <w:rPr>
          <w:rFonts w:hint="default"/>
          <w:color w:val="auto"/>
          <w:lang w:val="en-US" w:eastAsia="zh-CN"/>
        </w:rPr>
        <w:t>施工交通安全管理</w:t>
      </w:r>
      <w:r>
        <w:rPr>
          <w:color w:val="auto"/>
        </w:rPr>
        <w:tab/>
      </w:r>
      <w:r>
        <w:rPr>
          <w:color w:val="auto"/>
        </w:rPr>
        <w:fldChar w:fldCharType="begin"/>
      </w:r>
      <w:r>
        <w:rPr>
          <w:color w:val="auto"/>
        </w:rPr>
        <w:instrText xml:space="preserve"> PAGEREF _Toc28846 \h </w:instrText>
      </w:r>
      <w:r>
        <w:rPr>
          <w:color w:val="auto"/>
        </w:rPr>
        <w:fldChar w:fldCharType="separate"/>
      </w:r>
      <w:r>
        <w:rPr>
          <w:color w:val="auto"/>
        </w:rPr>
        <w:t>16</w:t>
      </w:r>
      <w:r>
        <w:rPr>
          <w:color w:val="auto"/>
        </w:rPr>
        <w:fldChar w:fldCharType="end"/>
      </w:r>
      <w:r>
        <w:rPr>
          <w:rFonts w:hint="default"/>
          <w:color w:val="auto"/>
        </w:rPr>
        <w:fldChar w:fldCharType="end"/>
      </w:r>
    </w:p>
    <w:p w14:paraId="12B90218">
      <w:pPr>
        <w:pStyle w:val="11"/>
        <w:tabs>
          <w:tab w:val="right" w:leader="dot" w:pos="9072"/>
        </w:tabs>
        <w:rPr>
          <w:color w:val="auto"/>
        </w:rPr>
      </w:pPr>
      <w:r>
        <w:rPr>
          <w:rFonts w:hint="default"/>
          <w:color w:val="auto"/>
        </w:rPr>
        <w:fldChar w:fldCharType="begin"/>
      </w:r>
      <w:r>
        <w:rPr>
          <w:rFonts w:hint="default"/>
          <w:color w:val="auto"/>
        </w:rPr>
        <w:instrText xml:space="preserve"> HYPERLINK \l _Toc9593 </w:instrText>
      </w:r>
      <w:r>
        <w:rPr>
          <w:rFonts w:hint="default"/>
          <w:color w:val="auto"/>
        </w:rPr>
        <w:fldChar w:fldCharType="separate"/>
      </w:r>
      <w:r>
        <w:rPr>
          <w:rFonts w:hint="default"/>
          <w:color w:val="auto"/>
          <w:lang w:val="en-US" w:eastAsia="zh-CN"/>
        </w:rPr>
        <w:t>2.6.3</w:t>
      </w:r>
      <w:r>
        <w:rPr>
          <w:rFonts w:hint="eastAsia"/>
          <w:color w:val="auto"/>
          <w:lang w:val="en-US" w:eastAsia="zh-CN"/>
        </w:rPr>
        <w:t xml:space="preserve"> </w:t>
      </w:r>
      <w:r>
        <w:rPr>
          <w:rFonts w:hint="default"/>
          <w:color w:val="auto"/>
          <w:lang w:val="en-US" w:eastAsia="zh-CN"/>
        </w:rPr>
        <w:t>施工安全措施计划</w:t>
      </w:r>
      <w:r>
        <w:rPr>
          <w:color w:val="auto"/>
        </w:rPr>
        <w:tab/>
      </w:r>
      <w:r>
        <w:rPr>
          <w:color w:val="auto"/>
        </w:rPr>
        <w:fldChar w:fldCharType="begin"/>
      </w:r>
      <w:r>
        <w:rPr>
          <w:color w:val="auto"/>
        </w:rPr>
        <w:instrText xml:space="preserve"> PAGEREF _Toc9593 \h </w:instrText>
      </w:r>
      <w:r>
        <w:rPr>
          <w:color w:val="auto"/>
        </w:rPr>
        <w:fldChar w:fldCharType="separate"/>
      </w:r>
      <w:r>
        <w:rPr>
          <w:color w:val="auto"/>
        </w:rPr>
        <w:t>17</w:t>
      </w:r>
      <w:r>
        <w:rPr>
          <w:color w:val="auto"/>
        </w:rPr>
        <w:fldChar w:fldCharType="end"/>
      </w:r>
      <w:r>
        <w:rPr>
          <w:rFonts w:hint="default"/>
          <w:color w:val="auto"/>
        </w:rPr>
        <w:fldChar w:fldCharType="end"/>
      </w:r>
    </w:p>
    <w:p w14:paraId="7F90CC43">
      <w:pPr>
        <w:pStyle w:val="11"/>
        <w:tabs>
          <w:tab w:val="right" w:leader="dot" w:pos="9072"/>
        </w:tabs>
        <w:rPr>
          <w:color w:val="auto"/>
        </w:rPr>
      </w:pPr>
      <w:r>
        <w:rPr>
          <w:rFonts w:hint="default"/>
          <w:color w:val="auto"/>
        </w:rPr>
        <w:fldChar w:fldCharType="begin"/>
      </w:r>
      <w:r>
        <w:rPr>
          <w:rFonts w:hint="default"/>
          <w:color w:val="auto"/>
        </w:rPr>
        <w:instrText xml:space="preserve"> HYPERLINK \l _Toc23763 </w:instrText>
      </w:r>
      <w:r>
        <w:rPr>
          <w:rFonts w:hint="default"/>
          <w:color w:val="auto"/>
        </w:rPr>
        <w:fldChar w:fldCharType="separate"/>
      </w:r>
      <w:r>
        <w:rPr>
          <w:rFonts w:hint="default"/>
          <w:color w:val="auto"/>
          <w:lang w:val="en-US" w:eastAsia="zh-CN"/>
        </w:rPr>
        <w:t>2.6.</w:t>
      </w:r>
      <w:r>
        <w:rPr>
          <w:rFonts w:hint="eastAsia"/>
          <w:color w:val="auto"/>
          <w:lang w:val="en-US" w:eastAsia="zh-CN"/>
        </w:rPr>
        <w:t xml:space="preserve">4 </w:t>
      </w:r>
      <w:r>
        <w:rPr>
          <w:rFonts w:hint="default"/>
          <w:color w:val="auto"/>
          <w:lang w:val="en-US" w:eastAsia="zh-CN"/>
        </w:rPr>
        <w:t>项目组织管理机构</w:t>
      </w:r>
      <w:r>
        <w:rPr>
          <w:color w:val="auto"/>
        </w:rPr>
        <w:tab/>
      </w:r>
      <w:r>
        <w:rPr>
          <w:color w:val="auto"/>
        </w:rPr>
        <w:fldChar w:fldCharType="begin"/>
      </w:r>
      <w:r>
        <w:rPr>
          <w:color w:val="auto"/>
        </w:rPr>
        <w:instrText xml:space="preserve"> PAGEREF _Toc23763 \h </w:instrText>
      </w:r>
      <w:r>
        <w:rPr>
          <w:color w:val="auto"/>
        </w:rPr>
        <w:fldChar w:fldCharType="separate"/>
      </w:r>
      <w:r>
        <w:rPr>
          <w:color w:val="auto"/>
        </w:rPr>
        <w:t>18</w:t>
      </w:r>
      <w:r>
        <w:rPr>
          <w:color w:val="auto"/>
        </w:rPr>
        <w:fldChar w:fldCharType="end"/>
      </w:r>
      <w:r>
        <w:rPr>
          <w:rFonts w:hint="default"/>
          <w:color w:val="auto"/>
        </w:rPr>
        <w:fldChar w:fldCharType="end"/>
      </w:r>
    </w:p>
    <w:p w14:paraId="2A33682A">
      <w:pPr>
        <w:pStyle w:val="11"/>
        <w:tabs>
          <w:tab w:val="right" w:leader="dot" w:pos="9072"/>
        </w:tabs>
        <w:rPr>
          <w:color w:val="auto"/>
        </w:rPr>
      </w:pPr>
      <w:r>
        <w:rPr>
          <w:rFonts w:hint="default"/>
          <w:color w:val="auto"/>
        </w:rPr>
        <w:fldChar w:fldCharType="begin"/>
      </w:r>
      <w:r>
        <w:rPr>
          <w:rFonts w:hint="default"/>
          <w:color w:val="auto"/>
        </w:rPr>
        <w:instrText xml:space="preserve"> HYPERLINK \l _Toc19649 </w:instrText>
      </w:r>
      <w:r>
        <w:rPr>
          <w:rFonts w:hint="default"/>
          <w:color w:val="auto"/>
        </w:rPr>
        <w:fldChar w:fldCharType="separate"/>
      </w:r>
      <w:r>
        <w:rPr>
          <w:rFonts w:hint="default"/>
          <w:color w:val="auto"/>
          <w:lang w:val="en-US" w:eastAsia="zh-CN"/>
        </w:rPr>
        <w:t>2.6.</w:t>
      </w:r>
      <w:r>
        <w:rPr>
          <w:rFonts w:hint="eastAsia"/>
          <w:color w:val="auto"/>
          <w:lang w:val="en-US" w:eastAsia="zh-CN"/>
        </w:rPr>
        <w:t xml:space="preserve">5 </w:t>
      </w:r>
      <w:r>
        <w:rPr>
          <w:rFonts w:hint="default"/>
          <w:color w:val="auto"/>
          <w:lang w:val="en-US" w:eastAsia="zh-CN"/>
        </w:rPr>
        <w:t>应急措施</w:t>
      </w:r>
      <w:r>
        <w:rPr>
          <w:color w:val="auto"/>
        </w:rPr>
        <w:tab/>
      </w:r>
      <w:r>
        <w:rPr>
          <w:color w:val="auto"/>
        </w:rPr>
        <w:fldChar w:fldCharType="begin"/>
      </w:r>
      <w:r>
        <w:rPr>
          <w:color w:val="auto"/>
        </w:rPr>
        <w:instrText xml:space="preserve"> PAGEREF _Toc19649 \h </w:instrText>
      </w:r>
      <w:r>
        <w:rPr>
          <w:color w:val="auto"/>
        </w:rPr>
        <w:fldChar w:fldCharType="separate"/>
      </w:r>
      <w:r>
        <w:rPr>
          <w:color w:val="auto"/>
        </w:rPr>
        <w:t>21</w:t>
      </w:r>
      <w:r>
        <w:rPr>
          <w:color w:val="auto"/>
        </w:rPr>
        <w:fldChar w:fldCharType="end"/>
      </w:r>
      <w:r>
        <w:rPr>
          <w:rFonts w:hint="default"/>
          <w:color w:val="auto"/>
        </w:rPr>
        <w:fldChar w:fldCharType="end"/>
      </w:r>
    </w:p>
    <w:p w14:paraId="5A3BC77F">
      <w:pPr>
        <w:pStyle w:val="14"/>
        <w:tabs>
          <w:tab w:val="right" w:leader="dot" w:pos="9072"/>
        </w:tabs>
        <w:rPr>
          <w:color w:val="auto"/>
        </w:rPr>
      </w:pPr>
      <w:r>
        <w:rPr>
          <w:rFonts w:hint="default"/>
          <w:color w:val="auto"/>
        </w:rPr>
        <w:fldChar w:fldCharType="begin"/>
      </w:r>
      <w:r>
        <w:rPr>
          <w:rFonts w:hint="default"/>
          <w:color w:val="auto"/>
        </w:rPr>
        <w:instrText xml:space="preserve"> HYPERLINK \l _Toc13685 </w:instrText>
      </w:r>
      <w:r>
        <w:rPr>
          <w:rFonts w:hint="default"/>
          <w:color w:val="auto"/>
        </w:rPr>
        <w:fldChar w:fldCharType="separate"/>
      </w:r>
      <w:r>
        <w:rPr>
          <w:rFonts w:hint="default"/>
          <w:color w:val="auto"/>
          <w:lang w:val="en-US" w:eastAsia="zh-CN"/>
        </w:rPr>
        <w:t>3. 危险有害因素辨识</w:t>
      </w:r>
      <w:r>
        <w:rPr>
          <w:color w:val="auto"/>
        </w:rPr>
        <w:tab/>
      </w:r>
      <w:r>
        <w:rPr>
          <w:color w:val="auto"/>
        </w:rPr>
        <w:fldChar w:fldCharType="begin"/>
      </w:r>
      <w:r>
        <w:rPr>
          <w:color w:val="auto"/>
        </w:rPr>
        <w:instrText xml:space="preserve"> PAGEREF _Toc13685 \h </w:instrText>
      </w:r>
      <w:r>
        <w:rPr>
          <w:color w:val="auto"/>
        </w:rPr>
        <w:fldChar w:fldCharType="separate"/>
      </w:r>
      <w:r>
        <w:rPr>
          <w:color w:val="auto"/>
        </w:rPr>
        <w:t>24</w:t>
      </w:r>
      <w:r>
        <w:rPr>
          <w:color w:val="auto"/>
        </w:rPr>
        <w:fldChar w:fldCharType="end"/>
      </w:r>
      <w:r>
        <w:rPr>
          <w:rFonts w:hint="default"/>
          <w:color w:val="auto"/>
        </w:rPr>
        <w:fldChar w:fldCharType="end"/>
      </w:r>
    </w:p>
    <w:p w14:paraId="0508FE62">
      <w:pPr>
        <w:pStyle w:val="15"/>
        <w:tabs>
          <w:tab w:val="right" w:leader="dot" w:pos="9072"/>
        </w:tabs>
        <w:rPr>
          <w:color w:val="auto"/>
        </w:rPr>
      </w:pPr>
      <w:r>
        <w:rPr>
          <w:rFonts w:hint="default"/>
          <w:color w:val="auto"/>
        </w:rPr>
        <w:fldChar w:fldCharType="begin"/>
      </w:r>
      <w:r>
        <w:rPr>
          <w:rFonts w:hint="default"/>
          <w:color w:val="auto"/>
        </w:rPr>
        <w:instrText xml:space="preserve"> HYPERLINK \l _Toc8850 </w:instrText>
      </w:r>
      <w:r>
        <w:rPr>
          <w:rFonts w:hint="default"/>
          <w:color w:val="auto"/>
        </w:rPr>
        <w:fldChar w:fldCharType="separate"/>
      </w:r>
      <w:r>
        <w:rPr>
          <w:rFonts w:hint="default"/>
          <w:color w:val="auto"/>
          <w:lang w:val="en-US" w:eastAsia="zh-CN"/>
        </w:rPr>
        <w:t>3.1 安全管理危险有害因素辨识与分析</w:t>
      </w:r>
      <w:r>
        <w:rPr>
          <w:color w:val="auto"/>
        </w:rPr>
        <w:tab/>
      </w:r>
      <w:r>
        <w:rPr>
          <w:color w:val="auto"/>
        </w:rPr>
        <w:fldChar w:fldCharType="begin"/>
      </w:r>
      <w:r>
        <w:rPr>
          <w:color w:val="auto"/>
        </w:rPr>
        <w:instrText xml:space="preserve"> PAGEREF _Toc8850 \h </w:instrText>
      </w:r>
      <w:r>
        <w:rPr>
          <w:color w:val="auto"/>
        </w:rPr>
        <w:fldChar w:fldCharType="separate"/>
      </w:r>
      <w:r>
        <w:rPr>
          <w:color w:val="auto"/>
        </w:rPr>
        <w:t>24</w:t>
      </w:r>
      <w:r>
        <w:rPr>
          <w:color w:val="auto"/>
        </w:rPr>
        <w:fldChar w:fldCharType="end"/>
      </w:r>
      <w:r>
        <w:rPr>
          <w:rFonts w:hint="default"/>
          <w:color w:val="auto"/>
        </w:rPr>
        <w:fldChar w:fldCharType="end"/>
      </w:r>
    </w:p>
    <w:p w14:paraId="208A21A4">
      <w:pPr>
        <w:pStyle w:val="11"/>
        <w:tabs>
          <w:tab w:val="right" w:leader="dot" w:pos="9072"/>
        </w:tabs>
        <w:rPr>
          <w:color w:val="auto"/>
        </w:rPr>
      </w:pPr>
      <w:r>
        <w:rPr>
          <w:rFonts w:hint="default"/>
          <w:color w:val="auto"/>
        </w:rPr>
        <w:fldChar w:fldCharType="begin"/>
      </w:r>
      <w:r>
        <w:rPr>
          <w:rFonts w:hint="default"/>
          <w:color w:val="auto"/>
        </w:rPr>
        <w:instrText xml:space="preserve"> HYPERLINK \l _Toc13180 </w:instrText>
      </w:r>
      <w:r>
        <w:rPr>
          <w:rFonts w:hint="default"/>
          <w:color w:val="auto"/>
        </w:rPr>
        <w:fldChar w:fldCharType="separate"/>
      </w:r>
      <w:r>
        <w:rPr>
          <w:rFonts w:hint="default"/>
          <w:color w:val="auto"/>
          <w:lang w:val="en-US" w:eastAsia="zh-CN"/>
        </w:rPr>
        <w:t>3.1.1 人员的安全管理危险性分析</w:t>
      </w:r>
      <w:r>
        <w:rPr>
          <w:color w:val="auto"/>
        </w:rPr>
        <w:tab/>
      </w:r>
      <w:r>
        <w:rPr>
          <w:color w:val="auto"/>
        </w:rPr>
        <w:fldChar w:fldCharType="begin"/>
      </w:r>
      <w:r>
        <w:rPr>
          <w:color w:val="auto"/>
        </w:rPr>
        <w:instrText xml:space="preserve"> PAGEREF _Toc13180 \h </w:instrText>
      </w:r>
      <w:r>
        <w:rPr>
          <w:color w:val="auto"/>
        </w:rPr>
        <w:fldChar w:fldCharType="separate"/>
      </w:r>
      <w:r>
        <w:rPr>
          <w:color w:val="auto"/>
        </w:rPr>
        <w:t>24</w:t>
      </w:r>
      <w:r>
        <w:rPr>
          <w:color w:val="auto"/>
        </w:rPr>
        <w:fldChar w:fldCharType="end"/>
      </w:r>
      <w:r>
        <w:rPr>
          <w:rFonts w:hint="default"/>
          <w:color w:val="auto"/>
        </w:rPr>
        <w:fldChar w:fldCharType="end"/>
      </w:r>
    </w:p>
    <w:p w14:paraId="1BED677B">
      <w:pPr>
        <w:pStyle w:val="11"/>
        <w:tabs>
          <w:tab w:val="right" w:leader="dot" w:pos="9072"/>
        </w:tabs>
        <w:rPr>
          <w:color w:val="auto"/>
        </w:rPr>
      </w:pPr>
      <w:r>
        <w:rPr>
          <w:rFonts w:hint="default"/>
          <w:color w:val="auto"/>
        </w:rPr>
        <w:fldChar w:fldCharType="begin"/>
      </w:r>
      <w:r>
        <w:rPr>
          <w:rFonts w:hint="default"/>
          <w:color w:val="auto"/>
        </w:rPr>
        <w:instrText xml:space="preserve"> HYPERLINK \l _Toc20014 </w:instrText>
      </w:r>
      <w:r>
        <w:rPr>
          <w:rFonts w:hint="default"/>
          <w:color w:val="auto"/>
        </w:rPr>
        <w:fldChar w:fldCharType="separate"/>
      </w:r>
      <w:r>
        <w:rPr>
          <w:rFonts w:hint="default"/>
          <w:color w:val="auto"/>
          <w:lang w:val="en-US" w:eastAsia="zh-CN"/>
        </w:rPr>
        <w:t>3.1.2 设备设施的的安全管理危险性分析</w:t>
      </w:r>
      <w:r>
        <w:rPr>
          <w:color w:val="auto"/>
        </w:rPr>
        <w:tab/>
      </w:r>
      <w:r>
        <w:rPr>
          <w:color w:val="auto"/>
        </w:rPr>
        <w:fldChar w:fldCharType="begin"/>
      </w:r>
      <w:r>
        <w:rPr>
          <w:color w:val="auto"/>
        </w:rPr>
        <w:instrText xml:space="preserve"> PAGEREF _Toc20014 \h </w:instrText>
      </w:r>
      <w:r>
        <w:rPr>
          <w:color w:val="auto"/>
        </w:rPr>
        <w:fldChar w:fldCharType="separate"/>
      </w:r>
      <w:r>
        <w:rPr>
          <w:color w:val="auto"/>
        </w:rPr>
        <w:t>26</w:t>
      </w:r>
      <w:r>
        <w:rPr>
          <w:color w:val="auto"/>
        </w:rPr>
        <w:fldChar w:fldCharType="end"/>
      </w:r>
      <w:r>
        <w:rPr>
          <w:rFonts w:hint="default"/>
          <w:color w:val="auto"/>
        </w:rPr>
        <w:fldChar w:fldCharType="end"/>
      </w:r>
    </w:p>
    <w:p w14:paraId="4FE6E856">
      <w:pPr>
        <w:pStyle w:val="11"/>
        <w:tabs>
          <w:tab w:val="right" w:leader="dot" w:pos="9072"/>
        </w:tabs>
        <w:rPr>
          <w:color w:val="auto"/>
        </w:rPr>
      </w:pPr>
      <w:r>
        <w:rPr>
          <w:rFonts w:hint="default"/>
          <w:color w:val="auto"/>
        </w:rPr>
        <w:fldChar w:fldCharType="begin"/>
      </w:r>
      <w:r>
        <w:rPr>
          <w:rFonts w:hint="default"/>
          <w:color w:val="auto"/>
        </w:rPr>
        <w:instrText xml:space="preserve"> HYPERLINK \l _Toc21301 </w:instrText>
      </w:r>
      <w:r>
        <w:rPr>
          <w:rFonts w:hint="default"/>
          <w:color w:val="auto"/>
        </w:rPr>
        <w:fldChar w:fldCharType="separate"/>
      </w:r>
      <w:r>
        <w:rPr>
          <w:rFonts w:hint="default"/>
          <w:color w:val="auto"/>
          <w:lang w:val="en-US" w:eastAsia="zh-CN"/>
        </w:rPr>
        <w:t>3.1.3 安全管理危险性分析</w:t>
      </w:r>
      <w:r>
        <w:rPr>
          <w:color w:val="auto"/>
        </w:rPr>
        <w:tab/>
      </w:r>
      <w:r>
        <w:rPr>
          <w:color w:val="auto"/>
        </w:rPr>
        <w:fldChar w:fldCharType="begin"/>
      </w:r>
      <w:r>
        <w:rPr>
          <w:color w:val="auto"/>
        </w:rPr>
        <w:instrText xml:space="preserve"> PAGEREF _Toc21301 \h </w:instrText>
      </w:r>
      <w:r>
        <w:rPr>
          <w:color w:val="auto"/>
        </w:rPr>
        <w:fldChar w:fldCharType="separate"/>
      </w:r>
      <w:r>
        <w:rPr>
          <w:color w:val="auto"/>
        </w:rPr>
        <w:t>26</w:t>
      </w:r>
      <w:r>
        <w:rPr>
          <w:color w:val="auto"/>
        </w:rPr>
        <w:fldChar w:fldCharType="end"/>
      </w:r>
      <w:r>
        <w:rPr>
          <w:rFonts w:hint="default"/>
          <w:color w:val="auto"/>
        </w:rPr>
        <w:fldChar w:fldCharType="end"/>
      </w:r>
    </w:p>
    <w:p w14:paraId="2C510E43">
      <w:pPr>
        <w:pStyle w:val="11"/>
        <w:tabs>
          <w:tab w:val="right" w:leader="dot" w:pos="9072"/>
        </w:tabs>
        <w:rPr>
          <w:color w:val="auto"/>
        </w:rPr>
      </w:pPr>
      <w:r>
        <w:rPr>
          <w:rFonts w:hint="default"/>
          <w:color w:val="auto"/>
        </w:rPr>
        <w:fldChar w:fldCharType="begin"/>
      </w:r>
      <w:r>
        <w:rPr>
          <w:rFonts w:hint="default"/>
          <w:color w:val="auto"/>
        </w:rPr>
        <w:instrText xml:space="preserve"> HYPERLINK \l _Toc19574 </w:instrText>
      </w:r>
      <w:r>
        <w:rPr>
          <w:rFonts w:hint="default"/>
          <w:color w:val="auto"/>
        </w:rPr>
        <w:fldChar w:fldCharType="separate"/>
      </w:r>
      <w:r>
        <w:rPr>
          <w:rFonts w:hint="default"/>
          <w:color w:val="auto"/>
          <w:lang w:val="en-US" w:eastAsia="zh-CN"/>
        </w:rPr>
        <w:t>3.1.4 安全标志、照明设备防护设备设施危险有害因素分析</w:t>
      </w:r>
      <w:r>
        <w:rPr>
          <w:color w:val="auto"/>
        </w:rPr>
        <w:tab/>
      </w:r>
      <w:r>
        <w:rPr>
          <w:color w:val="auto"/>
        </w:rPr>
        <w:fldChar w:fldCharType="begin"/>
      </w:r>
      <w:r>
        <w:rPr>
          <w:color w:val="auto"/>
        </w:rPr>
        <w:instrText xml:space="preserve"> PAGEREF _Toc19574 \h </w:instrText>
      </w:r>
      <w:r>
        <w:rPr>
          <w:color w:val="auto"/>
        </w:rPr>
        <w:fldChar w:fldCharType="separate"/>
      </w:r>
      <w:r>
        <w:rPr>
          <w:color w:val="auto"/>
        </w:rPr>
        <w:t>27</w:t>
      </w:r>
      <w:r>
        <w:rPr>
          <w:color w:val="auto"/>
        </w:rPr>
        <w:fldChar w:fldCharType="end"/>
      </w:r>
      <w:r>
        <w:rPr>
          <w:rFonts w:hint="default"/>
          <w:color w:val="auto"/>
        </w:rPr>
        <w:fldChar w:fldCharType="end"/>
      </w:r>
    </w:p>
    <w:p w14:paraId="031C5BA9">
      <w:pPr>
        <w:pStyle w:val="15"/>
        <w:tabs>
          <w:tab w:val="right" w:leader="dot" w:pos="9072"/>
        </w:tabs>
        <w:rPr>
          <w:color w:val="auto"/>
        </w:rPr>
      </w:pPr>
      <w:r>
        <w:rPr>
          <w:rFonts w:hint="default"/>
          <w:color w:val="auto"/>
        </w:rPr>
        <w:fldChar w:fldCharType="begin"/>
      </w:r>
      <w:r>
        <w:rPr>
          <w:rFonts w:hint="default"/>
          <w:color w:val="auto"/>
        </w:rPr>
        <w:instrText xml:space="preserve"> HYPERLINK \l _Toc28834 </w:instrText>
      </w:r>
      <w:r>
        <w:rPr>
          <w:rFonts w:hint="default"/>
          <w:color w:val="auto"/>
        </w:rPr>
        <w:fldChar w:fldCharType="separate"/>
      </w:r>
      <w:r>
        <w:rPr>
          <w:rFonts w:hint="default"/>
          <w:color w:val="auto"/>
          <w:lang w:val="en-US" w:eastAsia="zh-CN"/>
        </w:rPr>
        <w:t>3.2 项目施工过程危险有害因素辨识与分析</w:t>
      </w:r>
      <w:r>
        <w:rPr>
          <w:color w:val="auto"/>
        </w:rPr>
        <w:tab/>
      </w:r>
      <w:r>
        <w:rPr>
          <w:color w:val="auto"/>
        </w:rPr>
        <w:fldChar w:fldCharType="begin"/>
      </w:r>
      <w:r>
        <w:rPr>
          <w:color w:val="auto"/>
        </w:rPr>
        <w:instrText xml:space="preserve"> PAGEREF _Toc28834 \h </w:instrText>
      </w:r>
      <w:r>
        <w:rPr>
          <w:color w:val="auto"/>
        </w:rPr>
        <w:fldChar w:fldCharType="separate"/>
      </w:r>
      <w:r>
        <w:rPr>
          <w:color w:val="auto"/>
        </w:rPr>
        <w:t>27</w:t>
      </w:r>
      <w:r>
        <w:rPr>
          <w:color w:val="auto"/>
        </w:rPr>
        <w:fldChar w:fldCharType="end"/>
      </w:r>
      <w:r>
        <w:rPr>
          <w:rFonts w:hint="default"/>
          <w:color w:val="auto"/>
        </w:rPr>
        <w:fldChar w:fldCharType="end"/>
      </w:r>
    </w:p>
    <w:p w14:paraId="1EC7E004">
      <w:pPr>
        <w:pStyle w:val="11"/>
        <w:tabs>
          <w:tab w:val="right" w:leader="dot" w:pos="9072"/>
        </w:tabs>
        <w:rPr>
          <w:color w:val="auto"/>
        </w:rPr>
      </w:pPr>
      <w:r>
        <w:rPr>
          <w:rFonts w:hint="default"/>
          <w:color w:val="auto"/>
        </w:rPr>
        <w:fldChar w:fldCharType="begin"/>
      </w:r>
      <w:r>
        <w:rPr>
          <w:rFonts w:hint="default"/>
          <w:color w:val="auto"/>
        </w:rPr>
        <w:instrText xml:space="preserve"> HYPERLINK \l _Toc6528 </w:instrText>
      </w:r>
      <w:r>
        <w:rPr>
          <w:rFonts w:hint="default"/>
          <w:color w:val="auto"/>
        </w:rPr>
        <w:fldChar w:fldCharType="separate"/>
      </w:r>
      <w:r>
        <w:rPr>
          <w:rFonts w:hint="default"/>
          <w:color w:val="auto"/>
          <w:lang w:val="en-US" w:eastAsia="zh-CN"/>
        </w:rPr>
        <w:t>3.2.1 坍塌</w:t>
      </w:r>
      <w:r>
        <w:rPr>
          <w:color w:val="auto"/>
        </w:rPr>
        <w:tab/>
      </w:r>
      <w:r>
        <w:rPr>
          <w:color w:val="auto"/>
        </w:rPr>
        <w:fldChar w:fldCharType="begin"/>
      </w:r>
      <w:r>
        <w:rPr>
          <w:color w:val="auto"/>
        </w:rPr>
        <w:instrText xml:space="preserve"> PAGEREF _Toc6528 \h </w:instrText>
      </w:r>
      <w:r>
        <w:rPr>
          <w:color w:val="auto"/>
        </w:rPr>
        <w:fldChar w:fldCharType="separate"/>
      </w:r>
      <w:r>
        <w:rPr>
          <w:color w:val="auto"/>
        </w:rPr>
        <w:t>27</w:t>
      </w:r>
      <w:r>
        <w:rPr>
          <w:color w:val="auto"/>
        </w:rPr>
        <w:fldChar w:fldCharType="end"/>
      </w:r>
      <w:r>
        <w:rPr>
          <w:rFonts w:hint="default"/>
          <w:color w:val="auto"/>
        </w:rPr>
        <w:fldChar w:fldCharType="end"/>
      </w:r>
    </w:p>
    <w:p w14:paraId="696B6F08">
      <w:pPr>
        <w:pStyle w:val="11"/>
        <w:tabs>
          <w:tab w:val="right" w:leader="dot" w:pos="9072"/>
        </w:tabs>
        <w:rPr>
          <w:color w:val="auto"/>
        </w:rPr>
      </w:pPr>
      <w:r>
        <w:rPr>
          <w:rFonts w:hint="default"/>
          <w:color w:val="auto"/>
        </w:rPr>
        <w:fldChar w:fldCharType="begin"/>
      </w:r>
      <w:r>
        <w:rPr>
          <w:rFonts w:hint="default"/>
          <w:color w:val="auto"/>
        </w:rPr>
        <w:instrText xml:space="preserve"> HYPERLINK \l _Toc20274 </w:instrText>
      </w:r>
      <w:r>
        <w:rPr>
          <w:rFonts w:hint="default"/>
          <w:color w:val="auto"/>
        </w:rPr>
        <w:fldChar w:fldCharType="separate"/>
      </w:r>
      <w:r>
        <w:rPr>
          <w:rFonts w:hint="default"/>
          <w:color w:val="auto"/>
          <w:lang w:val="en-US" w:eastAsia="zh-CN"/>
        </w:rPr>
        <w:t>3.2.2 触电</w:t>
      </w:r>
      <w:r>
        <w:rPr>
          <w:color w:val="auto"/>
        </w:rPr>
        <w:tab/>
      </w:r>
      <w:r>
        <w:rPr>
          <w:color w:val="auto"/>
        </w:rPr>
        <w:fldChar w:fldCharType="begin"/>
      </w:r>
      <w:r>
        <w:rPr>
          <w:color w:val="auto"/>
        </w:rPr>
        <w:instrText xml:space="preserve"> PAGEREF _Toc20274 \h </w:instrText>
      </w:r>
      <w:r>
        <w:rPr>
          <w:color w:val="auto"/>
        </w:rPr>
        <w:fldChar w:fldCharType="separate"/>
      </w:r>
      <w:r>
        <w:rPr>
          <w:color w:val="auto"/>
        </w:rPr>
        <w:t>27</w:t>
      </w:r>
      <w:r>
        <w:rPr>
          <w:color w:val="auto"/>
        </w:rPr>
        <w:fldChar w:fldCharType="end"/>
      </w:r>
      <w:r>
        <w:rPr>
          <w:rFonts w:hint="default"/>
          <w:color w:val="auto"/>
        </w:rPr>
        <w:fldChar w:fldCharType="end"/>
      </w:r>
    </w:p>
    <w:p w14:paraId="7B789301">
      <w:pPr>
        <w:pStyle w:val="11"/>
        <w:tabs>
          <w:tab w:val="right" w:leader="dot" w:pos="9072"/>
        </w:tabs>
        <w:rPr>
          <w:color w:val="auto"/>
        </w:rPr>
      </w:pPr>
      <w:r>
        <w:rPr>
          <w:rFonts w:hint="default"/>
          <w:color w:val="auto"/>
        </w:rPr>
        <w:fldChar w:fldCharType="begin"/>
      </w:r>
      <w:r>
        <w:rPr>
          <w:rFonts w:hint="default"/>
          <w:color w:val="auto"/>
        </w:rPr>
        <w:instrText xml:space="preserve"> HYPERLINK \l _Toc3048 </w:instrText>
      </w:r>
      <w:r>
        <w:rPr>
          <w:rFonts w:hint="default"/>
          <w:color w:val="auto"/>
        </w:rPr>
        <w:fldChar w:fldCharType="separate"/>
      </w:r>
      <w:r>
        <w:rPr>
          <w:rFonts w:hint="default"/>
          <w:color w:val="auto"/>
          <w:lang w:val="en-US" w:eastAsia="zh-CN"/>
        </w:rPr>
        <w:t>3.2.3 物体打击</w:t>
      </w:r>
      <w:r>
        <w:rPr>
          <w:color w:val="auto"/>
        </w:rPr>
        <w:tab/>
      </w:r>
      <w:r>
        <w:rPr>
          <w:color w:val="auto"/>
        </w:rPr>
        <w:fldChar w:fldCharType="begin"/>
      </w:r>
      <w:r>
        <w:rPr>
          <w:color w:val="auto"/>
        </w:rPr>
        <w:instrText xml:space="preserve"> PAGEREF _Toc3048 \h </w:instrText>
      </w:r>
      <w:r>
        <w:rPr>
          <w:color w:val="auto"/>
        </w:rPr>
        <w:fldChar w:fldCharType="separate"/>
      </w:r>
      <w:r>
        <w:rPr>
          <w:color w:val="auto"/>
        </w:rPr>
        <w:t>28</w:t>
      </w:r>
      <w:r>
        <w:rPr>
          <w:color w:val="auto"/>
        </w:rPr>
        <w:fldChar w:fldCharType="end"/>
      </w:r>
      <w:r>
        <w:rPr>
          <w:rFonts w:hint="default"/>
          <w:color w:val="auto"/>
        </w:rPr>
        <w:fldChar w:fldCharType="end"/>
      </w:r>
    </w:p>
    <w:p w14:paraId="31669D1D">
      <w:pPr>
        <w:pStyle w:val="11"/>
        <w:tabs>
          <w:tab w:val="right" w:leader="dot" w:pos="9072"/>
        </w:tabs>
        <w:rPr>
          <w:color w:val="auto"/>
        </w:rPr>
      </w:pPr>
      <w:r>
        <w:rPr>
          <w:rFonts w:hint="default"/>
          <w:color w:val="auto"/>
        </w:rPr>
        <w:fldChar w:fldCharType="begin"/>
      </w:r>
      <w:r>
        <w:rPr>
          <w:rFonts w:hint="default"/>
          <w:color w:val="auto"/>
        </w:rPr>
        <w:instrText xml:space="preserve"> HYPERLINK \l _Toc12370 </w:instrText>
      </w:r>
      <w:r>
        <w:rPr>
          <w:rFonts w:hint="default"/>
          <w:color w:val="auto"/>
        </w:rPr>
        <w:fldChar w:fldCharType="separate"/>
      </w:r>
      <w:r>
        <w:rPr>
          <w:rFonts w:hint="default"/>
          <w:color w:val="auto"/>
          <w:lang w:val="en-US" w:eastAsia="zh-CN"/>
        </w:rPr>
        <w:t>3.2.4 车辆伤害</w:t>
      </w:r>
      <w:r>
        <w:rPr>
          <w:color w:val="auto"/>
        </w:rPr>
        <w:tab/>
      </w:r>
      <w:r>
        <w:rPr>
          <w:color w:val="auto"/>
        </w:rPr>
        <w:fldChar w:fldCharType="begin"/>
      </w:r>
      <w:r>
        <w:rPr>
          <w:color w:val="auto"/>
        </w:rPr>
        <w:instrText xml:space="preserve"> PAGEREF _Toc12370 \h </w:instrText>
      </w:r>
      <w:r>
        <w:rPr>
          <w:color w:val="auto"/>
        </w:rPr>
        <w:fldChar w:fldCharType="separate"/>
      </w:r>
      <w:r>
        <w:rPr>
          <w:color w:val="auto"/>
        </w:rPr>
        <w:t>28</w:t>
      </w:r>
      <w:r>
        <w:rPr>
          <w:color w:val="auto"/>
        </w:rPr>
        <w:fldChar w:fldCharType="end"/>
      </w:r>
      <w:r>
        <w:rPr>
          <w:rFonts w:hint="default"/>
          <w:color w:val="auto"/>
        </w:rPr>
        <w:fldChar w:fldCharType="end"/>
      </w:r>
    </w:p>
    <w:p w14:paraId="57AA63FF">
      <w:pPr>
        <w:pStyle w:val="11"/>
        <w:tabs>
          <w:tab w:val="right" w:leader="dot" w:pos="9072"/>
        </w:tabs>
        <w:rPr>
          <w:color w:val="auto"/>
        </w:rPr>
      </w:pPr>
      <w:r>
        <w:rPr>
          <w:rFonts w:hint="default"/>
          <w:color w:val="auto"/>
        </w:rPr>
        <w:fldChar w:fldCharType="begin"/>
      </w:r>
      <w:r>
        <w:rPr>
          <w:rFonts w:hint="default"/>
          <w:color w:val="auto"/>
        </w:rPr>
        <w:instrText xml:space="preserve"> HYPERLINK \l _Toc6050 </w:instrText>
      </w:r>
      <w:r>
        <w:rPr>
          <w:rFonts w:hint="default"/>
          <w:color w:val="auto"/>
        </w:rPr>
        <w:fldChar w:fldCharType="separate"/>
      </w:r>
      <w:r>
        <w:rPr>
          <w:rFonts w:hint="default"/>
          <w:color w:val="auto"/>
          <w:lang w:val="en-US" w:eastAsia="zh-CN"/>
        </w:rPr>
        <w:t>3.2.5 机械伤害</w:t>
      </w:r>
      <w:r>
        <w:rPr>
          <w:color w:val="auto"/>
        </w:rPr>
        <w:tab/>
      </w:r>
      <w:r>
        <w:rPr>
          <w:color w:val="auto"/>
        </w:rPr>
        <w:fldChar w:fldCharType="begin"/>
      </w:r>
      <w:r>
        <w:rPr>
          <w:color w:val="auto"/>
        </w:rPr>
        <w:instrText xml:space="preserve"> PAGEREF _Toc6050 \h </w:instrText>
      </w:r>
      <w:r>
        <w:rPr>
          <w:color w:val="auto"/>
        </w:rPr>
        <w:fldChar w:fldCharType="separate"/>
      </w:r>
      <w:r>
        <w:rPr>
          <w:color w:val="auto"/>
        </w:rPr>
        <w:t>29</w:t>
      </w:r>
      <w:r>
        <w:rPr>
          <w:color w:val="auto"/>
        </w:rPr>
        <w:fldChar w:fldCharType="end"/>
      </w:r>
      <w:r>
        <w:rPr>
          <w:rFonts w:hint="default"/>
          <w:color w:val="auto"/>
        </w:rPr>
        <w:fldChar w:fldCharType="end"/>
      </w:r>
    </w:p>
    <w:p w14:paraId="68AFEBBF">
      <w:pPr>
        <w:pStyle w:val="11"/>
        <w:tabs>
          <w:tab w:val="right" w:leader="dot" w:pos="9072"/>
        </w:tabs>
        <w:rPr>
          <w:color w:val="auto"/>
        </w:rPr>
      </w:pPr>
      <w:r>
        <w:rPr>
          <w:rFonts w:hint="default"/>
          <w:color w:val="auto"/>
        </w:rPr>
        <w:fldChar w:fldCharType="begin"/>
      </w:r>
      <w:r>
        <w:rPr>
          <w:rFonts w:hint="default"/>
          <w:color w:val="auto"/>
        </w:rPr>
        <w:instrText xml:space="preserve"> HYPERLINK \l _Toc30585 </w:instrText>
      </w:r>
      <w:r>
        <w:rPr>
          <w:rFonts w:hint="default"/>
          <w:color w:val="auto"/>
        </w:rPr>
        <w:fldChar w:fldCharType="separate"/>
      </w:r>
      <w:r>
        <w:rPr>
          <w:rFonts w:hint="default"/>
          <w:color w:val="auto"/>
          <w:lang w:val="en-US" w:eastAsia="zh-CN"/>
        </w:rPr>
        <w:t>3.2.</w:t>
      </w:r>
      <w:r>
        <w:rPr>
          <w:rFonts w:hint="eastAsia"/>
          <w:color w:val="auto"/>
          <w:lang w:val="en-US" w:eastAsia="zh-CN"/>
        </w:rPr>
        <w:t>6</w:t>
      </w:r>
      <w:r>
        <w:rPr>
          <w:rFonts w:hint="default"/>
          <w:color w:val="auto"/>
          <w:lang w:val="en-US" w:eastAsia="zh-CN"/>
        </w:rPr>
        <w:t xml:space="preserve"> 火灾</w:t>
      </w:r>
      <w:r>
        <w:rPr>
          <w:color w:val="auto"/>
        </w:rPr>
        <w:tab/>
      </w:r>
      <w:r>
        <w:rPr>
          <w:color w:val="auto"/>
        </w:rPr>
        <w:fldChar w:fldCharType="begin"/>
      </w:r>
      <w:r>
        <w:rPr>
          <w:color w:val="auto"/>
        </w:rPr>
        <w:instrText xml:space="preserve"> PAGEREF _Toc30585 \h </w:instrText>
      </w:r>
      <w:r>
        <w:rPr>
          <w:color w:val="auto"/>
        </w:rPr>
        <w:fldChar w:fldCharType="separate"/>
      </w:r>
      <w:r>
        <w:rPr>
          <w:color w:val="auto"/>
        </w:rPr>
        <w:t>29</w:t>
      </w:r>
      <w:r>
        <w:rPr>
          <w:color w:val="auto"/>
        </w:rPr>
        <w:fldChar w:fldCharType="end"/>
      </w:r>
      <w:r>
        <w:rPr>
          <w:rFonts w:hint="default"/>
          <w:color w:val="auto"/>
        </w:rPr>
        <w:fldChar w:fldCharType="end"/>
      </w:r>
    </w:p>
    <w:p w14:paraId="7F842D9D">
      <w:pPr>
        <w:pStyle w:val="11"/>
        <w:tabs>
          <w:tab w:val="right" w:leader="dot" w:pos="9072"/>
        </w:tabs>
        <w:rPr>
          <w:color w:val="auto"/>
        </w:rPr>
      </w:pPr>
      <w:r>
        <w:rPr>
          <w:rFonts w:hint="default"/>
          <w:color w:val="auto"/>
        </w:rPr>
        <w:fldChar w:fldCharType="begin"/>
      </w:r>
      <w:r>
        <w:rPr>
          <w:rFonts w:hint="default"/>
          <w:color w:val="auto"/>
        </w:rPr>
        <w:instrText xml:space="preserve"> HYPERLINK \l _Toc7250 </w:instrText>
      </w:r>
      <w:r>
        <w:rPr>
          <w:rFonts w:hint="default"/>
          <w:color w:val="auto"/>
        </w:rPr>
        <w:fldChar w:fldCharType="separate"/>
      </w:r>
      <w:r>
        <w:rPr>
          <w:rFonts w:hint="default"/>
          <w:color w:val="auto"/>
          <w:lang w:val="en-US" w:eastAsia="zh-CN"/>
        </w:rPr>
        <w:t>3.2.</w:t>
      </w:r>
      <w:r>
        <w:rPr>
          <w:rFonts w:hint="eastAsia"/>
          <w:color w:val="auto"/>
          <w:lang w:val="en-US" w:eastAsia="zh-CN"/>
        </w:rPr>
        <w:t>7</w:t>
      </w:r>
      <w:r>
        <w:rPr>
          <w:rFonts w:hint="default"/>
          <w:color w:val="auto"/>
          <w:lang w:val="en-US" w:eastAsia="zh-CN"/>
        </w:rPr>
        <w:t xml:space="preserve"> 噪声</w:t>
      </w:r>
      <w:r>
        <w:rPr>
          <w:color w:val="auto"/>
        </w:rPr>
        <w:tab/>
      </w:r>
      <w:r>
        <w:rPr>
          <w:color w:val="auto"/>
        </w:rPr>
        <w:fldChar w:fldCharType="begin"/>
      </w:r>
      <w:r>
        <w:rPr>
          <w:color w:val="auto"/>
        </w:rPr>
        <w:instrText xml:space="preserve"> PAGEREF _Toc7250 \h </w:instrText>
      </w:r>
      <w:r>
        <w:rPr>
          <w:color w:val="auto"/>
        </w:rPr>
        <w:fldChar w:fldCharType="separate"/>
      </w:r>
      <w:r>
        <w:rPr>
          <w:color w:val="auto"/>
        </w:rPr>
        <w:t>30</w:t>
      </w:r>
      <w:r>
        <w:rPr>
          <w:color w:val="auto"/>
        </w:rPr>
        <w:fldChar w:fldCharType="end"/>
      </w:r>
      <w:r>
        <w:rPr>
          <w:rFonts w:hint="default"/>
          <w:color w:val="auto"/>
        </w:rPr>
        <w:fldChar w:fldCharType="end"/>
      </w:r>
    </w:p>
    <w:p w14:paraId="6C3AB4C5">
      <w:pPr>
        <w:pStyle w:val="11"/>
        <w:tabs>
          <w:tab w:val="right" w:leader="dot" w:pos="9072"/>
        </w:tabs>
        <w:rPr>
          <w:color w:val="auto"/>
        </w:rPr>
      </w:pPr>
      <w:r>
        <w:rPr>
          <w:rFonts w:hint="default"/>
          <w:color w:val="auto"/>
        </w:rPr>
        <w:fldChar w:fldCharType="begin"/>
      </w:r>
      <w:r>
        <w:rPr>
          <w:rFonts w:hint="default"/>
          <w:color w:val="auto"/>
        </w:rPr>
        <w:instrText xml:space="preserve"> HYPERLINK \l _Toc3993 </w:instrText>
      </w:r>
      <w:r>
        <w:rPr>
          <w:rFonts w:hint="default"/>
          <w:color w:val="auto"/>
        </w:rPr>
        <w:fldChar w:fldCharType="separate"/>
      </w:r>
      <w:r>
        <w:rPr>
          <w:rFonts w:hint="default"/>
          <w:color w:val="auto"/>
          <w:lang w:val="en-US" w:eastAsia="zh-CN"/>
        </w:rPr>
        <w:t>3.2.</w:t>
      </w:r>
      <w:r>
        <w:rPr>
          <w:rFonts w:hint="eastAsia"/>
          <w:color w:val="auto"/>
          <w:lang w:val="en-US" w:eastAsia="zh-CN"/>
        </w:rPr>
        <w:t>8</w:t>
      </w:r>
      <w:r>
        <w:rPr>
          <w:rFonts w:hint="default"/>
          <w:color w:val="auto"/>
          <w:lang w:val="en-US" w:eastAsia="zh-CN"/>
        </w:rPr>
        <w:t xml:space="preserve"> 高、低温</w:t>
      </w:r>
      <w:r>
        <w:rPr>
          <w:color w:val="auto"/>
        </w:rPr>
        <w:tab/>
      </w:r>
      <w:r>
        <w:rPr>
          <w:color w:val="auto"/>
        </w:rPr>
        <w:fldChar w:fldCharType="begin"/>
      </w:r>
      <w:r>
        <w:rPr>
          <w:color w:val="auto"/>
        </w:rPr>
        <w:instrText xml:space="preserve"> PAGEREF _Toc3993 \h </w:instrText>
      </w:r>
      <w:r>
        <w:rPr>
          <w:color w:val="auto"/>
        </w:rPr>
        <w:fldChar w:fldCharType="separate"/>
      </w:r>
      <w:r>
        <w:rPr>
          <w:color w:val="auto"/>
        </w:rPr>
        <w:t>30</w:t>
      </w:r>
      <w:r>
        <w:rPr>
          <w:color w:val="auto"/>
        </w:rPr>
        <w:fldChar w:fldCharType="end"/>
      </w:r>
      <w:r>
        <w:rPr>
          <w:rFonts w:hint="default"/>
          <w:color w:val="auto"/>
        </w:rPr>
        <w:fldChar w:fldCharType="end"/>
      </w:r>
    </w:p>
    <w:p w14:paraId="4C85ED46">
      <w:pPr>
        <w:pStyle w:val="11"/>
        <w:tabs>
          <w:tab w:val="right" w:leader="dot" w:pos="9072"/>
        </w:tabs>
        <w:rPr>
          <w:color w:val="auto"/>
        </w:rPr>
      </w:pPr>
      <w:r>
        <w:rPr>
          <w:rFonts w:hint="default"/>
          <w:color w:val="auto"/>
        </w:rPr>
        <w:fldChar w:fldCharType="begin"/>
      </w:r>
      <w:r>
        <w:rPr>
          <w:rFonts w:hint="default"/>
          <w:color w:val="auto"/>
        </w:rPr>
        <w:instrText xml:space="preserve"> HYPERLINK \l _Toc17275 </w:instrText>
      </w:r>
      <w:r>
        <w:rPr>
          <w:rFonts w:hint="default"/>
          <w:color w:val="auto"/>
        </w:rPr>
        <w:fldChar w:fldCharType="separate"/>
      </w:r>
      <w:r>
        <w:rPr>
          <w:rFonts w:hint="default"/>
          <w:color w:val="auto"/>
          <w:lang w:val="en-US" w:eastAsia="zh-CN"/>
        </w:rPr>
        <w:t>3.2.</w:t>
      </w:r>
      <w:r>
        <w:rPr>
          <w:rFonts w:hint="eastAsia"/>
          <w:color w:val="auto"/>
          <w:lang w:val="en-US" w:eastAsia="zh-CN"/>
        </w:rPr>
        <w:t>9</w:t>
      </w:r>
      <w:r>
        <w:rPr>
          <w:rFonts w:hint="default"/>
          <w:color w:val="auto"/>
          <w:lang w:val="en-US" w:eastAsia="zh-CN"/>
        </w:rPr>
        <w:t xml:space="preserve"> 其它伤害</w:t>
      </w:r>
      <w:r>
        <w:rPr>
          <w:color w:val="auto"/>
        </w:rPr>
        <w:tab/>
      </w:r>
      <w:r>
        <w:rPr>
          <w:color w:val="auto"/>
        </w:rPr>
        <w:fldChar w:fldCharType="begin"/>
      </w:r>
      <w:r>
        <w:rPr>
          <w:color w:val="auto"/>
        </w:rPr>
        <w:instrText xml:space="preserve"> PAGEREF _Toc17275 \h </w:instrText>
      </w:r>
      <w:r>
        <w:rPr>
          <w:color w:val="auto"/>
        </w:rPr>
        <w:fldChar w:fldCharType="separate"/>
      </w:r>
      <w:r>
        <w:rPr>
          <w:color w:val="auto"/>
        </w:rPr>
        <w:t>30</w:t>
      </w:r>
      <w:r>
        <w:rPr>
          <w:color w:val="auto"/>
        </w:rPr>
        <w:fldChar w:fldCharType="end"/>
      </w:r>
      <w:r>
        <w:rPr>
          <w:rFonts w:hint="default"/>
          <w:color w:val="auto"/>
        </w:rPr>
        <w:fldChar w:fldCharType="end"/>
      </w:r>
    </w:p>
    <w:p w14:paraId="31492E63">
      <w:pPr>
        <w:pStyle w:val="14"/>
        <w:tabs>
          <w:tab w:val="right" w:leader="dot" w:pos="9072"/>
        </w:tabs>
        <w:rPr>
          <w:color w:val="auto"/>
        </w:rPr>
      </w:pPr>
      <w:r>
        <w:rPr>
          <w:rFonts w:hint="default"/>
          <w:color w:val="auto"/>
        </w:rPr>
        <w:fldChar w:fldCharType="begin"/>
      </w:r>
      <w:r>
        <w:rPr>
          <w:rFonts w:hint="default"/>
          <w:color w:val="auto"/>
        </w:rPr>
        <w:instrText xml:space="preserve"> HYPERLINK \l _Toc9504 </w:instrText>
      </w:r>
      <w:r>
        <w:rPr>
          <w:rFonts w:hint="default"/>
          <w:color w:val="auto"/>
        </w:rPr>
        <w:fldChar w:fldCharType="separate"/>
      </w:r>
      <w:r>
        <w:rPr>
          <w:rFonts w:hint="default"/>
          <w:color w:val="auto"/>
          <w:lang w:val="en-US" w:eastAsia="zh-CN"/>
        </w:rPr>
        <w:t>4. 安全评估单元与评估方法</w:t>
      </w:r>
      <w:r>
        <w:rPr>
          <w:color w:val="auto"/>
        </w:rPr>
        <w:tab/>
      </w:r>
      <w:r>
        <w:rPr>
          <w:color w:val="auto"/>
        </w:rPr>
        <w:fldChar w:fldCharType="begin"/>
      </w:r>
      <w:r>
        <w:rPr>
          <w:color w:val="auto"/>
        </w:rPr>
        <w:instrText xml:space="preserve"> PAGEREF _Toc9504 \h </w:instrText>
      </w:r>
      <w:r>
        <w:rPr>
          <w:color w:val="auto"/>
        </w:rPr>
        <w:fldChar w:fldCharType="separate"/>
      </w:r>
      <w:r>
        <w:rPr>
          <w:color w:val="auto"/>
        </w:rPr>
        <w:t>31</w:t>
      </w:r>
      <w:r>
        <w:rPr>
          <w:color w:val="auto"/>
        </w:rPr>
        <w:fldChar w:fldCharType="end"/>
      </w:r>
      <w:r>
        <w:rPr>
          <w:rFonts w:hint="default"/>
          <w:color w:val="auto"/>
        </w:rPr>
        <w:fldChar w:fldCharType="end"/>
      </w:r>
    </w:p>
    <w:p w14:paraId="6995ECBE">
      <w:pPr>
        <w:pStyle w:val="15"/>
        <w:tabs>
          <w:tab w:val="right" w:leader="dot" w:pos="9072"/>
        </w:tabs>
        <w:rPr>
          <w:color w:val="auto"/>
        </w:rPr>
      </w:pPr>
      <w:r>
        <w:rPr>
          <w:rFonts w:hint="default"/>
          <w:color w:val="auto"/>
        </w:rPr>
        <w:fldChar w:fldCharType="begin"/>
      </w:r>
      <w:r>
        <w:rPr>
          <w:rFonts w:hint="default"/>
          <w:color w:val="auto"/>
        </w:rPr>
        <w:instrText xml:space="preserve"> HYPERLINK \l _Toc21759 </w:instrText>
      </w:r>
      <w:r>
        <w:rPr>
          <w:rFonts w:hint="default"/>
          <w:color w:val="auto"/>
        </w:rPr>
        <w:fldChar w:fldCharType="separate"/>
      </w:r>
      <w:r>
        <w:rPr>
          <w:rFonts w:hint="default"/>
          <w:color w:val="auto"/>
          <w:lang w:val="en-US" w:eastAsia="zh-CN"/>
        </w:rPr>
        <w:t>4.1 评估单元划分</w:t>
      </w:r>
      <w:r>
        <w:rPr>
          <w:color w:val="auto"/>
        </w:rPr>
        <w:tab/>
      </w:r>
      <w:r>
        <w:rPr>
          <w:color w:val="auto"/>
        </w:rPr>
        <w:fldChar w:fldCharType="begin"/>
      </w:r>
      <w:r>
        <w:rPr>
          <w:color w:val="auto"/>
        </w:rPr>
        <w:instrText xml:space="preserve"> PAGEREF _Toc21759 \h </w:instrText>
      </w:r>
      <w:r>
        <w:rPr>
          <w:color w:val="auto"/>
        </w:rPr>
        <w:fldChar w:fldCharType="separate"/>
      </w:r>
      <w:r>
        <w:rPr>
          <w:color w:val="auto"/>
        </w:rPr>
        <w:t>31</w:t>
      </w:r>
      <w:r>
        <w:rPr>
          <w:color w:val="auto"/>
        </w:rPr>
        <w:fldChar w:fldCharType="end"/>
      </w:r>
      <w:r>
        <w:rPr>
          <w:rFonts w:hint="default"/>
          <w:color w:val="auto"/>
        </w:rPr>
        <w:fldChar w:fldCharType="end"/>
      </w:r>
    </w:p>
    <w:p w14:paraId="64D06C17">
      <w:pPr>
        <w:pStyle w:val="15"/>
        <w:tabs>
          <w:tab w:val="right" w:leader="dot" w:pos="9072"/>
        </w:tabs>
        <w:rPr>
          <w:color w:val="auto"/>
        </w:rPr>
      </w:pPr>
      <w:r>
        <w:rPr>
          <w:rFonts w:hint="default"/>
          <w:color w:val="auto"/>
        </w:rPr>
        <w:fldChar w:fldCharType="begin"/>
      </w:r>
      <w:r>
        <w:rPr>
          <w:rFonts w:hint="default"/>
          <w:color w:val="auto"/>
        </w:rPr>
        <w:instrText xml:space="preserve"> HYPERLINK \l _Toc8426 </w:instrText>
      </w:r>
      <w:r>
        <w:rPr>
          <w:rFonts w:hint="default"/>
          <w:color w:val="auto"/>
        </w:rPr>
        <w:fldChar w:fldCharType="separate"/>
      </w:r>
      <w:r>
        <w:rPr>
          <w:rFonts w:hint="default"/>
          <w:color w:val="auto"/>
          <w:lang w:val="en-US" w:eastAsia="zh-CN"/>
        </w:rPr>
        <w:t>4.2 评估方法选择</w:t>
      </w:r>
      <w:r>
        <w:rPr>
          <w:color w:val="auto"/>
        </w:rPr>
        <w:tab/>
      </w:r>
      <w:r>
        <w:rPr>
          <w:color w:val="auto"/>
        </w:rPr>
        <w:fldChar w:fldCharType="begin"/>
      </w:r>
      <w:r>
        <w:rPr>
          <w:color w:val="auto"/>
        </w:rPr>
        <w:instrText xml:space="preserve"> PAGEREF _Toc8426 \h </w:instrText>
      </w:r>
      <w:r>
        <w:rPr>
          <w:color w:val="auto"/>
        </w:rPr>
        <w:fldChar w:fldCharType="separate"/>
      </w:r>
      <w:r>
        <w:rPr>
          <w:color w:val="auto"/>
        </w:rPr>
        <w:t>31</w:t>
      </w:r>
      <w:r>
        <w:rPr>
          <w:color w:val="auto"/>
        </w:rPr>
        <w:fldChar w:fldCharType="end"/>
      </w:r>
      <w:r>
        <w:rPr>
          <w:rFonts w:hint="default"/>
          <w:color w:val="auto"/>
        </w:rPr>
        <w:fldChar w:fldCharType="end"/>
      </w:r>
    </w:p>
    <w:p w14:paraId="1F484723">
      <w:pPr>
        <w:pStyle w:val="15"/>
        <w:tabs>
          <w:tab w:val="right" w:leader="dot" w:pos="9072"/>
        </w:tabs>
        <w:rPr>
          <w:color w:val="auto"/>
        </w:rPr>
      </w:pPr>
      <w:r>
        <w:rPr>
          <w:rFonts w:hint="default"/>
          <w:color w:val="auto"/>
        </w:rPr>
        <w:fldChar w:fldCharType="begin"/>
      </w:r>
      <w:r>
        <w:rPr>
          <w:rFonts w:hint="default"/>
          <w:color w:val="auto"/>
        </w:rPr>
        <w:instrText xml:space="preserve"> HYPERLINK \l _Toc23749 </w:instrText>
      </w:r>
      <w:r>
        <w:rPr>
          <w:rFonts w:hint="default"/>
          <w:color w:val="auto"/>
        </w:rPr>
        <w:fldChar w:fldCharType="separate"/>
      </w:r>
      <w:r>
        <w:rPr>
          <w:rFonts w:hint="default"/>
          <w:color w:val="auto"/>
          <w:lang w:val="en-US" w:eastAsia="zh-CN"/>
        </w:rPr>
        <w:t>4.3 评估方法介绍</w:t>
      </w:r>
      <w:r>
        <w:rPr>
          <w:color w:val="auto"/>
        </w:rPr>
        <w:tab/>
      </w:r>
      <w:r>
        <w:rPr>
          <w:color w:val="auto"/>
        </w:rPr>
        <w:fldChar w:fldCharType="begin"/>
      </w:r>
      <w:r>
        <w:rPr>
          <w:color w:val="auto"/>
        </w:rPr>
        <w:instrText xml:space="preserve"> PAGEREF _Toc23749 \h </w:instrText>
      </w:r>
      <w:r>
        <w:rPr>
          <w:color w:val="auto"/>
        </w:rPr>
        <w:fldChar w:fldCharType="separate"/>
      </w:r>
      <w:r>
        <w:rPr>
          <w:color w:val="auto"/>
        </w:rPr>
        <w:t>31</w:t>
      </w:r>
      <w:r>
        <w:rPr>
          <w:color w:val="auto"/>
        </w:rPr>
        <w:fldChar w:fldCharType="end"/>
      </w:r>
      <w:r>
        <w:rPr>
          <w:rFonts w:hint="default"/>
          <w:color w:val="auto"/>
        </w:rPr>
        <w:fldChar w:fldCharType="end"/>
      </w:r>
    </w:p>
    <w:p w14:paraId="7B11146E">
      <w:pPr>
        <w:pStyle w:val="11"/>
        <w:tabs>
          <w:tab w:val="right" w:leader="dot" w:pos="9072"/>
        </w:tabs>
        <w:rPr>
          <w:color w:val="auto"/>
        </w:rPr>
      </w:pPr>
      <w:r>
        <w:rPr>
          <w:rFonts w:hint="default"/>
          <w:color w:val="auto"/>
        </w:rPr>
        <w:fldChar w:fldCharType="begin"/>
      </w:r>
      <w:r>
        <w:rPr>
          <w:rFonts w:hint="default"/>
          <w:color w:val="auto"/>
        </w:rPr>
        <w:instrText xml:space="preserve"> HYPERLINK \l _Toc29647 </w:instrText>
      </w:r>
      <w:r>
        <w:rPr>
          <w:rFonts w:hint="default"/>
          <w:color w:val="auto"/>
        </w:rPr>
        <w:fldChar w:fldCharType="separate"/>
      </w:r>
      <w:r>
        <w:rPr>
          <w:rFonts w:hint="default"/>
          <w:color w:val="auto"/>
          <w:lang w:val="en-US" w:eastAsia="zh-CN"/>
        </w:rPr>
        <w:t>4.3.1 预先危险性分析</w:t>
      </w:r>
      <w:r>
        <w:rPr>
          <w:color w:val="auto"/>
        </w:rPr>
        <w:tab/>
      </w:r>
      <w:r>
        <w:rPr>
          <w:color w:val="auto"/>
        </w:rPr>
        <w:fldChar w:fldCharType="begin"/>
      </w:r>
      <w:r>
        <w:rPr>
          <w:color w:val="auto"/>
        </w:rPr>
        <w:instrText xml:space="preserve"> PAGEREF _Toc29647 \h </w:instrText>
      </w:r>
      <w:r>
        <w:rPr>
          <w:color w:val="auto"/>
        </w:rPr>
        <w:fldChar w:fldCharType="separate"/>
      </w:r>
      <w:r>
        <w:rPr>
          <w:color w:val="auto"/>
        </w:rPr>
        <w:t>31</w:t>
      </w:r>
      <w:r>
        <w:rPr>
          <w:color w:val="auto"/>
        </w:rPr>
        <w:fldChar w:fldCharType="end"/>
      </w:r>
      <w:r>
        <w:rPr>
          <w:rFonts w:hint="default"/>
          <w:color w:val="auto"/>
        </w:rPr>
        <w:fldChar w:fldCharType="end"/>
      </w:r>
    </w:p>
    <w:p w14:paraId="0071549F">
      <w:pPr>
        <w:pStyle w:val="11"/>
        <w:tabs>
          <w:tab w:val="right" w:leader="dot" w:pos="9072"/>
        </w:tabs>
        <w:rPr>
          <w:color w:val="auto"/>
        </w:rPr>
      </w:pPr>
      <w:r>
        <w:rPr>
          <w:rFonts w:hint="default"/>
          <w:color w:val="auto"/>
        </w:rPr>
        <w:fldChar w:fldCharType="begin"/>
      </w:r>
      <w:r>
        <w:rPr>
          <w:rFonts w:hint="default"/>
          <w:color w:val="auto"/>
        </w:rPr>
        <w:instrText xml:space="preserve"> HYPERLINK \l _Toc4746 </w:instrText>
      </w:r>
      <w:r>
        <w:rPr>
          <w:rFonts w:hint="default"/>
          <w:color w:val="auto"/>
        </w:rPr>
        <w:fldChar w:fldCharType="separate"/>
      </w:r>
      <w:r>
        <w:rPr>
          <w:rFonts w:hint="default"/>
          <w:color w:val="auto"/>
          <w:lang w:val="en-US" w:eastAsia="zh-CN"/>
        </w:rPr>
        <w:t>4.3.2 安全检查表分析</w:t>
      </w:r>
      <w:r>
        <w:rPr>
          <w:color w:val="auto"/>
        </w:rPr>
        <w:tab/>
      </w:r>
      <w:r>
        <w:rPr>
          <w:color w:val="auto"/>
        </w:rPr>
        <w:fldChar w:fldCharType="begin"/>
      </w:r>
      <w:r>
        <w:rPr>
          <w:color w:val="auto"/>
        </w:rPr>
        <w:instrText xml:space="preserve"> PAGEREF _Toc4746 \h </w:instrText>
      </w:r>
      <w:r>
        <w:rPr>
          <w:color w:val="auto"/>
        </w:rPr>
        <w:fldChar w:fldCharType="separate"/>
      </w:r>
      <w:r>
        <w:rPr>
          <w:color w:val="auto"/>
        </w:rPr>
        <w:t>31</w:t>
      </w:r>
      <w:r>
        <w:rPr>
          <w:color w:val="auto"/>
        </w:rPr>
        <w:fldChar w:fldCharType="end"/>
      </w:r>
      <w:r>
        <w:rPr>
          <w:rFonts w:hint="default"/>
          <w:color w:val="auto"/>
        </w:rPr>
        <w:fldChar w:fldCharType="end"/>
      </w:r>
    </w:p>
    <w:p w14:paraId="1E97968C">
      <w:pPr>
        <w:pStyle w:val="14"/>
        <w:tabs>
          <w:tab w:val="right" w:leader="dot" w:pos="9072"/>
        </w:tabs>
        <w:rPr>
          <w:color w:val="auto"/>
        </w:rPr>
      </w:pPr>
      <w:r>
        <w:rPr>
          <w:rFonts w:hint="default"/>
          <w:color w:val="auto"/>
        </w:rPr>
        <w:fldChar w:fldCharType="begin"/>
      </w:r>
      <w:r>
        <w:rPr>
          <w:rFonts w:hint="default"/>
          <w:color w:val="auto"/>
        </w:rPr>
        <w:instrText xml:space="preserve"> HYPERLINK \l _Toc32703 </w:instrText>
      </w:r>
      <w:r>
        <w:rPr>
          <w:rFonts w:hint="default"/>
          <w:color w:val="auto"/>
        </w:rPr>
        <w:fldChar w:fldCharType="separate"/>
      </w:r>
      <w:r>
        <w:rPr>
          <w:rFonts w:hint="default" w:ascii="Times New Roman" w:hAnsi="Times New Roman" w:cs="Times New Roman"/>
          <w:color w:val="auto"/>
          <w:lang w:val="en-US" w:eastAsia="zh-CN"/>
        </w:rPr>
        <w:t>5. 安全评估</w:t>
      </w:r>
      <w:r>
        <w:rPr>
          <w:color w:val="auto"/>
        </w:rPr>
        <w:tab/>
      </w:r>
      <w:r>
        <w:rPr>
          <w:color w:val="auto"/>
        </w:rPr>
        <w:fldChar w:fldCharType="begin"/>
      </w:r>
      <w:r>
        <w:rPr>
          <w:color w:val="auto"/>
        </w:rPr>
        <w:instrText xml:space="preserve"> PAGEREF _Toc32703 \h </w:instrText>
      </w:r>
      <w:r>
        <w:rPr>
          <w:color w:val="auto"/>
        </w:rPr>
        <w:fldChar w:fldCharType="separate"/>
      </w:r>
      <w:r>
        <w:rPr>
          <w:color w:val="auto"/>
        </w:rPr>
        <w:t>32</w:t>
      </w:r>
      <w:r>
        <w:rPr>
          <w:color w:val="auto"/>
        </w:rPr>
        <w:fldChar w:fldCharType="end"/>
      </w:r>
      <w:r>
        <w:rPr>
          <w:rFonts w:hint="default"/>
          <w:color w:val="auto"/>
        </w:rPr>
        <w:fldChar w:fldCharType="end"/>
      </w:r>
    </w:p>
    <w:p w14:paraId="777F0237">
      <w:pPr>
        <w:pStyle w:val="15"/>
        <w:tabs>
          <w:tab w:val="right" w:leader="dot" w:pos="9072"/>
        </w:tabs>
        <w:rPr>
          <w:color w:val="auto"/>
        </w:rPr>
      </w:pPr>
      <w:r>
        <w:rPr>
          <w:rFonts w:hint="default"/>
          <w:color w:val="auto"/>
        </w:rPr>
        <w:fldChar w:fldCharType="begin"/>
      </w:r>
      <w:r>
        <w:rPr>
          <w:rFonts w:hint="default"/>
          <w:color w:val="auto"/>
        </w:rPr>
        <w:instrText xml:space="preserve"> HYPERLINK \l _Toc15645 </w:instrText>
      </w:r>
      <w:r>
        <w:rPr>
          <w:rFonts w:hint="default"/>
          <w:color w:val="auto"/>
        </w:rPr>
        <w:fldChar w:fldCharType="separate"/>
      </w:r>
      <w:r>
        <w:rPr>
          <w:rFonts w:hint="default"/>
          <w:color w:val="auto"/>
          <w:lang w:val="en-US" w:eastAsia="zh-CN"/>
        </w:rPr>
        <w:t>5.1</w:t>
      </w:r>
      <w:r>
        <w:rPr>
          <w:rFonts w:hint="eastAsia"/>
          <w:color w:val="auto"/>
          <w:lang w:val="en-US" w:eastAsia="zh-CN"/>
        </w:rPr>
        <w:t xml:space="preserve"> </w:t>
      </w:r>
      <w:r>
        <w:rPr>
          <w:rFonts w:hint="default"/>
          <w:color w:val="auto"/>
          <w:lang w:val="en-US" w:eastAsia="zh-CN"/>
        </w:rPr>
        <w:t>预先危险性分析法评估</w:t>
      </w:r>
      <w:r>
        <w:rPr>
          <w:color w:val="auto"/>
        </w:rPr>
        <w:tab/>
      </w:r>
      <w:r>
        <w:rPr>
          <w:color w:val="auto"/>
        </w:rPr>
        <w:fldChar w:fldCharType="begin"/>
      </w:r>
      <w:r>
        <w:rPr>
          <w:color w:val="auto"/>
        </w:rPr>
        <w:instrText xml:space="preserve"> PAGEREF _Toc15645 \h </w:instrText>
      </w:r>
      <w:r>
        <w:rPr>
          <w:color w:val="auto"/>
        </w:rPr>
        <w:fldChar w:fldCharType="separate"/>
      </w:r>
      <w:r>
        <w:rPr>
          <w:color w:val="auto"/>
        </w:rPr>
        <w:t>32</w:t>
      </w:r>
      <w:r>
        <w:rPr>
          <w:color w:val="auto"/>
        </w:rPr>
        <w:fldChar w:fldCharType="end"/>
      </w:r>
      <w:r>
        <w:rPr>
          <w:rFonts w:hint="default"/>
          <w:color w:val="auto"/>
        </w:rPr>
        <w:fldChar w:fldCharType="end"/>
      </w:r>
    </w:p>
    <w:p w14:paraId="7F129CEA">
      <w:pPr>
        <w:pStyle w:val="15"/>
        <w:tabs>
          <w:tab w:val="right" w:leader="dot" w:pos="9072"/>
        </w:tabs>
        <w:rPr>
          <w:color w:val="auto"/>
        </w:rPr>
      </w:pPr>
      <w:r>
        <w:rPr>
          <w:rFonts w:hint="default"/>
          <w:color w:val="auto"/>
        </w:rPr>
        <w:fldChar w:fldCharType="begin"/>
      </w:r>
      <w:r>
        <w:rPr>
          <w:rFonts w:hint="default"/>
          <w:color w:val="auto"/>
        </w:rPr>
        <w:instrText xml:space="preserve"> HYPERLINK \l _Toc4736 </w:instrText>
      </w:r>
      <w:r>
        <w:rPr>
          <w:rFonts w:hint="default"/>
          <w:color w:val="auto"/>
        </w:rPr>
        <w:fldChar w:fldCharType="separate"/>
      </w:r>
      <w:r>
        <w:rPr>
          <w:rFonts w:hint="default"/>
          <w:color w:val="auto"/>
          <w:lang w:val="en-US" w:eastAsia="zh-CN"/>
        </w:rPr>
        <w:t>5.2</w:t>
      </w:r>
      <w:r>
        <w:rPr>
          <w:rFonts w:hint="eastAsia"/>
          <w:color w:val="auto"/>
          <w:lang w:val="en-US" w:eastAsia="zh-CN"/>
        </w:rPr>
        <w:t xml:space="preserve"> </w:t>
      </w:r>
      <w:r>
        <w:rPr>
          <w:rFonts w:hint="default"/>
          <w:color w:val="auto"/>
          <w:lang w:val="en-US" w:eastAsia="zh-CN"/>
        </w:rPr>
        <w:t>安全检查表分析法评估</w:t>
      </w:r>
      <w:r>
        <w:rPr>
          <w:color w:val="auto"/>
        </w:rPr>
        <w:tab/>
      </w:r>
      <w:r>
        <w:rPr>
          <w:color w:val="auto"/>
        </w:rPr>
        <w:fldChar w:fldCharType="begin"/>
      </w:r>
      <w:r>
        <w:rPr>
          <w:color w:val="auto"/>
        </w:rPr>
        <w:instrText xml:space="preserve"> PAGEREF _Toc4736 \h </w:instrText>
      </w:r>
      <w:r>
        <w:rPr>
          <w:color w:val="auto"/>
        </w:rPr>
        <w:fldChar w:fldCharType="separate"/>
      </w:r>
      <w:r>
        <w:rPr>
          <w:color w:val="auto"/>
        </w:rPr>
        <w:t>34</w:t>
      </w:r>
      <w:r>
        <w:rPr>
          <w:color w:val="auto"/>
        </w:rPr>
        <w:fldChar w:fldCharType="end"/>
      </w:r>
      <w:r>
        <w:rPr>
          <w:rFonts w:hint="default"/>
          <w:color w:val="auto"/>
        </w:rPr>
        <w:fldChar w:fldCharType="end"/>
      </w:r>
    </w:p>
    <w:p w14:paraId="106CF5C6">
      <w:pPr>
        <w:pStyle w:val="11"/>
        <w:tabs>
          <w:tab w:val="right" w:leader="dot" w:pos="9072"/>
        </w:tabs>
        <w:rPr>
          <w:color w:val="auto"/>
        </w:rPr>
      </w:pPr>
      <w:r>
        <w:rPr>
          <w:rFonts w:hint="default"/>
          <w:color w:val="auto"/>
        </w:rPr>
        <w:fldChar w:fldCharType="begin"/>
      </w:r>
      <w:r>
        <w:rPr>
          <w:rFonts w:hint="default"/>
          <w:color w:val="auto"/>
        </w:rPr>
        <w:instrText xml:space="preserve"> HYPERLINK \l _Toc21655 </w:instrText>
      </w:r>
      <w:r>
        <w:rPr>
          <w:rFonts w:hint="default"/>
          <w:color w:val="auto"/>
        </w:rPr>
        <w:fldChar w:fldCharType="separate"/>
      </w:r>
      <w:r>
        <w:rPr>
          <w:rFonts w:hint="eastAsia"/>
          <w:color w:val="auto"/>
          <w:lang w:val="en-US" w:eastAsia="zh-CN"/>
        </w:rPr>
        <w:t>5.2.1 施工作业法律法规符合性</w:t>
      </w:r>
      <w:r>
        <w:rPr>
          <w:color w:val="auto"/>
        </w:rPr>
        <w:tab/>
      </w:r>
      <w:r>
        <w:rPr>
          <w:color w:val="auto"/>
        </w:rPr>
        <w:fldChar w:fldCharType="begin"/>
      </w:r>
      <w:r>
        <w:rPr>
          <w:color w:val="auto"/>
        </w:rPr>
        <w:instrText xml:space="preserve"> PAGEREF _Toc21655 \h </w:instrText>
      </w:r>
      <w:r>
        <w:rPr>
          <w:color w:val="auto"/>
        </w:rPr>
        <w:fldChar w:fldCharType="separate"/>
      </w:r>
      <w:r>
        <w:rPr>
          <w:color w:val="auto"/>
        </w:rPr>
        <w:t>34</w:t>
      </w:r>
      <w:r>
        <w:rPr>
          <w:color w:val="auto"/>
        </w:rPr>
        <w:fldChar w:fldCharType="end"/>
      </w:r>
      <w:r>
        <w:rPr>
          <w:rFonts w:hint="default"/>
          <w:color w:val="auto"/>
        </w:rPr>
        <w:fldChar w:fldCharType="end"/>
      </w:r>
    </w:p>
    <w:p w14:paraId="330679C6">
      <w:pPr>
        <w:pStyle w:val="11"/>
        <w:tabs>
          <w:tab w:val="right" w:leader="dot" w:pos="9072"/>
        </w:tabs>
        <w:rPr>
          <w:color w:val="auto"/>
        </w:rPr>
      </w:pPr>
      <w:r>
        <w:rPr>
          <w:rFonts w:hint="default"/>
          <w:color w:val="auto"/>
        </w:rPr>
        <w:fldChar w:fldCharType="begin"/>
      </w:r>
      <w:r>
        <w:rPr>
          <w:rFonts w:hint="default"/>
          <w:color w:val="auto"/>
        </w:rPr>
        <w:instrText xml:space="preserve"> HYPERLINK \l _Toc18307 </w:instrText>
      </w:r>
      <w:r>
        <w:rPr>
          <w:rFonts w:hint="default"/>
          <w:color w:val="auto"/>
        </w:rPr>
        <w:fldChar w:fldCharType="separate"/>
      </w:r>
      <w:r>
        <w:rPr>
          <w:rFonts w:hint="default"/>
          <w:color w:val="auto"/>
          <w:lang w:val="en-US" w:eastAsia="zh-CN"/>
        </w:rPr>
        <w:t>5.</w:t>
      </w:r>
      <w:r>
        <w:rPr>
          <w:rFonts w:hint="eastAsia"/>
          <w:color w:val="auto"/>
          <w:lang w:val="en-US" w:eastAsia="zh-CN"/>
        </w:rPr>
        <w:t xml:space="preserve">2.2 </w:t>
      </w:r>
      <w:r>
        <w:rPr>
          <w:rFonts w:hint="default"/>
          <w:color w:val="auto"/>
          <w:lang w:val="en-US" w:eastAsia="zh-CN"/>
        </w:rPr>
        <w:t>平面交叉道口工程施工作业与公路的相互影响</w:t>
      </w:r>
      <w:r>
        <w:rPr>
          <w:color w:val="auto"/>
        </w:rPr>
        <w:tab/>
      </w:r>
      <w:r>
        <w:rPr>
          <w:color w:val="auto"/>
        </w:rPr>
        <w:fldChar w:fldCharType="begin"/>
      </w:r>
      <w:r>
        <w:rPr>
          <w:color w:val="auto"/>
        </w:rPr>
        <w:instrText xml:space="preserve"> PAGEREF _Toc18307 \h </w:instrText>
      </w:r>
      <w:r>
        <w:rPr>
          <w:color w:val="auto"/>
        </w:rPr>
        <w:fldChar w:fldCharType="separate"/>
      </w:r>
      <w:r>
        <w:rPr>
          <w:color w:val="auto"/>
        </w:rPr>
        <w:t>35</w:t>
      </w:r>
      <w:r>
        <w:rPr>
          <w:color w:val="auto"/>
        </w:rPr>
        <w:fldChar w:fldCharType="end"/>
      </w:r>
      <w:r>
        <w:rPr>
          <w:rFonts w:hint="default"/>
          <w:color w:val="auto"/>
        </w:rPr>
        <w:fldChar w:fldCharType="end"/>
      </w:r>
    </w:p>
    <w:p w14:paraId="14C96D83">
      <w:pPr>
        <w:pStyle w:val="15"/>
        <w:tabs>
          <w:tab w:val="right" w:leader="dot" w:pos="9072"/>
        </w:tabs>
        <w:rPr>
          <w:color w:val="auto"/>
        </w:rPr>
      </w:pPr>
      <w:r>
        <w:rPr>
          <w:rFonts w:hint="default"/>
          <w:color w:val="auto"/>
        </w:rPr>
        <w:fldChar w:fldCharType="begin"/>
      </w:r>
      <w:r>
        <w:rPr>
          <w:rFonts w:hint="default"/>
          <w:color w:val="auto"/>
        </w:rPr>
        <w:instrText xml:space="preserve"> HYPERLINK \l _Toc854 </w:instrText>
      </w:r>
      <w:r>
        <w:rPr>
          <w:rFonts w:hint="default"/>
          <w:color w:val="auto"/>
        </w:rPr>
        <w:fldChar w:fldCharType="separate"/>
      </w:r>
      <w:r>
        <w:rPr>
          <w:rFonts w:hint="default"/>
          <w:color w:val="auto"/>
          <w:lang w:val="en-US" w:eastAsia="zh-CN"/>
        </w:rPr>
        <w:t>5.</w:t>
      </w:r>
      <w:r>
        <w:rPr>
          <w:rFonts w:hint="eastAsia"/>
          <w:color w:val="auto"/>
          <w:lang w:val="en-US" w:eastAsia="zh-CN"/>
        </w:rPr>
        <w:t xml:space="preserve">3 </w:t>
      </w:r>
      <w:r>
        <w:rPr>
          <w:rFonts w:hint="default"/>
          <w:color w:val="auto"/>
          <w:lang w:val="en-US" w:eastAsia="zh-CN"/>
        </w:rPr>
        <w:t>施工现场安全风险分级</w:t>
      </w:r>
      <w:r>
        <w:rPr>
          <w:color w:val="auto"/>
        </w:rPr>
        <w:tab/>
      </w:r>
      <w:r>
        <w:rPr>
          <w:color w:val="auto"/>
        </w:rPr>
        <w:fldChar w:fldCharType="begin"/>
      </w:r>
      <w:r>
        <w:rPr>
          <w:color w:val="auto"/>
        </w:rPr>
        <w:instrText xml:space="preserve"> PAGEREF _Toc854 \h </w:instrText>
      </w:r>
      <w:r>
        <w:rPr>
          <w:color w:val="auto"/>
        </w:rPr>
        <w:fldChar w:fldCharType="separate"/>
      </w:r>
      <w:r>
        <w:rPr>
          <w:color w:val="auto"/>
        </w:rPr>
        <w:t>38</w:t>
      </w:r>
      <w:r>
        <w:rPr>
          <w:color w:val="auto"/>
        </w:rPr>
        <w:fldChar w:fldCharType="end"/>
      </w:r>
      <w:r>
        <w:rPr>
          <w:rFonts w:hint="default"/>
          <w:color w:val="auto"/>
        </w:rPr>
        <w:fldChar w:fldCharType="end"/>
      </w:r>
    </w:p>
    <w:p w14:paraId="1092593D">
      <w:pPr>
        <w:pStyle w:val="14"/>
        <w:tabs>
          <w:tab w:val="right" w:leader="dot" w:pos="9072"/>
        </w:tabs>
        <w:rPr>
          <w:color w:val="auto"/>
        </w:rPr>
      </w:pPr>
      <w:r>
        <w:rPr>
          <w:rFonts w:hint="default"/>
          <w:color w:val="auto"/>
        </w:rPr>
        <w:fldChar w:fldCharType="begin"/>
      </w:r>
      <w:r>
        <w:rPr>
          <w:rFonts w:hint="default"/>
          <w:color w:val="auto"/>
        </w:rPr>
        <w:instrText xml:space="preserve"> HYPERLINK \l _Toc4482 </w:instrText>
      </w:r>
      <w:r>
        <w:rPr>
          <w:rFonts w:hint="default"/>
          <w:color w:val="auto"/>
        </w:rPr>
        <w:fldChar w:fldCharType="separate"/>
      </w:r>
      <w:r>
        <w:rPr>
          <w:rFonts w:hint="default" w:ascii="Times New Roman" w:hAnsi="Times New Roman" w:cs="Times New Roman"/>
          <w:color w:val="auto"/>
          <w:lang w:val="en-US" w:eastAsia="zh-CN"/>
        </w:rPr>
        <w:t>6. 安全对策措施和建议</w:t>
      </w:r>
      <w:r>
        <w:rPr>
          <w:color w:val="auto"/>
        </w:rPr>
        <w:tab/>
      </w:r>
      <w:r>
        <w:rPr>
          <w:color w:val="auto"/>
        </w:rPr>
        <w:fldChar w:fldCharType="begin"/>
      </w:r>
      <w:r>
        <w:rPr>
          <w:color w:val="auto"/>
        </w:rPr>
        <w:instrText xml:space="preserve"> PAGEREF _Toc4482 \h </w:instrText>
      </w:r>
      <w:r>
        <w:rPr>
          <w:color w:val="auto"/>
        </w:rPr>
        <w:fldChar w:fldCharType="separate"/>
      </w:r>
      <w:r>
        <w:rPr>
          <w:color w:val="auto"/>
        </w:rPr>
        <w:t>40</w:t>
      </w:r>
      <w:r>
        <w:rPr>
          <w:color w:val="auto"/>
        </w:rPr>
        <w:fldChar w:fldCharType="end"/>
      </w:r>
      <w:r>
        <w:rPr>
          <w:rFonts w:hint="default"/>
          <w:color w:val="auto"/>
        </w:rPr>
        <w:fldChar w:fldCharType="end"/>
      </w:r>
    </w:p>
    <w:p w14:paraId="48C93F9A">
      <w:pPr>
        <w:pStyle w:val="15"/>
        <w:tabs>
          <w:tab w:val="right" w:leader="dot" w:pos="9072"/>
        </w:tabs>
        <w:rPr>
          <w:color w:val="auto"/>
        </w:rPr>
      </w:pPr>
      <w:r>
        <w:rPr>
          <w:rFonts w:hint="default"/>
          <w:color w:val="auto"/>
        </w:rPr>
        <w:fldChar w:fldCharType="begin"/>
      </w:r>
      <w:r>
        <w:rPr>
          <w:rFonts w:hint="default"/>
          <w:color w:val="auto"/>
        </w:rPr>
        <w:instrText xml:space="preserve"> HYPERLINK \l _Toc25536 </w:instrText>
      </w:r>
      <w:r>
        <w:rPr>
          <w:rFonts w:hint="default"/>
          <w:color w:val="auto"/>
        </w:rPr>
        <w:fldChar w:fldCharType="separate"/>
      </w:r>
      <w:r>
        <w:rPr>
          <w:rFonts w:hint="default"/>
          <w:color w:val="auto"/>
          <w:lang w:val="en-US" w:eastAsia="zh-CN"/>
        </w:rPr>
        <w:t>6.1</w:t>
      </w:r>
      <w:r>
        <w:rPr>
          <w:rFonts w:hint="eastAsia"/>
          <w:color w:val="auto"/>
          <w:lang w:val="en-US" w:eastAsia="zh-CN"/>
        </w:rPr>
        <w:t xml:space="preserve"> </w:t>
      </w:r>
      <w:r>
        <w:rPr>
          <w:rFonts w:hint="default"/>
          <w:color w:val="auto"/>
          <w:lang w:val="en-US" w:eastAsia="zh-CN"/>
        </w:rPr>
        <w:t>施工方案中提出的安全对策措施</w:t>
      </w:r>
      <w:r>
        <w:rPr>
          <w:color w:val="auto"/>
        </w:rPr>
        <w:tab/>
      </w:r>
      <w:r>
        <w:rPr>
          <w:color w:val="auto"/>
        </w:rPr>
        <w:fldChar w:fldCharType="begin"/>
      </w:r>
      <w:r>
        <w:rPr>
          <w:color w:val="auto"/>
        </w:rPr>
        <w:instrText xml:space="preserve"> PAGEREF _Toc25536 \h </w:instrText>
      </w:r>
      <w:r>
        <w:rPr>
          <w:color w:val="auto"/>
        </w:rPr>
        <w:fldChar w:fldCharType="separate"/>
      </w:r>
      <w:r>
        <w:rPr>
          <w:color w:val="auto"/>
        </w:rPr>
        <w:t>40</w:t>
      </w:r>
      <w:r>
        <w:rPr>
          <w:color w:val="auto"/>
        </w:rPr>
        <w:fldChar w:fldCharType="end"/>
      </w:r>
      <w:r>
        <w:rPr>
          <w:rFonts w:hint="default"/>
          <w:color w:val="auto"/>
        </w:rPr>
        <w:fldChar w:fldCharType="end"/>
      </w:r>
    </w:p>
    <w:p w14:paraId="52D4823D">
      <w:pPr>
        <w:pStyle w:val="15"/>
        <w:tabs>
          <w:tab w:val="right" w:leader="dot" w:pos="9072"/>
        </w:tabs>
        <w:rPr>
          <w:color w:val="auto"/>
        </w:rPr>
      </w:pPr>
      <w:r>
        <w:rPr>
          <w:rFonts w:hint="default"/>
          <w:color w:val="auto"/>
        </w:rPr>
        <w:fldChar w:fldCharType="begin"/>
      </w:r>
      <w:r>
        <w:rPr>
          <w:rFonts w:hint="default"/>
          <w:color w:val="auto"/>
        </w:rPr>
        <w:instrText xml:space="preserve"> HYPERLINK \l _Toc29104 </w:instrText>
      </w:r>
      <w:r>
        <w:rPr>
          <w:rFonts w:hint="default"/>
          <w:color w:val="auto"/>
        </w:rPr>
        <w:fldChar w:fldCharType="separate"/>
      </w:r>
      <w:r>
        <w:rPr>
          <w:rFonts w:hint="default"/>
          <w:color w:val="auto"/>
          <w:lang w:val="en-US" w:eastAsia="zh-CN"/>
        </w:rPr>
        <w:t>6.2</w:t>
      </w:r>
      <w:r>
        <w:rPr>
          <w:rFonts w:hint="eastAsia"/>
          <w:color w:val="auto"/>
          <w:lang w:val="en-US" w:eastAsia="zh-CN"/>
        </w:rPr>
        <w:t xml:space="preserve"> </w:t>
      </w:r>
      <w:r>
        <w:rPr>
          <w:rFonts w:hint="default"/>
          <w:color w:val="auto"/>
          <w:lang w:val="en-US" w:eastAsia="zh-CN"/>
        </w:rPr>
        <w:t>本报告提出的安全对策措施</w:t>
      </w:r>
      <w:r>
        <w:rPr>
          <w:color w:val="auto"/>
        </w:rPr>
        <w:tab/>
      </w:r>
      <w:r>
        <w:rPr>
          <w:color w:val="auto"/>
        </w:rPr>
        <w:fldChar w:fldCharType="begin"/>
      </w:r>
      <w:r>
        <w:rPr>
          <w:color w:val="auto"/>
        </w:rPr>
        <w:instrText xml:space="preserve"> PAGEREF _Toc29104 \h </w:instrText>
      </w:r>
      <w:r>
        <w:rPr>
          <w:color w:val="auto"/>
        </w:rPr>
        <w:fldChar w:fldCharType="separate"/>
      </w:r>
      <w:r>
        <w:rPr>
          <w:color w:val="auto"/>
        </w:rPr>
        <w:t>40</w:t>
      </w:r>
      <w:r>
        <w:rPr>
          <w:color w:val="auto"/>
        </w:rPr>
        <w:fldChar w:fldCharType="end"/>
      </w:r>
      <w:r>
        <w:rPr>
          <w:rFonts w:hint="default"/>
          <w:color w:val="auto"/>
        </w:rPr>
        <w:fldChar w:fldCharType="end"/>
      </w:r>
    </w:p>
    <w:p w14:paraId="2A6F4348">
      <w:pPr>
        <w:pStyle w:val="11"/>
        <w:tabs>
          <w:tab w:val="right" w:leader="dot" w:pos="9072"/>
        </w:tabs>
        <w:rPr>
          <w:color w:val="auto"/>
        </w:rPr>
      </w:pPr>
      <w:r>
        <w:rPr>
          <w:rFonts w:hint="default"/>
          <w:color w:val="auto"/>
        </w:rPr>
        <w:fldChar w:fldCharType="begin"/>
      </w:r>
      <w:r>
        <w:rPr>
          <w:rFonts w:hint="default"/>
          <w:color w:val="auto"/>
        </w:rPr>
        <w:instrText xml:space="preserve"> HYPERLINK \l _Toc2323 </w:instrText>
      </w:r>
      <w:r>
        <w:rPr>
          <w:rFonts w:hint="default"/>
          <w:color w:val="auto"/>
        </w:rPr>
        <w:fldChar w:fldCharType="separate"/>
      </w:r>
      <w:r>
        <w:rPr>
          <w:rFonts w:hint="default"/>
          <w:color w:val="auto"/>
          <w:lang w:val="en-US" w:eastAsia="zh-CN"/>
        </w:rPr>
        <w:t>6.2.1</w:t>
      </w:r>
      <w:r>
        <w:rPr>
          <w:rFonts w:hint="eastAsia"/>
          <w:color w:val="auto"/>
          <w:lang w:val="en-US" w:eastAsia="zh-CN"/>
        </w:rPr>
        <w:t xml:space="preserve"> </w:t>
      </w:r>
      <w:r>
        <w:rPr>
          <w:rFonts w:hint="default"/>
          <w:color w:val="auto"/>
          <w:lang w:val="en-US" w:eastAsia="zh-CN"/>
        </w:rPr>
        <w:t>施工驻地和场站建设</w:t>
      </w:r>
      <w:r>
        <w:rPr>
          <w:color w:val="auto"/>
        </w:rPr>
        <w:tab/>
      </w:r>
      <w:r>
        <w:rPr>
          <w:color w:val="auto"/>
        </w:rPr>
        <w:fldChar w:fldCharType="begin"/>
      </w:r>
      <w:r>
        <w:rPr>
          <w:color w:val="auto"/>
        </w:rPr>
        <w:instrText xml:space="preserve"> PAGEREF _Toc2323 \h </w:instrText>
      </w:r>
      <w:r>
        <w:rPr>
          <w:color w:val="auto"/>
        </w:rPr>
        <w:fldChar w:fldCharType="separate"/>
      </w:r>
      <w:r>
        <w:rPr>
          <w:color w:val="auto"/>
        </w:rPr>
        <w:t>40</w:t>
      </w:r>
      <w:r>
        <w:rPr>
          <w:color w:val="auto"/>
        </w:rPr>
        <w:fldChar w:fldCharType="end"/>
      </w:r>
      <w:r>
        <w:rPr>
          <w:rFonts w:hint="default"/>
          <w:color w:val="auto"/>
        </w:rPr>
        <w:fldChar w:fldCharType="end"/>
      </w:r>
    </w:p>
    <w:p w14:paraId="2C673F05">
      <w:pPr>
        <w:pStyle w:val="11"/>
        <w:tabs>
          <w:tab w:val="right" w:leader="dot" w:pos="9072"/>
        </w:tabs>
        <w:rPr>
          <w:color w:val="auto"/>
        </w:rPr>
      </w:pPr>
      <w:r>
        <w:rPr>
          <w:rFonts w:hint="default"/>
          <w:color w:val="auto"/>
        </w:rPr>
        <w:fldChar w:fldCharType="begin"/>
      </w:r>
      <w:r>
        <w:rPr>
          <w:rFonts w:hint="default"/>
          <w:color w:val="auto"/>
        </w:rPr>
        <w:instrText xml:space="preserve"> HYPERLINK \l _Toc20932 </w:instrText>
      </w:r>
      <w:r>
        <w:rPr>
          <w:rFonts w:hint="default"/>
          <w:color w:val="auto"/>
        </w:rPr>
        <w:fldChar w:fldCharType="separate"/>
      </w:r>
      <w:r>
        <w:rPr>
          <w:rFonts w:hint="default"/>
          <w:color w:val="auto"/>
          <w:lang w:val="en-US" w:eastAsia="zh-CN"/>
        </w:rPr>
        <w:t>6.2.2</w:t>
      </w:r>
      <w:r>
        <w:rPr>
          <w:rFonts w:hint="eastAsia"/>
          <w:color w:val="auto"/>
          <w:lang w:val="en-US" w:eastAsia="zh-CN"/>
        </w:rPr>
        <w:t xml:space="preserve"> </w:t>
      </w:r>
      <w:r>
        <w:rPr>
          <w:rFonts w:hint="default"/>
          <w:color w:val="auto"/>
          <w:lang w:val="en-US" w:eastAsia="zh-CN"/>
        </w:rPr>
        <w:t>施工便道</w:t>
      </w:r>
      <w:r>
        <w:rPr>
          <w:color w:val="auto"/>
        </w:rPr>
        <w:tab/>
      </w:r>
      <w:r>
        <w:rPr>
          <w:color w:val="auto"/>
        </w:rPr>
        <w:fldChar w:fldCharType="begin"/>
      </w:r>
      <w:r>
        <w:rPr>
          <w:color w:val="auto"/>
        </w:rPr>
        <w:instrText xml:space="preserve"> PAGEREF _Toc20932 \h </w:instrText>
      </w:r>
      <w:r>
        <w:rPr>
          <w:color w:val="auto"/>
        </w:rPr>
        <w:fldChar w:fldCharType="separate"/>
      </w:r>
      <w:r>
        <w:rPr>
          <w:color w:val="auto"/>
        </w:rPr>
        <w:t>40</w:t>
      </w:r>
      <w:r>
        <w:rPr>
          <w:color w:val="auto"/>
        </w:rPr>
        <w:fldChar w:fldCharType="end"/>
      </w:r>
      <w:r>
        <w:rPr>
          <w:rFonts w:hint="default"/>
          <w:color w:val="auto"/>
        </w:rPr>
        <w:fldChar w:fldCharType="end"/>
      </w:r>
    </w:p>
    <w:p w14:paraId="61C0EB1F">
      <w:pPr>
        <w:pStyle w:val="11"/>
        <w:tabs>
          <w:tab w:val="right" w:leader="dot" w:pos="9072"/>
        </w:tabs>
        <w:rPr>
          <w:color w:val="auto"/>
        </w:rPr>
      </w:pPr>
      <w:r>
        <w:rPr>
          <w:rFonts w:hint="default"/>
          <w:color w:val="auto"/>
        </w:rPr>
        <w:fldChar w:fldCharType="begin"/>
      </w:r>
      <w:r>
        <w:rPr>
          <w:rFonts w:hint="default"/>
          <w:color w:val="auto"/>
        </w:rPr>
        <w:instrText xml:space="preserve"> HYPERLINK \l _Toc5075 </w:instrText>
      </w:r>
      <w:r>
        <w:rPr>
          <w:rFonts w:hint="default"/>
          <w:color w:val="auto"/>
        </w:rPr>
        <w:fldChar w:fldCharType="separate"/>
      </w:r>
      <w:r>
        <w:rPr>
          <w:rFonts w:hint="default"/>
          <w:color w:val="auto"/>
          <w:lang w:val="en-US" w:eastAsia="zh-CN"/>
        </w:rPr>
        <w:t>6.2.3</w:t>
      </w:r>
      <w:r>
        <w:rPr>
          <w:rFonts w:hint="eastAsia"/>
          <w:color w:val="auto"/>
          <w:lang w:val="en-US" w:eastAsia="zh-CN"/>
        </w:rPr>
        <w:t xml:space="preserve"> </w:t>
      </w:r>
      <w:r>
        <w:rPr>
          <w:rFonts w:hint="default"/>
          <w:color w:val="auto"/>
          <w:lang w:val="en-US" w:eastAsia="zh-CN"/>
        </w:rPr>
        <w:t>施工临时用电</w:t>
      </w:r>
      <w:r>
        <w:rPr>
          <w:color w:val="auto"/>
        </w:rPr>
        <w:tab/>
      </w:r>
      <w:r>
        <w:rPr>
          <w:color w:val="auto"/>
        </w:rPr>
        <w:fldChar w:fldCharType="begin"/>
      </w:r>
      <w:r>
        <w:rPr>
          <w:color w:val="auto"/>
        </w:rPr>
        <w:instrText xml:space="preserve"> PAGEREF _Toc5075 \h </w:instrText>
      </w:r>
      <w:r>
        <w:rPr>
          <w:color w:val="auto"/>
        </w:rPr>
        <w:fldChar w:fldCharType="separate"/>
      </w:r>
      <w:r>
        <w:rPr>
          <w:color w:val="auto"/>
        </w:rPr>
        <w:t>41</w:t>
      </w:r>
      <w:r>
        <w:rPr>
          <w:color w:val="auto"/>
        </w:rPr>
        <w:fldChar w:fldCharType="end"/>
      </w:r>
      <w:r>
        <w:rPr>
          <w:rFonts w:hint="default"/>
          <w:color w:val="auto"/>
        </w:rPr>
        <w:fldChar w:fldCharType="end"/>
      </w:r>
    </w:p>
    <w:p w14:paraId="1B9184A7">
      <w:pPr>
        <w:pStyle w:val="11"/>
        <w:tabs>
          <w:tab w:val="right" w:leader="dot" w:pos="9072"/>
        </w:tabs>
        <w:rPr>
          <w:color w:val="auto"/>
        </w:rPr>
      </w:pPr>
      <w:r>
        <w:rPr>
          <w:rFonts w:hint="default"/>
          <w:color w:val="auto"/>
        </w:rPr>
        <w:fldChar w:fldCharType="begin"/>
      </w:r>
      <w:r>
        <w:rPr>
          <w:rFonts w:hint="default"/>
          <w:color w:val="auto"/>
        </w:rPr>
        <w:instrText xml:space="preserve"> HYPERLINK \l _Toc24373 </w:instrText>
      </w:r>
      <w:r>
        <w:rPr>
          <w:rFonts w:hint="default"/>
          <w:color w:val="auto"/>
        </w:rPr>
        <w:fldChar w:fldCharType="separate"/>
      </w:r>
      <w:r>
        <w:rPr>
          <w:rFonts w:hint="default"/>
          <w:color w:val="auto"/>
          <w:lang w:val="en-US" w:eastAsia="zh-CN"/>
        </w:rPr>
        <w:t>6.2.4</w:t>
      </w:r>
      <w:r>
        <w:rPr>
          <w:rFonts w:hint="eastAsia"/>
          <w:color w:val="auto"/>
          <w:lang w:val="en-US" w:eastAsia="zh-CN"/>
        </w:rPr>
        <w:t xml:space="preserve"> </w:t>
      </w:r>
      <w:r>
        <w:rPr>
          <w:rFonts w:hint="default"/>
          <w:color w:val="auto"/>
          <w:lang w:val="en-US" w:eastAsia="zh-CN"/>
        </w:rPr>
        <w:t>施工机械设备</w:t>
      </w:r>
      <w:r>
        <w:rPr>
          <w:color w:val="auto"/>
        </w:rPr>
        <w:tab/>
      </w:r>
      <w:r>
        <w:rPr>
          <w:color w:val="auto"/>
        </w:rPr>
        <w:fldChar w:fldCharType="begin"/>
      </w:r>
      <w:r>
        <w:rPr>
          <w:color w:val="auto"/>
        </w:rPr>
        <w:instrText xml:space="preserve"> PAGEREF _Toc24373 \h </w:instrText>
      </w:r>
      <w:r>
        <w:rPr>
          <w:color w:val="auto"/>
        </w:rPr>
        <w:fldChar w:fldCharType="separate"/>
      </w:r>
      <w:r>
        <w:rPr>
          <w:color w:val="auto"/>
        </w:rPr>
        <w:t>42</w:t>
      </w:r>
      <w:r>
        <w:rPr>
          <w:color w:val="auto"/>
        </w:rPr>
        <w:fldChar w:fldCharType="end"/>
      </w:r>
      <w:r>
        <w:rPr>
          <w:rFonts w:hint="default"/>
          <w:color w:val="auto"/>
        </w:rPr>
        <w:fldChar w:fldCharType="end"/>
      </w:r>
    </w:p>
    <w:p w14:paraId="1A5ADB21">
      <w:pPr>
        <w:pStyle w:val="11"/>
        <w:tabs>
          <w:tab w:val="right" w:leader="dot" w:pos="9072"/>
        </w:tabs>
        <w:rPr>
          <w:color w:val="auto"/>
        </w:rPr>
      </w:pPr>
      <w:r>
        <w:rPr>
          <w:rFonts w:hint="default"/>
          <w:color w:val="auto"/>
        </w:rPr>
        <w:fldChar w:fldCharType="begin"/>
      </w:r>
      <w:r>
        <w:rPr>
          <w:rFonts w:hint="default"/>
          <w:color w:val="auto"/>
        </w:rPr>
        <w:instrText xml:space="preserve"> HYPERLINK \l _Toc22165 </w:instrText>
      </w:r>
      <w:r>
        <w:rPr>
          <w:rFonts w:hint="default"/>
          <w:color w:val="auto"/>
        </w:rPr>
        <w:fldChar w:fldCharType="separate"/>
      </w:r>
      <w:r>
        <w:rPr>
          <w:rFonts w:hint="default"/>
          <w:color w:val="auto"/>
          <w:lang w:val="en-US" w:eastAsia="zh-CN"/>
        </w:rPr>
        <w:t>6.2.5</w:t>
      </w:r>
      <w:r>
        <w:rPr>
          <w:rFonts w:hint="eastAsia"/>
          <w:color w:val="auto"/>
          <w:lang w:val="en-US" w:eastAsia="zh-CN"/>
        </w:rPr>
        <w:t xml:space="preserve"> </w:t>
      </w:r>
      <w:r>
        <w:rPr>
          <w:rFonts w:hint="default"/>
          <w:color w:val="auto"/>
          <w:lang w:val="en-US" w:eastAsia="zh-CN"/>
        </w:rPr>
        <w:t>施工作业</w:t>
      </w:r>
      <w:r>
        <w:rPr>
          <w:color w:val="auto"/>
        </w:rPr>
        <w:tab/>
      </w:r>
      <w:r>
        <w:rPr>
          <w:color w:val="auto"/>
        </w:rPr>
        <w:fldChar w:fldCharType="begin"/>
      </w:r>
      <w:r>
        <w:rPr>
          <w:color w:val="auto"/>
        </w:rPr>
        <w:instrText xml:space="preserve"> PAGEREF _Toc22165 \h </w:instrText>
      </w:r>
      <w:r>
        <w:rPr>
          <w:color w:val="auto"/>
        </w:rPr>
        <w:fldChar w:fldCharType="separate"/>
      </w:r>
      <w:r>
        <w:rPr>
          <w:color w:val="auto"/>
        </w:rPr>
        <w:t>42</w:t>
      </w:r>
      <w:r>
        <w:rPr>
          <w:color w:val="auto"/>
        </w:rPr>
        <w:fldChar w:fldCharType="end"/>
      </w:r>
      <w:r>
        <w:rPr>
          <w:rFonts w:hint="default"/>
          <w:color w:val="auto"/>
        </w:rPr>
        <w:fldChar w:fldCharType="end"/>
      </w:r>
    </w:p>
    <w:p w14:paraId="0A5896AB">
      <w:pPr>
        <w:pStyle w:val="15"/>
        <w:tabs>
          <w:tab w:val="right" w:leader="dot" w:pos="9072"/>
        </w:tabs>
        <w:rPr>
          <w:color w:val="auto"/>
        </w:rPr>
      </w:pPr>
      <w:r>
        <w:rPr>
          <w:rFonts w:hint="default"/>
          <w:color w:val="auto"/>
        </w:rPr>
        <w:fldChar w:fldCharType="begin"/>
      </w:r>
      <w:r>
        <w:rPr>
          <w:rFonts w:hint="default"/>
          <w:color w:val="auto"/>
        </w:rPr>
        <w:instrText xml:space="preserve"> HYPERLINK \l _Toc31056 </w:instrText>
      </w:r>
      <w:r>
        <w:rPr>
          <w:rFonts w:hint="default"/>
          <w:color w:val="auto"/>
        </w:rPr>
        <w:fldChar w:fldCharType="separate"/>
      </w:r>
      <w:r>
        <w:rPr>
          <w:rFonts w:hint="default"/>
          <w:color w:val="auto"/>
          <w:lang w:val="en-US" w:eastAsia="zh-CN"/>
        </w:rPr>
        <w:t>6.3</w:t>
      </w:r>
      <w:r>
        <w:rPr>
          <w:rFonts w:hint="eastAsia"/>
          <w:color w:val="auto"/>
          <w:lang w:val="en-US" w:eastAsia="zh-CN"/>
        </w:rPr>
        <w:t xml:space="preserve"> </w:t>
      </w:r>
      <w:r>
        <w:rPr>
          <w:rFonts w:hint="default"/>
          <w:color w:val="auto"/>
          <w:lang w:val="en-US" w:eastAsia="zh-CN"/>
        </w:rPr>
        <w:t>安全管理对策措施</w:t>
      </w:r>
      <w:r>
        <w:rPr>
          <w:color w:val="auto"/>
        </w:rPr>
        <w:tab/>
      </w:r>
      <w:r>
        <w:rPr>
          <w:color w:val="auto"/>
        </w:rPr>
        <w:fldChar w:fldCharType="begin"/>
      </w:r>
      <w:r>
        <w:rPr>
          <w:color w:val="auto"/>
        </w:rPr>
        <w:instrText xml:space="preserve"> PAGEREF _Toc31056 \h </w:instrText>
      </w:r>
      <w:r>
        <w:rPr>
          <w:color w:val="auto"/>
        </w:rPr>
        <w:fldChar w:fldCharType="separate"/>
      </w:r>
      <w:r>
        <w:rPr>
          <w:color w:val="auto"/>
        </w:rPr>
        <w:t>45</w:t>
      </w:r>
      <w:r>
        <w:rPr>
          <w:color w:val="auto"/>
        </w:rPr>
        <w:fldChar w:fldCharType="end"/>
      </w:r>
      <w:r>
        <w:rPr>
          <w:rFonts w:hint="default"/>
          <w:color w:val="auto"/>
        </w:rPr>
        <w:fldChar w:fldCharType="end"/>
      </w:r>
    </w:p>
    <w:p w14:paraId="2766DDED">
      <w:pPr>
        <w:pStyle w:val="15"/>
        <w:tabs>
          <w:tab w:val="right" w:leader="dot" w:pos="9072"/>
        </w:tabs>
        <w:rPr>
          <w:color w:val="auto"/>
        </w:rPr>
      </w:pPr>
      <w:r>
        <w:rPr>
          <w:rFonts w:hint="default"/>
          <w:color w:val="auto"/>
        </w:rPr>
        <w:fldChar w:fldCharType="begin"/>
      </w:r>
      <w:r>
        <w:rPr>
          <w:rFonts w:hint="default"/>
          <w:color w:val="auto"/>
        </w:rPr>
        <w:instrText xml:space="preserve"> HYPERLINK \l _Toc30266 </w:instrText>
      </w:r>
      <w:r>
        <w:rPr>
          <w:rFonts w:hint="default"/>
          <w:color w:val="auto"/>
        </w:rPr>
        <w:fldChar w:fldCharType="separate"/>
      </w:r>
      <w:r>
        <w:rPr>
          <w:rFonts w:hint="default"/>
          <w:color w:val="auto"/>
          <w:lang w:val="en-US" w:eastAsia="zh-CN"/>
        </w:rPr>
        <w:t>6.4</w:t>
      </w:r>
      <w:r>
        <w:rPr>
          <w:rFonts w:hint="eastAsia"/>
          <w:color w:val="auto"/>
          <w:lang w:val="en-US" w:eastAsia="zh-CN"/>
        </w:rPr>
        <w:t xml:space="preserve"> </w:t>
      </w:r>
      <w:r>
        <w:rPr>
          <w:rFonts w:hint="default"/>
          <w:color w:val="auto"/>
          <w:lang w:val="en-US" w:eastAsia="zh-CN"/>
        </w:rPr>
        <w:t>安全防护措施</w:t>
      </w:r>
      <w:r>
        <w:rPr>
          <w:color w:val="auto"/>
        </w:rPr>
        <w:tab/>
      </w:r>
      <w:r>
        <w:rPr>
          <w:color w:val="auto"/>
        </w:rPr>
        <w:fldChar w:fldCharType="begin"/>
      </w:r>
      <w:r>
        <w:rPr>
          <w:color w:val="auto"/>
        </w:rPr>
        <w:instrText xml:space="preserve"> PAGEREF _Toc30266 \h </w:instrText>
      </w:r>
      <w:r>
        <w:rPr>
          <w:color w:val="auto"/>
        </w:rPr>
        <w:fldChar w:fldCharType="separate"/>
      </w:r>
      <w:r>
        <w:rPr>
          <w:color w:val="auto"/>
        </w:rPr>
        <w:t>45</w:t>
      </w:r>
      <w:r>
        <w:rPr>
          <w:color w:val="auto"/>
        </w:rPr>
        <w:fldChar w:fldCharType="end"/>
      </w:r>
      <w:r>
        <w:rPr>
          <w:rFonts w:hint="default"/>
          <w:color w:val="auto"/>
        </w:rPr>
        <w:fldChar w:fldCharType="end"/>
      </w:r>
    </w:p>
    <w:p w14:paraId="4A37254F">
      <w:pPr>
        <w:pStyle w:val="15"/>
        <w:tabs>
          <w:tab w:val="right" w:leader="dot" w:pos="9072"/>
        </w:tabs>
        <w:rPr>
          <w:color w:val="auto"/>
        </w:rPr>
      </w:pPr>
      <w:r>
        <w:rPr>
          <w:rFonts w:hint="default"/>
          <w:color w:val="auto"/>
        </w:rPr>
        <w:fldChar w:fldCharType="begin"/>
      </w:r>
      <w:r>
        <w:rPr>
          <w:rFonts w:hint="default"/>
          <w:color w:val="auto"/>
        </w:rPr>
        <w:instrText xml:space="preserve"> HYPERLINK \l _Toc4378 </w:instrText>
      </w:r>
      <w:r>
        <w:rPr>
          <w:rFonts w:hint="default"/>
          <w:color w:val="auto"/>
        </w:rPr>
        <w:fldChar w:fldCharType="separate"/>
      </w:r>
      <w:r>
        <w:rPr>
          <w:rFonts w:hint="default"/>
          <w:color w:val="auto"/>
          <w:lang w:val="en-US" w:eastAsia="zh-CN"/>
        </w:rPr>
        <w:t>6.5</w:t>
      </w:r>
      <w:r>
        <w:rPr>
          <w:rFonts w:hint="eastAsia"/>
          <w:color w:val="auto"/>
          <w:lang w:val="en-US" w:eastAsia="zh-CN"/>
        </w:rPr>
        <w:t xml:space="preserve"> </w:t>
      </w:r>
      <w:r>
        <w:rPr>
          <w:rFonts w:hint="default"/>
          <w:color w:val="auto"/>
          <w:lang w:val="en-US" w:eastAsia="zh-CN"/>
        </w:rPr>
        <w:t>其他安全对策措施</w:t>
      </w:r>
      <w:r>
        <w:rPr>
          <w:color w:val="auto"/>
        </w:rPr>
        <w:tab/>
      </w:r>
      <w:r>
        <w:rPr>
          <w:color w:val="auto"/>
        </w:rPr>
        <w:fldChar w:fldCharType="begin"/>
      </w:r>
      <w:r>
        <w:rPr>
          <w:color w:val="auto"/>
        </w:rPr>
        <w:instrText xml:space="preserve"> PAGEREF _Toc4378 \h </w:instrText>
      </w:r>
      <w:r>
        <w:rPr>
          <w:color w:val="auto"/>
        </w:rPr>
        <w:fldChar w:fldCharType="separate"/>
      </w:r>
      <w:r>
        <w:rPr>
          <w:color w:val="auto"/>
        </w:rPr>
        <w:t>48</w:t>
      </w:r>
      <w:r>
        <w:rPr>
          <w:color w:val="auto"/>
        </w:rPr>
        <w:fldChar w:fldCharType="end"/>
      </w:r>
      <w:r>
        <w:rPr>
          <w:rFonts w:hint="default"/>
          <w:color w:val="auto"/>
        </w:rPr>
        <w:fldChar w:fldCharType="end"/>
      </w:r>
    </w:p>
    <w:p w14:paraId="3C946486">
      <w:pPr>
        <w:pStyle w:val="14"/>
        <w:tabs>
          <w:tab w:val="right" w:leader="dot" w:pos="9072"/>
        </w:tabs>
        <w:rPr>
          <w:color w:val="auto"/>
        </w:rPr>
      </w:pPr>
      <w:r>
        <w:rPr>
          <w:rFonts w:hint="default"/>
          <w:color w:val="auto"/>
        </w:rPr>
        <w:fldChar w:fldCharType="begin"/>
      </w:r>
      <w:r>
        <w:rPr>
          <w:rFonts w:hint="default"/>
          <w:color w:val="auto"/>
        </w:rPr>
        <w:instrText xml:space="preserve"> HYPERLINK \l _Toc2257 </w:instrText>
      </w:r>
      <w:r>
        <w:rPr>
          <w:rFonts w:hint="default"/>
          <w:color w:val="auto"/>
        </w:rPr>
        <w:fldChar w:fldCharType="separate"/>
      </w:r>
      <w:r>
        <w:rPr>
          <w:rFonts w:hint="default" w:ascii="Times New Roman" w:hAnsi="Times New Roman" w:cs="Times New Roman"/>
          <w:color w:val="auto"/>
          <w:lang w:val="en-US" w:eastAsia="zh-CN"/>
        </w:rPr>
        <w:t>7. 评估结论</w:t>
      </w:r>
      <w:r>
        <w:rPr>
          <w:color w:val="auto"/>
        </w:rPr>
        <w:tab/>
      </w:r>
      <w:r>
        <w:rPr>
          <w:color w:val="auto"/>
        </w:rPr>
        <w:fldChar w:fldCharType="begin"/>
      </w:r>
      <w:r>
        <w:rPr>
          <w:color w:val="auto"/>
        </w:rPr>
        <w:instrText xml:space="preserve"> PAGEREF _Toc2257 \h </w:instrText>
      </w:r>
      <w:r>
        <w:rPr>
          <w:color w:val="auto"/>
        </w:rPr>
        <w:fldChar w:fldCharType="separate"/>
      </w:r>
      <w:r>
        <w:rPr>
          <w:color w:val="auto"/>
        </w:rPr>
        <w:t>49</w:t>
      </w:r>
      <w:r>
        <w:rPr>
          <w:color w:val="auto"/>
        </w:rPr>
        <w:fldChar w:fldCharType="end"/>
      </w:r>
      <w:r>
        <w:rPr>
          <w:rFonts w:hint="default"/>
          <w:color w:val="auto"/>
        </w:rPr>
        <w:fldChar w:fldCharType="end"/>
      </w:r>
    </w:p>
    <w:p w14:paraId="64BA8CE4">
      <w:pPr>
        <w:pStyle w:val="15"/>
        <w:tabs>
          <w:tab w:val="right" w:leader="dot" w:pos="9072"/>
        </w:tabs>
        <w:rPr>
          <w:color w:val="auto"/>
        </w:rPr>
      </w:pPr>
      <w:r>
        <w:rPr>
          <w:rFonts w:hint="default"/>
          <w:color w:val="auto"/>
        </w:rPr>
        <w:fldChar w:fldCharType="begin"/>
      </w:r>
      <w:r>
        <w:rPr>
          <w:rFonts w:hint="default"/>
          <w:color w:val="auto"/>
        </w:rPr>
        <w:instrText xml:space="preserve"> HYPERLINK \l _Toc4374 </w:instrText>
      </w:r>
      <w:r>
        <w:rPr>
          <w:rFonts w:hint="default"/>
          <w:color w:val="auto"/>
        </w:rPr>
        <w:fldChar w:fldCharType="separate"/>
      </w:r>
      <w:r>
        <w:rPr>
          <w:rFonts w:hint="default"/>
          <w:color w:val="auto"/>
          <w:lang w:val="en-US" w:eastAsia="zh-CN"/>
        </w:rPr>
        <w:t>7.1</w:t>
      </w:r>
      <w:r>
        <w:rPr>
          <w:rFonts w:hint="eastAsia"/>
          <w:color w:val="auto"/>
          <w:lang w:val="en-US" w:eastAsia="zh-CN"/>
        </w:rPr>
        <w:t xml:space="preserve"> </w:t>
      </w:r>
      <w:r>
        <w:rPr>
          <w:rFonts w:hint="default"/>
          <w:color w:val="auto"/>
          <w:lang w:val="en-US" w:eastAsia="zh-CN"/>
        </w:rPr>
        <w:t>存在的危险有害因素</w:t>
      </w:r>
      <w:r>
        <w:rPr>
          <w:color w:val="auto"/>
        </w:rPr>
        <w:tab/>
      </w:r>
      <w:r>
        <w:rPr>
          <w:color w:val="auto"/>
        </w:rPr>
        <w:fldChar w:fldCharType="begin"/>
      </w:r>
      <w:r>
        <w:rPr>
          <w:color w:val="auto"/>
        </w:rPr>
        <w:instrText xml:space="preserve"> PAGEREF _Toc4374 \h </w:instrText>
      </w:r>
      <w:r>
        <w:rPr>
          <w:color w:val="auto"/>
        </w:rPr>
        <w:fldChar w:fldCharType="separate"/>
      </w:r>
      <w:r>
        <w:rPr>
          <w:color w:val="auto"/>
        </w:rPr>
        <w:t>49</w:t>
      </w:r>
      <w:r>
        <w:rPr>
          <w:color w:val="auto"/>
        </w:rPr>
        <w:fldChar w:fldCharType="end"/>
      </w:r>
      <w:r>
        <w:rPr>
          <w:rFonts w:hint="default"/>
          <w:color w:val="auto"/>
        </w:rPr>
        <w:fldChar w:fldCharType="end"/>
      </w:r>
    </w:p>
    <w:p w14:paraId="54170B01">
      <w:pPr>
        <w:pStyle w:val="15"/>
        <w:tabs>
          <w:tab w:val="right" w:leader="dot" w:pos="9072"/>
        </w:tabs>
        <w:rPr>
          <w:color w:val="auto"/>
        </w:rPr>
      </w:pPr>
      <w:r>
        <w:rPr>
          <w:rFonts w:hint="default"/>
          <w:color w:val="auto"/>
        </w:rPr>
        <w:fldChar w:fldCharType="begin"/>
      </w:r>
      <w:r>
        <w:rPr>
          <w:rFonts w:hint="default"/>
          <w:color w:val="auto"/>
        </w:rPr>
        <w:instrText xml:space="preserve"> HYPERLINK \l _Toc4282 </w:instrText>
      </w:r>
      <w:r>
        <w:rPr>
          <w:rFonts w:hint="default"/>
          <w:color w:val="auto"/>
        </w:rPr>
        <w:fldChar w:fldCharType="separate"/>
      </w:r>
      <w:r>
        <w:rPr>
          <w:rFonts w:hint="default"/>
          <w:color w:val="auto"/>
          <w:lang w:val="en-US" w:eastAsia="zh-CN"/>
        </w:rPr>
        <w:t>7.2</w:t>
      </w:r>
      <w:r>
        <w:rPr>
          <w:rFonts w:hint="eastAsia"/>
          <w:color w:val="auto"/>
          <w:lang w:val="en-US" w:eastAsia="zh-CN"/>
        </w:rPr>
        <w:t xml:space="preserve"> </w:t>
      </w:r>
      <w:r>
        <w:rPr>
          <w:rFonts w:hint="default"/>
          <w:color w:val="auto"/>
          <w:lang w:val="en-US" w:eastAsia="zh-CN"/>
        </w:rPr>
        <w:t>评估结论</w:t>
      </w:r>
      <w:r>
        <w:rPr>
          <w:color w:val="auto"/>
        </w:rPr>
        <w:tab/>
      </w:r>
      <w:r>
        <w:rPr>
          <w:color w:val="auto"/>
        </w:rPr>
        <w:fldChar w:fldCharType="begin"/>
      </w:r>
      <w:r>
        <w:rPr>
          <w:color w:val="auto"/>
        </w:rPr>
        <w:instrText xml:space="preserve"> PAGEREF _Toc4282 \h </w:instrText>
      </w:r>
      <w:r>
        <w:rPr>
          <w:color w:val="auto"/>
        </w:rPr>
        <w:fldChar w:fldCharType="separate"/>
      </w:r>
      <w:r>
        <w:rPr>
          <w:color w:val="auto"/>
        </w:rPr>
        <w:t>49</w:t>
      </w:r>
      <w:r>
        <w:rPr>
          <w:color w:val="auto"/>
        </w:rPr>
        <w:fldChar w:fldCharType="end"/>
      </w:r>
      <w:r>
        <w:rPr>
          <w:rFonts w:hint="default"/>
          <w:color w:val="auto"/>
        </w:rPr>
        <w:fldChar w:fldCharType="end"/>
      </w:r>
    </w:p>
    <w:p w14:paraId="47B6CA45">
      <w:pPr>
        <w:pStyle w:val="14"/>
        <w:tabs>
          <w:tab w:val="right" w:leader="dot" w:pos="9072"/>
        </w:tabs>
        <w:rPr>
          <w:color w:val="auto"/>
        </w:rPr>
      </w:pPr>
      <w:r>
        <w:rPr>
          <w:rFonts w:hint="default"/>
          <w:color w:val="auto"/>
        </w:rPr>
        <w:fldChar w:fldCharType="begin"/>
      </w:r>
      <w:r>
        <w:rPr>
          <w:rFonts w:hint="default"/>
          <w:color w:val="auto"/>
        </w:rPr>
        <w:instrText xml:space="preserve"> HYPERLINK \l _Toc21606 </w:instrText>
      </w:r>
      <w:r>
        <w:rPr>
          <w:rFonts w:hint="default"/>
          <w:color w:val="auto"/>
        </w:rPr>
        <w:fldChar w:fldCharType="separate"/>
      </w:r>
      <w:r>
        <w:rPr>
          <w:rFonts w:hint="default" w:ascii="Times New Roman" w:hAnsi="Times New Roman" w:cs="Times New Roman"/>
          <w:color w:val="auto"/>
          <w:lang w:val="en-US" w:eastAsia="zh-CN"/>
        </w:rPr>
        <w:t>8. 附件附图</w:t>
      </w:r>
      <w:r>
        <w:rPr>
          <w:color w:val="auto"/>
        </w:rPr>
        <w:tab/>
      </w:r>
      <w:r>
        <w:rPr>
          <w:color w:val="auto"/>
        </w:rPr>
        <w:fldChar w:fldCharType="begin"/>
      </w:r>
      <w:r>
        <w:rPr>
          <w:color w:val="auto"/>
        </w:rPr>
        <w:instrText xml:space="preserve"> PAGEREF _Toc21606 \h </w:instrText>
      </w:r>
      <w:r>
        <w:rPr>
          <w:color w:val="auto"/>
        </w:rPr>
        <w:fldChar w:fldCharType="separate"/>
      </w:r>
      <w:r>
        <w:rPr>
          <w:color w:val="auto"/>
        </w:rPr>
        <w:t>50</w:t>
      </w:r>
      <w:r>
        <w:rPr>
          <w:color w:val="auto"/>
        </w:rPr>
        <w:fldChar w:fldCharType="end"/>
      </w:r>
      <w:r>
        <w:rPr>
          <w:rFonts w:hint="default"/>
          <w:color w:val="auto"/>
        </w:rPr>
        <w:fldChar w:fldCharType="end"/>
      </w:r>
    </w:p>
    <w:p w14:paraId="00A39105">
      <w:pPr>
        <w:bidi w:val="0"/>
        <w:rPr>
          <w:rFonts w:hint="default"/>
          <w:color w:val="auto"/>
        </w:rPr>
      </w:pPr>
      <w:r>
        <w:rPr>
          <w:rFonts w:hint="default"/>
          <w:color w:val="auto"/>
        </w:rPr>
        <w:fldChar w:fldCharType="end"/>
      </w:r>
    </w:p>
    <w:p w14:paraId="33555B12">
      <w:pPr>
        <w:bidi w:val="0"/>
        <w:rPr>
          <w:rFonts w:hint="default"/>
          <w:color w:val="auto"/>
        </w:rPr>
      </w:pPr>
    </w:p>
    <w:p w14:paraId="1F58436C">
      <w:pPr>
        <w:bidi w:val="0"/>
        <w:rPr>
          <w:rFonts w:hint="default"/>
          <w:color w:val="auto"/>
        </w:rPr>
        <w:sectPr>
          <w:headerReference r:id="rId7" w:type="default"/>
          <w:footerReference r:id="rId8" w:type="default"/>
          <w:pgSz w:w="11906" w:h="16839"/>
          <w:pgMar w:top="1417" w:right="1417" w:bottom="1417" w:left="1417" w:header="850" w:footer="992" w:gutter="0"/>
          <w:pgBorders>
            <w:top w:val="none" w:sz="0" w:space="0"/>
            <w:left w:val="none" w:sz="0" w:space="0"/>
            <w:bottom w:val="none" w:sz="0" w:space="0"/>
            <w:right w:val="none" w:sz="0" w:space="0"/>
          </w:pgBorders>
          <w:pgNumType w:fmt="upperRoman" w:start="1"/>
          <w:cols w:space="720" w:num="1"/>
          <w:rtlGutter w:val="0"/>
          <w:docGrid w:linePitch="312" w:charSpace="0"/>
        </w:sectPr>
      </w:pPr>
    </w:p>
    <w:p w14:paraId="5C630294">
      <w:pPr>
        <w:pStyle w:val="2"/>
        <w:numPr>
          <w:ilvl w:val="0"/>
          <w:numId w:val="0"/>
        </w:numPr>
        <w:bidi w:val="0"/>
        <w:ind w:firstLine="0" w:firstLineChars="0"/>
        <w:jc w:val="center"/>
        <w:rPr>
          <w:rFonts w:hint="eastAsia"/>
          <w:color w:val="auto"/>
        </w:rPr>
      </w:pPr>
      <w:bookmarkStart w:id="3" w:name="_Toc11461"/>
      <w:bookmarkStart w:id="4" w:name="_Toc10261"/>
      <w:bookmarkStart w:id="5" w:name="_Toc11629"/>
      <w:r>
        <w:rPr>
          <w:rFonts w:hint="eastAsia" w:ascii="Times New Roman" w:hAnsi="Times New Roman" w:eastAsia="黑体" w:cs="Times New Roman"/>
          <w:b/>
          <w:color w:val="auto"/>
          <w:kern w:val="44"/>
          <w:sz w:val="32"/>
          <w:szCs w:val="24"/>
          <w:lang w:val="en-US" w:eastAsia="zh-CN" w:bidi="ar-SA"/>
        </w:rPr>
        <w:t>1.</w:t>
      </w:r>
      <w:r>
        <w:rPr>
          <w:rFonts w:hint="eastAsia"/>
          <w:color w:val="auto"/>
        </w:rPr>
        <w:t>评估概述</w:t>
      </w:r>
      <w:bookmarkEnd w:id="3"/>
      <w:bookmarkEnd w:id="4"/>
      <w:bookmarkEnd w:id="5"/>
    </w:p>
    <w:p w14:paraId="62E96878">
      <w:pPr>
        <w:pStyle w:val="3"/>
        <w:bidi w:val="0"/>
        <w:rPr>
          <w:rFonts w:hint="default"/>
          <w:color w:val="auto"/>
          <w:lang w:val="en-US" w:eastAsia="zh-CN"/>
        </w:rPr>
      </w:pPr>
      <w:bookmarkStart w:id="6" w:name="_Toc4559"/>
      <w:bookmarkStart w:id="7" w:name="_Toc12178"/>
      <w:bookmarkStart w:id="8" w:name="_Toc19516"/>
      <w:bookmarkStart w:id="9" w:name="_Toc735"/>
      <w:bookmarkStart w:id="10" w:name="_Toc27513"/>
      <w:r>
        <w:rPr>
          <w:rFonts w:hint="eastAsia"/>
          <w:color w:val="auto"/>
          <w:lang w:val="en-US" w:eastAsia="zh-CN"/>
        </w:rPr>
        <w:t xml:space="preserve">1.1 </w:t>
      </w:r>
      <w:bookmarkEnd w:id="6"/>
      <w:bookmarkEnd w:id="7"/>
      <w:r>
        <w:rPr>
          <w:rFonts w:hint="eastAsia"/>
          <w:color w:val="auto"/>
          <w:lang w:val="en-US" w:eastAsia="zh-CN"/>
        </w:rPr>
        <w:t>评估对象和范围</w:t>
      </w:r>
      <w:bookmarkEnd w:id="8"/>
      <w:bookmarkEnd w:id="9"/>
      <w:bookmarkEnd w:id="10"/>
    </w:p>
    <w:p w14:paraId="0904CA7F">
      <w:pPr>
        <w:pStyle w:val="4"/>
        <w:bidi w:val="0"/>
        <w:rPr>
          <w:rFonts w:hint="default"/>
          <w:color w:val="auto"/>
          <w:lang w:val="en-US" w:eastAsia="zh-CN"/>
        </w:rPr>
      </w:pPr>
      <w:bookmarkStart w:id="11" w:name="_Toc24890"/>
      <w:bookmarkStart w:id="12" w:name="_Toc21990"/>
      <w:bookmarkStart w:id="13" w:name="_Toc3330"/>
      <w:bookmarkStart w:id="14" w:name="_Toc18570"/>
      <w:bookmarkStart w:id="15" w:name="_Toc20400"/>
      <w:bookmarkStart w:id="16" w:name="_Toc4210"/>
      <w:bookmarkStart w:id="17" w:name="_Toc12180"/>
      <w:bookmarkStart w:id="18" w:name="_Toc13743"/>
      <w:r>
        <w:rPr>
          <w:rFonts w:hint="eastAsia"/>
          <w:color w:val="auto"/>
          <w:lang w:val="en-US" w:eastAsia="zh-CN"/>
        </w:rPr>
        <w:t>1.1.1 评估对象</w:t>
      </w:r>
      <w:bookmarkEnd w:id="11"/>
      <w:bookmarkEnd w:id="12"/>
      <w:bookmarkEnd w:id="13"/>
    </w:p>
    <w:p w14:paraId="41F377A9">
      <w:pPr>
        <w:bidi w:val="0"/>
        <w:rPr>
          <w:rFonts w:hint="eastAsia"/>
          <w:color w:val="auto"/>
          <w:lang w:val="en-US" w:eastAsia="zh-CN"/>
        </w:rPr>
      </w:pPr>
      <w:r>
        <w:rPr>
          <w:rFonts w:hint="eastAsia"/>
          <w:color w:val="auto"/>
          <w:lang w:val="en-US" w:eastAsia="zh-CN"/>
        </w:rPr>
        <w:t>艾坦途（宜春）物流有限公司平面交叉道口工程施工作业。</w:t>
      </w:r>
    </w:p>
    <w:p w14:paraId="6C569186">
      <w:pPr>
        <w:pStyle w:val="4"/>
        <w:bidi w:val="0"/>
        <w:rPr>
          <w:rFonts w:hint="default"/>
          <w:color w:val="auto"/>
          <w:lang w:val="en-US" w:eastAsia="zh-CN"/>
        </w:rPr>
      </w:pPr>
      <w:bookmarkStart w:id="19" w:name="_Toc26223"/>
      <w:bookmarkStart w:id="20" w:name="_Toc21175"/>
      <w:bookmarkStart w:id="21" w:name="_Toc10632"/>
      <w:r>
        <w:rPr>
          <w:rFonts w:hint="eastAsia"/>
          <w:color w:val="auto"/>
          <w:lang w:val="en-US" w:eastAsia="zh-CN"/>
        </w:rPr>
        <w:t>1.1.2 评估范围</w:t>
      </w:r>
      <w:bookmarkEnd w:id="19"/>
      <w:bookmarkEnd w:id="20"/>
      <w:bookmarkEnd w:id="21"/>
    </w:p>
    <w:p w14:paraId="4E98BFE9">
      <w:pPr>
        <w:bidi w:val="0"/>
        <w:rPr>
          <w:rFonts w:hint="eastAsia"/>
          <w:color w:val="auto"/>
          <w:lang w:val="en-US" w:eastAsia="zh-CN"/>
        </w:rPr>
      </w:pPr>
      <w:r>
        <w:rPr>
          <w:rFonts w:hint="eastAsia"/>
          <w:color w:val="auto"/>
          <w:lang w:val="en-US" w:eastAsia="zh-CN"/>
        </w:rPr>
        <w:t>艾坦途（宜春）物流有限公司平面交叉道口工程施工作业过程存在的危险有害因素及施工阶段对G354国道运行的影响。</w:t>
      </w:r>
    </w:p>
    <w:p w14:paraId="63ACF775">
      <w:pPr>
        <w:pStyle w:val="3"/>
        <w:bidi w:val="0"/>
        <w:rPr>
          <w:rFonts w:hint="default"/>
          <w:color w:val="auto"/>
          <w:lang w:val="en-US" w:eastAsia="zh-CN"/>
        </w:rPr>
      </w:pPr>
      <w:bookmarkStart w:id="22" w:name="_Toc245"/>
      <w:bookmarkStart w:id="23" w:name="_Toc17363"/>
      <w:bookmarkStart w:id="24" w:name="_Toc22765"/>
      <w:r>
        <w:rPr>
          <w:rFonts w:hint="eastAsia"/>
          <w:color w:val="auto"/>
          <w:lang w:val="en-US" w:eastAsia="zh-CN"/>
        </w:rPr>
        <w:t>1.2 评估目的</w:t>
      </w:r>
      <w:bookmarkEnd w:id="22"/>
      <w:bookmarkEnd w:id="23"/>
      <w:bookmarkEnd w:id="24"/>
    </w:p>
    <w:p w14:paraId="4B884266">
      <w:pPr>
        <w:bidi w:val="0"/>
        <w:rPr>
          <w:rFonts w:hint="eastAsia"/>
          <w:color w:val="auto"/>
          <w:lang w:val="en-US" w:eastAsia="zh-CN"/>
        </w:rPr>
      </w:pPr>
      <w:r>
        <w:rPr>
          <w:rFonts w:hint="eastAsia"/>
          <w:color w:val="auto"/>
          <w:lang w:val="en-US" w:eastAsia="zh-CN"/>
        </w:rPr>
        <w:t>安全生产作业评估的目的在于查找、分析：艾坦途（宜春）物流有限公司平面交叉道口工程施工作业过程存在的危险有害因素及其对G354国道运行的影响。对可能存在的问题和隐患，提出合理可行的安全对策措施和建议，以促进施工作业安全顺利施工。</w:t>
      </w:r>
    </w:p>
    <w:p w14:paraId="44565179">
      <w:pPr>
        <w:pStyle w:val="3"/>
        <w:bidi w:val="0"/>
        <w:rPr>
          <w:rFonts w:hint="eastAsia"/>
          <w:color w:val="auto"/>
          <w:lang w:val="en-US" w:eastAsia="zh-CN"/>
        </w:rPr>
      </w:pPr>
      <w:bookmarkStart w:id="25" w:name="_Toc32126"/>
      <w:bookmarkStart w:id="26" w:name="_Toc652"/>
      <w:bookmarkStart w:id="27" w:name="_Toc26416"/>
      <w:bookmarkStart w:id="28" w:name="_Toc3809"/>
      <w:bookmarkStart w:id="29" w:name="_Toc838"/>
      <w:r>
        <w:rPr>
          <w:rFonts w:hint="eastAsia"/>
          <w:color w:val="auto"/>
          <w:lang w:val="en-US" w:eastAsia="zh-CN"/>
        </w:rPr>
        <w:t>1.3评</w:t>
      </w:r>
      <w:r>
        <w:rPr>
          <w:rFonts w:hint="eastAsia" w:ascii="Times New Roman" w:hAnsi="Times New Roman" w:eastAsia="黑体" w:cs="Times New Roman"/>
          <w:b/>
          <w:color w:val="auto"/>
          <w:kern w:val="2"/>
          <w:sz w:val="28"/>
          <w:szCs w:val="24"/>
          <w:lang w:val="en-US" w:eastAsia="zh-CN" w:bidi="ar-SA"/>
        </w:rPr>
        <w:t>估</w:t>
      </w:r>
      <w:r>
        <w:rPr>
          <w:rFonts w:hint="eastAsia"/>
          <w:color w:val="auto"/>
          <w:lang w:val="en-US" w:eastAsia="zh-CN"/>
        </w:rPr>
        <w:t>依据</w:t>
      </w:r>
      <w:bookmarkEnd w:id="14"/>
      <w:bookmarkEnd w:id="15"/>
      <w:bookmarkEnd w:id="16"/>
      <w:bookmarkEnd w:id="17"/>
      <w:bookmarkEnd w:id="18"/>
      <w:bookmarkEnd w:id="25"/>
      <w:bookmarkEnd w:id="26"/>
      <w:bookmarkEnd w:id="27"/>
      <w:bookmarkEnd w:id="28"/>
      <w:bookmarkEnd w:id="29"/>
    </w:p>
    <w:p w14:paraId="086CC075">
      <w:pPr>
        <w:keepNext/>
        <w:keepLines/>
        <w:widowControl w:val="0"/>
        <w:bidi w:val="0"/>
        <w:spacing w:beforeLines="0" w:beforeAutospacing="0" w:afterLines="0" w:afterAutospacing="0" w:line="360" w:lineRule="auto"/>
        <w:ind w:left="560" w:leftChars="200" w:firstLine="0" w:firstLineChars="0"/>
        <w:jc w:val="both"/>
        <w:outlineLvl w:val="2"/>
        <w:rPr>
          <w:rFonts w:hint="eastAsia" w:ascii="Times New Roman" w:hAnsi="Times New Roman" w:eastAsia="黑体" w:cs="Times New Roman"/>
          <w:b/>
          <w:color w:val="auto"/>
          <w:kern w:val="2"/>
          <w:sz w:val="28"/>
          <w:szCs w:val="24"/>
          <w:lang w:val="en-US" w:eastAsia="zh-CN" w:bidi="ar-SA"/>
        </w:rPr>
      </w:pPr>
      <w:bookmarkStart w:id="30" w:name="_Toc10245"/>
      <w:bookmarkStart w:id="31" w:name="_Toc30933"/>
      <w:bookmarkStart w:id="32" w:name="_Toc11394"/>
      <w:bookmarkStart w:id="33" w:name="_Toc16419"/>
      <w:bookmarkStart w:id="34" w:name="_Toc11129"/>
      <w:bookmarkStart w:id="35" w:name="_Toc8865"/>
      <w:r>
        <w:rPr>
          <w:rFonts w:hint="eastAsia" w:ascii="Times New Roman" w:hAnsi="Times New Roman" w:eastAsia="黑体" w:cs="Times New Roman"/>
          <w:b/>
          <w:color w:val="auto"/>
          <w:kern w:val="2"/>
          <w:sz w:val="28"/>
          <w:szCs w:val="24"/>
          <w:lang w:val="en-US" w:eastAsia="zh-CN" w:bidi="ar-SA"/>
        </w:rPr>
        <w:t>1.</w:t>
      </w:r>
      <w:r>
        <w:rPr>
          <w:rFonts w:hint="eastAsia" w:eastAsia="黑体" w:cs="Times New Roman"/>
          <w:b/>
          <w:color w:val="auto"/>
          <w:kern w:val="2"/>
          <w:sz w:val="28"/>
          <w:szCs w:val="24"/>
          <w:lang w:val="en-US" w:eastAsia="zh-CN" w:bidi="ar-SA"/>
        </w:rPr>
        <w:t>3</w:t>
      </w:r>
      <w:r>
        <w:rPr>
          <w:rFonts w:hint="eastAsia" w:ascii="Times New Roman" w:hAnsi="Times New Roman" w:eastAsia="黑体" w:cs="Times New Roman"/>
          <w:b/>
          <w:color w:val="auto"/>
          <w:kern w:val="2"/>
          <w:sz w:val="28"/>
          <w:szCs w:val="24"/>
          <w:lang w:val="en-US" w:eastAsia="zh-CN" w:bidi="ar-SA"/>
        </w:rPr>
        <w:t>.1 法律法规</w:t>
      </w:r>
      <w:bookmarkEnd w:id="30"/>
      <w:bookmarkEnd w:id="31"/>
      <w:bookmarkEnd w:id="32"/>
      <w:bookmarkEnd w:id="33"/>
      <w:bookmarkEnd w:id="34"/>
      <w:bookmarkEnd w:id="35"/>
    </w:p>
    <w:p w14:paraId="25A3B3E2">
      <w:pPr>
        <w:bidi w:val="0"/>
        <w:rPr>
          <w:rFonts w:hint="eastAsia"/>
          <w:color w:val="auto"/>
          <w:lang w:val="en-US" w:eastAsia="zh-CN"/>
        </w:rPr>
      </w:pPr>
      <w:r>
        <w:rPr>
          <w:rFonts w:hint="eastAsia" w:ascii="Times New Roman" w:eastAsia="宋体"/>
          <w:color w:val="auto"/>
          <w:lang w:val="en-US" w:eastAsia="zh-CN"/>
        </w:rPr>
        <w:t>《中华人民共和国突发事件应对法》（主席令</w:t>
      </w:r>
      <w:r>
        <w:rPr>
          <w:rFonts w:hint="eastAsia" w:ascii="宋体" w:hAnsi="宋体" w:eastAsia="宋体" w:cs="宋体"/>
          <w:color w:val="auto"/>
        </w:rPr>
        <w:t>[</w:t>
      </w:r>
      <w:r>
        <w:rPr>
          <w:rFonts w:hint="eastAsia" w:cs="Times New Roman"/>
          <w:color w:val="auto"/>
          <w:lang w:val="en-US" w:eastAsia="zh-CN"/>
        </w:rPr>
        <w:t>2007</w:t>
      </w:r>
      <w:r>
        <w:rPr>
          <w:rFonts w:hint="eastAsia" w:ascii="宋体" w:hAnsi="宋体" w:eastAsia="宋体" w:cs="宋体"/>
          <w:color w:val="auto"/>
        </w:rPr>
        <w:t>]</w:t>
      </w:r>
      <w:r>
        <w:rPr>
          <w:rFonts w:hint="eastAsia" w:ascii="Times New Roman" w:eastAsia="宋体"/>
          <w:color w:val="auto"/>
          <w:lang w:val="en-US" w:eastAsia="zh-CN"/>
        </w:rPr>
        <w:t>第69号，2007年8月30日通过，自2007年11月1日起施行）</w:t>
      </w:r>
    </w:p>
    <w:p w14:paraId="1890091A">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《中华人民共和国环境保护法》（主席令</w:t>
      </w:r>
      <w:r>
        <w:rPr>
          <w:rFonts w:hint="eastAsia" w:ascii="宋体" w:hAnsi="宋体" w:eastAsia="宋体" w:cs="宋体"/>
          <w:color w:val="auto"/>
        </w:rPr>
        <w:t>[</w:t>
      </w:r>
      <w:r>
        <w:rPr>
          <w:rFonts w:hint="default" w:ascii="Times New Roman" w:hAnsi="Times New Roman" w:eastAsia="宋体" w:cs="Times New Roman"/>
          <w:color w:val="auto"/>
        </w:rPr>
        <w:t>1989</w:t>
      </w:r>
      <w:r>
        <w:rPr>
          <w:rFonts w:hint="eastAsia" w:ascii="宋体" w:hAnsi="宋体" w:eastAsia="宋体" w:cs="宋体"/>
          <w:color w:val="auto"/>
        </w:rPr>
        <w:t>]</w:t>
      </w:r>
      <w:r>
        <w:rPr>
          <w:rFonts w:hint="default" w:ascii="Times New Roman" w:hAnsi="Times New Roman" w:eastAsia="宋体" w:cs="Times New Roman"/>
          <w:color w:val="auto"/>
        </w:rPr>
        <w:t>第22号，自1989年12月26日起施行，2014年4月24日修订）</w:t>
      </w:r>
    </w:p>
    <w:p w14:paraId="70F26462">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《中华人民共和国劳动法》（主席令</w:t>
      </w:r>
      <w:r>
        <w:rPr>
          <w:rFonts w:hint="eastAsia" w:ascii="宋体" w:hAnsi="宋体" w:eastAsia="宋体" w:cs="宋体"/>
          <w:color w:val="auto"/>
        </w:rPr>
        <w:t>[</w:t>
      </w:r>
      <w:r>
        <w:rPr>
          <w:rFonts w:hint="eastAsia" w:ascii="Times New Roman" w:hAnsi="Times New Roman" w:eastAsia="宋体" w:cs="Times New Roman"/>
          <w:color w:val="auto"/>
          <w:lang w:val="en-US" w:eastAsia="zh-CN"/>
        </w:rPr>
        <w:t>1994</w:t>
      </w:r>
      <w:r>
        <w:rPr>
          <w:rFonts w:hint="eastAsia" w:ascii="宋体" w:hAnsi="宋体" w:eastAsia="宋体" w:cs="宋体"/>
          <w:color w:val="auto"/>
        </w:rPr>
        <w:t>]</w:t>
      </w:r>
      <w:r>
        <w:rPr>
          <w:rFonts w:hint="default" w:ascii="Times New Roman" w:hAnsi="Times New Roman" w:eastAsia="宋体" w:cs="Times New Roman"/>
          <w:color w:val="auto"/>
        </w:rPr>
        <w:t>第28号，自1995年1月1日起施行，2009年8月27日、2018年12月29日修正）</w:t>
      </w:r>
    </w:p>
    <w:p w14:paraId="185EAF20">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《中华人民共和国公路法》</w:t>
      </w:r>
      <w:r>
        <w:rPr>
          <w:rFonts w:hint="eastAsia" w:cs="Times New Roman"/>
          <w:color w:val="auto"/>
          <w:lang w:eastAsia="zh-CN"/>
        </w:rPr>
        <w:t>（</w:t>
      </w:r>
      <w:r>
        <w:rPr>
          <w:rFonts w:hint="default" w:ascii="Times New Roman" w:hAnsi="Times New Roman" w:eastAsia="宋体" w:cs="Times New Roman"/>
          <w:color w:val="auto"/>
        </w:rPr>
        <w:t>主席令</w:t>
      </w:r>
      <w:r>
        <w:rPr>
          <w:rFonts w:hint="eastAsia" w:ascii="宋体" w:hAnsi="宋体" w:eastAsia="宋体" w:cs="宋体"/>
          <w:color w:val="auto"/>
        </w:rPr>
        <w:t>[</w:t>
      </w:r>
      <w:r>
        <w:rPr>
          <w:rFonts w:hint="eastAsia" w:ascii="Times New Roman" w:hAnsi="Times New Roman" w:eastAsia="宋体" w:cs="Times New Roman"/>
          <w:color w:val="auto"/>
          <w:lang w:val="en-US" w:eastAsia="zh-CN"/>
        </w:rPr>
        <w:t>1997</w:t>
      </w:r>
      <w:r>
        <w:rPr>
          <w:rFonts w:hint="eastAsia" w:ascii="宋体" w:hAnsi="宋体" w:eastAsia="宋体" w:cs="宋体"/>
          <w:color w:val="auto"/>
        </w:rPr>
        <w:t>]</w:t>
      </w:r>
      <w:r>
        <w:rPr>
          <w:rFonts w:hint="default" w:ascii="Times New Roman" w:hAnsi="Times New Roman" w:eastAsia="宋体" w:cs="Times New Roman"/>
          <w:color w:val="auto"/>
        </w:rPr>
        <w:t>第</w:t>
      </w:r>
      <w:r>
        <w:rPr>
          <w:rFonts w:hint="eastAsia" w:ascii="Times New Roman" w:hAnsi="Times New Roman" w:eastAsia="宋体" w:cs="Times New Roman"/>
          <w:color w:val="auto"/>
          <w:lang w:val="en-US" w:eastAsia="zh-CN"/>
        </w:rPr>
        <w:t>86</w:t>
      </w:r>
      <w:r>
        <w:rPr>
          <w:rFonts w:hint="default" w:ascii="Times New Roman" w:hAnsi="Times New Roman" w:eastAsia="宋体" w:cs="Times New Roman"/>
          <w:color w:val="auto"/>
        </w:rPr>
        <w:t>号，自1998年</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rPr>
        <w:t>月1日起施行，1999年10月31日</w:t>
      </w:r>
      <w:r>
        <w:rPr>
          <w:rFonts w:hint="eastAsia" w:ascii="Times New Roman" w:hAnsi="Times New Roman" w:eastAsia="宋体" w:cs="Times New Roman"/>
          <w:color w:val="auto"/>
          <w:lang w:eastAsia="zh-CN"/>
        </w:rPr>
        <w:t>、2004年8月28日、2009年8月27日、2016年11月7日、2017年11月4日</w:t>
      </w:r>
      <w:r>
        <w:rPr>
          <w:rFonts w:hint="default" w:ascii="Times New Roman" w:hAnsi="Times New Roman" w:eastAsia="宋体" w:cs="Times New Roman"/>
          <w:color w:val="auto"/>
        </w:rPr>
        <w:t>修正</w:t>
      </w:r>
      <w:r>
        <w:rPr>
          <w:rFonts w:hint="eastAsia" w:cs="Times New Roman"/>
          <w:color w:val="auto"/>
          <w:lang w:eastAsia="zh-CN"/>
        </w:rPr>
        <w:t>）</w:t>
      </w:r>
    </w:p>
    <w:p w14:paraId="555F1DC9">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《中华人民共和国消防法》（主席令</w:t>
      </w:r>
      <w:r>
        <w:rPr>
          <w:rFonts w:hint="eastAsia" w:ascii="宋体" w:hAnsi="宋体" w:eastAsia="宋体" w:cs="宋体"/>
          <w:color w:val="auto"/>
        </w:rPr>
        <w:t>[</w:t>
      </w:r>
      <w:r>
        <w:rPr>
          <w:rFonts w:hint="eastAsia" w:ascii="Times New Roman" w:hAnsi="Times New Roman" w:eastAsia="宋体" w:cs="Times New Roman"/>
          <w:color w:val="auto"/>
          <w:lang w:val="en-US" w:eastAsia="zh-CN"/>
        </w:rPr>
        <w:t>1998</w:t>
      </w:r>
      <w:r>
        <w:rPr>
          <w:rFonts w:hint="eastAsia" w:ascii="宋体" w:hAnsi="宋体" w:eastAsia="宋体" w:cs="宋体"/>
          <w:color w:val="auto"/>
        </w:rPr>
        <w:t>]</w:t>
      </w:r>
      <w:r>
        <w:rPr>
          <w:rFonts w:hint="default" w:ascii="Times New Roman" w:hAnsi="Times New Roman" w:eastAsia="宋体" w:cs="Times New Roman"/>
          <w:color w:val="auto"/>
        </w:rPr>
        <w:t>第</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rPr>
        <w:t>号，自1998年9月1日起施行，2008年10月28日修订</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2019年4月23日、2021年4月29日修正）</w:t>
      </w:r>
    </w:p>
    <w:p w14:paraId="4B07ABAB">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《中华人民共和国职业病防治法》（主席令</w:t>
      </w:r>
      <w:r>
        <w:rPr>
          <w:rFonts w:hint="eastAsia" w:ascii="宋体" w:hAnsi="宋体" w:eastAsia="宋体" w:cs="宋体"/>
          <w:color w:val="auto"/>
        </w:rPr>
        <w:t>[</w:t>
      </w:r>
      <w:r>
        <w:rPr>
          <w:rFonts w:hint="default" w:ascii="Times New Roman" w:hAnsi="Times New Roman" w:eastAsia="宋体" w:cs="Times New Roman"/>
          <w:color w:val="auto"/>
        </w:rPr>
        <w:t>200</w:t>
      </w:r>
      <w:r>
        <w:rPr>
          <w:rFonts w:hint="eastAsia" w:ascii="Times New Roman" w:hAnsi="Times New Roman" w:eastAsia="宋体" w:cs="Times New Roman"/>
          <w:color w:val="auto"/>
          <w:lang w:val="en-US" w:eastAsia="zh-CN"/>
        </w:rPr>
        <w:t>1</w:t>
      </w:r>
      <w:r>
        <w:rPr>
          <w:rFonts w:hint="eastAsia" w:ascii="宋体" w:hAnsi="宋体" w:eastAsia="宋体" w:cs="宋体"/>
          <w:color w:val="auto"/>
        </w:rPr>
        <w:t>]</w:t>
      </w:r>
      <w:r>
        <w:rPr>
          <w:rFonts w:hint="default" w:ascii="Times New Roman" w:hAnsi="Times New Roman" w:eastAsia="宋体" w:cs="Times New Roman"/>
          <w:color w:val="auto"/>
        </w:rPr>
        <w:t>第</w:t>
      </w:r>
      <w:r>
        <w:rPr>
          <w:rFonts w:hint="eastAsia" w:ascii="Times New Roman" w:hAnsi="Times New Roman" w:eastAsia="宋体" w:cs="Times New Roman"/>
          <w:color w:val="auto"/>
          <w:lang w:val="en-US" w:eastAsia="zh-CN"/>
        </w:rPr>
        <w:t>60</w:t>
      </w:r>
      <w:r>
        <w:rPr>
          <w:rFonts w:hint="default" w:ascii="Times New Roman" w:hAnsi="Times New Roman" w:eastAsia="宋体" w:cs="Times New Roman"/>
          <w:color w:val="auto"/>
        </w:rPr>
        <w:t>号，自2002年5月1日起施行</w:t>
      </w:r>
      <w:r>
        <w:rPr>
          <w:rFonts w:hint="eastAsia" w:ascii="Times New Roman" w:hAnsi="Times New Roman" w:eastAsia="宋体" w:cs="Times New Roman"/>
          <w:color w:val="auto"/>
          <w:lang w:eastAsia="zh-CN"/>
        </w:rPr>
        <w:t>，2011年12月31日、2016年7月2日、2017年11月4日、2018年12月29日修正</w:t>
      </w:r>
      <w:r>
        <w:rPr>
          <w:rFonts w:hint="default" w:ascii="Times New Roman" w:hAnsi="Times New Roman" w:eastAsia="宋体" w:cs="Times New Roman"/>
          <w:color w:val="auto"/>
        </w:rPr>
        <w:t>）</w:t>
      </w:r>
    </w:p>
    <w:p w14:paraId="033A6D14">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《中华人民共和国安全生产法》（主席令</w:t>
      </w:r>
      <w:r>
        <w:rPr>
          <w:rFonts w:hint="eastAsia" w:ascii="宋体" w:hAnsi="宋体" w:eastAsia="宋体" w:cs="宋体"/>
          <w:color w:val="auto"/>
        </w:rPr>
        <w:t>[</w:t>
      </w:r>
      <w:r>
        <w:rPr>
          <w:rFonts w:hint="eastAsia" w:ascii="Times New Roman" w:hAnsi="Times New Roman" w:eastAsia="宋体" w:cs="Times New Roman"/>
          <w:color w:val="auto"/>
          <w:lang w:val="en-US" w:eastAsia="zh-CN"/>
        </w:rPr>
        <w:t>2002</w:t>
      </w:r>
      <w:r>
        <w:rPr>
          <w:rFonts w:hint="eastAsia" w:ascii="宋体" w:hAnsi="宋体" w:eastAsia="宋体" w:cs="宋体"/>
          <w:color w:val="auto"/>
        </w:rPr>
        <w:t>]</w:t>
      </w:r>
      <w:r>
        <w:rPr>
          <w:rFonts w:hint="eastAsia" w:ascii="Times New Roman" w:hAnsi="Times New Roman" w:eastAsia="宋体" w:cs="Times New Roman"/>
          <w:color w:val="auto"/>
          <w:lang w:val="en-US" w:eastAsia="zh-CN"/>
        </w:rPr>
        <w:t>第70号，自2002年11月1日起实施，2009年8月27日、2014年8月31日、2021年6月10日修正）</w:t>
      </w:r>
    </w:p>
    <w:p w14:paraId="382C7C0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《中华人民共和国道路交通安全法》（主席令</w:t>
      </w:r>
      <w:r>
        <w:rPr>
          <w:rFonts w:hint="eastAsia" w:ascii="宋体" w:hAnsi="宋体" w:eastAsia="宋体" w:cs="宋体"/>
          <w:color w:val="auto"/>
        </w:rPr>
        <w:t>[</w:t>
      </w:r>
      <w:r>
        <w:rPr>
          <w:rFonts w:hint="eastAsia" w:cs="Times New Roman"/>
          <w:color w:val="auto"/>
          <w:lang w:val="en-US" w:eastAsia="zh-CN"/>
        </w:rPr>
        <w:t>2003</w:t>
      </w:r>
      <w:r>
        <w:rPr>
          <w:rFonts w:hint="eastAsia" w:ascii="宋体" w:hAnsi="宋体" w:eastAsia="宋体" w:cs="宋体"/>
          <w:color w:val="auto"/>
        </w:rPr>
        <w:t>]</w:t>
      </w:r>
      <w:r>
        <w:rPr>
          <w:rFonts w:hint="default" w:ascii="Times New Roman" w:hAnsi="Times New Roman" w:eastAsia="宋体" w:cs="Times New Roman"/>
          <w:color w:val="auto"/>
        </w:rPr>
        <w:t>第</w:t>
      </w:r>
      <w:r>
        <w:rPr>
          <w:rFonts w:hint="eastAsia" w:cs="Times New Roman"/>
          <w:color w:val="auto"/>
          <w:lang w:val="en-US" w:eastAsia="zh-CN"/>
        </w:rPr>
        <w:t>8</w:t>
      </w:r>
      <w:r>
        <w:rPr>
          <w:rFonts w:hint="default" w:ascii="Times New Roman" w:hAnsi="Times New Roman" w:eastAsia="宋体" w:cs="Times New Roman"/>
          <w:color w:val="auto"/>
        </w:rPr>
        <w:t>号，自</w:t>
      </w:r>
      <w:r>
        <w:rPr>
          <w:rFonts w:hint="eastAsia" w:cs="Times New Roman"/>
          <w:color w:val="auto"/>
          <w:lang w:val="en-US" w:eastAsia="zh-CN"/>
        </w:rPr>
        <w:t>2004</w:t>
      </w:r>
      <w:r>
        <w:rPr>
          <w:rFonts w:hint="default" w:ascii="Times New Roman" w:hAnsi="Times New Roman" w:eastAsia="宋体" w:cs="Times New Roman"/>
          <w:color w:val="auto"/>
        </w:rPr>
        <w:t>年</w:t>
      </w:r>
      <w:r>
        <w:rPr>
          <w:rFonts w:hint="eastAsia" w:cs="Times New Roman"/>
          <w:color w:val="auto"/>
          <w:lang w:val="en-US" w:eastAsia="zh-CN"/>
        </w:rPr>
        <w:t>5</w:t>
      </w:r>
      <w:r>
        <w:rPr>
          <w:rFonts w:hint="default" w:ascii="Times New Roman" w:hAnsi="Times New Roman" w:eastAsia="宋体" w:cs="Times New Roman"/>
          <w:color w:val="auto"/>
        </w:rPr>
        <w:t>月</w:t>
      </w:r>
      <w:r>
        <w:rPr>
          <w:rFonts w:hint="eastAsia" w:cs="Times New Roman"/>
          <w:color w:val="auto"/>
          <w:lang w:val="en-US" w:eastAsia="zh-CN"/>
        </w:rPr>
        <w:t>1</w:t>
      </w:r>
      <w:r>
        <w:rPr>
          <w:rFonts w:hint="default" w:ascii="Times New Roman" w:hAnsi="Times New Roman" w:eastAsia="宋体" w:cs="Times New Roman"/>
          <w:color w:val="auto"/>
        </w:rPr>
        <w:t>日起施行，2007年12月29日</w:t>
      </w:r>
      <w:r>
        <w:rPr>
          <w:rFonts w:hint="eastAsia" w:cs="Times New Roman"/>
          <w:color w:val="auto"/>
          <w:lang w:eastAsia="zh-CN"/>
        </w:rPr>
        <w:t>、2011年4月22日、2021年4月29日</w:t>
      </w:r>
      <w:r>
        <w:rPr>
          <w:rFonts w:hint="default" w:ascii="Times New Roman" w:hAnsi="Times New Roman" w:eastAsia="宋体" w:cs="Times New Roman"/>
          <w:color w:val="auto"/>
        </w:rPr>
        <w:t>修</w:t>
      </w:r>
      <w:r>
        <w:rPr>
          <w:rFonts w:hint="eastAsia" w:cs="Times New Roman"/>
          <w:color w:val="auto"/>
          <w:lang w:val="en-US" w:eastAsia="zh-CN"/>
        </w:rPr>
        <w:t>正</w:t>
      </w:r>
      <w:r>
        <w:rPr>
          <w:rFonts w:hint="default" w:ascii="Times New Roman" w:hAnsi="Times New Roman" w:eastAsia="宋体" w:cs="Times New Roman"/>
          <w:color w:val="auto"/>
        </w:rPr>
        <w:t>）</w:t>
      </w:r>
    </w:p>
    <w:p w14:paraId="0056459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2</w:t>
      </w:r>
      <w:r>
        <w:rPr>
          <w:rFonts w:hint="default" w:ascii="Times New Roman" w:hAnsi="Times New Roman" w:eastAsia="宋体" w:cs="Times New Roman"/>
          <w:b/>
          <w:bCs/>
          <w:color w:val="auto"/>
          <w:lang w:val="en-US" w:eastAsia="zh-CN"/>
        </w:rPr>
        <w:t>. 行政法规</w:t>
      </w:r>
    </w:p>
    <w:p w14:paraId="17BF533D">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《劳动保障监察条例》</w:t>
      </w:r>
      <w:r>
        <w:rPr>
          <w:rFonts w:hint="eastAsia" w:cs="Times New Roman"/>
          <w:color w:val="auto"/>
          <w:lang w:val="en-US" w:eastAsia="zh-CN"/>
        </w:rPr>
        <w:t>（</w:t>
      </w:r>
      <w:r>
        <w:rPr>
          <w:rFonts w:hint="default" w:ascii="Times New Roman" w:hAnsi="Times New Roman" w:eastAsia="宋体" w:cs="Times New Roman"/>
          <w:color w:val="auto"/>
          <w:lang w:val="en-US" w:eastAsia="zh-CN"/>
        </w:rPr>
        <w:t>国务院令（200</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lang w:val="en-US" w:eastAsia="zh-CN"/>
        </w:rPr>
        <w:t>）第</w:t>
      </w:r>
      <w:r>
        <w:rPr>
          <w:rFonts w:hint="eastAsia" w:ascii="Times New Roman" w:hAnsi="Times New Roman" w:eastAsia="宋体" w:cs="Times New Roman"/>
          <w:color w:val="auto"/>
          <w:lang w:val="en-US" w:eastAsia="zh-CN"/>
        </w:rPr>
        <w:t>423</w:t>
      </w:r>
      <w:r>
        <w:rPr>
          <w:rFonts w:hint="default" w:ascii="Times New Roman" w:hAnsi="Times New Roman" w:eastAsia="宋体" w:cs="Times New Roman"/>
          <w:color w:val="auto"/>
          <w:lang w:val="en-US" w:eastAsia="zh-CN"/>
        </w:rPr>
        <w:t>号，</w:t>
      </w:r>
      <w:r>
        <w:rPr>
          <w:rFonts w:hint="eastAsia" w:ascii="Times New Roman" w:hAnsi="Times New Roman" w:eastAsia="宋体" w:cs="Times New Roman"/>
          <w:color w:val="auto"/>
          <w:lang w:val="en-US" w:eastAsia="zh-CN"/>
        </w:rPr>
        <w:t>自2004年12月1日起施行</w:t>
      </w:r>
      <w:r>
        <w:rPr>
          <w:rFonts w:hint="eastAsia" w:cs="Times New Roman"/>
          <w:color w:val="auto"/>
          <w:lang w:val="en-US" w:eastAsia="zh-CN"/>
        </w:rPr>
        <w:t>）</w:t>
      </w:r>
    </w:p>
    <w:p w14:paraId="14541278">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《工伤保险条例（2010年修订）》（国务院令（200</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zh-CN"/>
        </w:rPr>
        <w:t>）第375号，自2004年1月1日起施行</w:t>
      </w:r>
      <w:r>
        <w:rPr>
          <w:rFonts w:hint="eastAsia" w:ascii="Times New Roman" w:hAnsi="Times New Roman" w:eastAsia="宋体" w:cs="Times New Roman"/>
          <w:color w:val="auto"/>
          <w:lang w:val="en-US" w:eastAsia="zh-CN"/>
        </w:rPr>
        <w:t>，2010年12月20日修订</w:t>
      </w:r>
      <w:r>
        <w:rPr>
          <w:rFonts w:hint="default" w:ascii="Times New Roman" w:hAnsi="Times New Roman" w:eastAsia="宋体" w:cs="Times New Roman"/>
          <w:color w:val="auto"/>
          <w:lang w:val="en-US" w:eastAsia="zh-CN"/>
        </w:rPr>
        <w:t>）</w:t>
      </w:r>
    </w:p>
    <w:p w14:paraId="3D9A2F65">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《建设工程安全生产管理条例》（国务院令（200</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zh-CN"/>
        </w:rPr>
        <w:t>）第393号，自2004年2月1日起施行）</w:t>
      </w:r>
    </w:p>
    <w:p w14:paraId="67FAAAE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《公路安全保护条例》（国务院令（2011）第593号，自2011年7月1日起施行）</w:t>
      </w:r>
    </w:p>
    <w:p w14:paraId="37FBEDC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《生产安全事故报告和调查处理条例》（国务院令（200</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lang w:val="en-US" w:eastAsia="zh-CN"/>
        </w:rPr>
        <w:t>）第493号，自2007年6月1日起施行）</w:t>
      </w:r>
    </w:p>
    <w:p w14:paraId="3F20E45D">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《生产安全事故应急条例》（国务院令（20</w:t>
      </w:r>
      <w:r>
        <w:rPr>
          <w:rFonts w:hint="eastAsia" w:ascii="Times New Roman" w:hAnsi="Times New Roman" w:eastAsia="宋体" w:cs="Times New Roman"/>
          <w:color w:val="auto"/>
          <w:lang w:val="en-US" w:eastAsia="zh-CN"/>
        </w:rPr>
        <w:t>19</w:t>
      </w:r>
      <w:r>
        <w:rPr>
          <w:rFonts w:hint="default" w:ascii="Times New Roman" w:hAnsi="Times New Roman" w:eastAsia="宋体" w:cs="Times New Roman"/>
          <w:color w:val="auto"/>
          <w:lang w:val="en-US" w:eastAsia="zh-CN"/>
        </w:rPr>
        <w:t>）第708号，自2019年4月1日起施行）</w:t>
      </w:r>
    </w:p>
    <w:p w14:paraId="5E4334B4">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3</w:t>
      </w:r>
      <w:r>
        <w:rPr>
          <w:rFonts w:hint="default" w:ascii="Times New Roman" w:hAnsi="Times New Roman" w:eastAsia="宋体" w:cs="Times New Roman"/>
          <w:b/>
          <w:bCs/>
          <w:color w:val="auto"/>
          <w:lang w:val="en-US" w:eastAsia="zh-CN"/>
        </w:rPr>
        <w:t xml:space="preserve">. </w:t>
      </w:r>
      <w:r>
        <w:rPr>
          <w:rFonts w:hint="eastAsia" w:ascii="Times New Roman" w:hAnsi="Times New Roman" w:eastAsia="宋体" w:cs="Times New Roman"/>
          <w:b/>
          <w:bCs/>
          <w:color w:val="auto"/>
          <w:lang w:val="en-US" w:eastAsia="zh-CN"/>
        </w:rPr>
        <w:t>地方性法规</w:t>
      </w:r>
    </w:p>
    <w:p w14:paraId="2553962E">
      <w:pPr>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消防条例》（江西省第八届人民代表大会常务委员会第十九次会议通过，自1995年12月20日起施行，2010年9月17日修订；1997年4月18日、1999年6月30日、2001年8月24日、2011年12月1日、2018年7月27日、2020年11月25日修正）</w:t>
      </w:r>
    </w:p>
    <w:p w14:paraId="768E5ACF">
      <w:pPr>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《江西省安全生产条例》（江西省第十届人民代表大会常务委员会第二十八次会议通过，自2007年5月1日起施行，2017年7月26日修订，2019年9月28日修正，2023年7月26日修订）</w:t>
      </w:r>
    </w:p>
    <w:p w14:paraId="1CB503F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4</w:t>
      </w:r>
      <w:r>
        <w:rPr>
          <w:rFonts w:hint="default" w:ascii="Times New Roman" w:hAnsi="Times New Roman" w:eastAsia="宋体" w:cs="Times New Roman"/>
          <w:b/>
          <w:bCs/>
          <w:color w:val="auto"/>
          <w:lang w:val="en-US" w:eastAsia="zh-CN"/>
        </w:rPr>
        <w:t xml:space="preserve">. </w:t>
      </w:r>
      <w:r>
        <w:rPr>
          <w:rFonts w:hint="eastAsia" w:ascii="Times New Roman" w:hAnsi="Times New Roman" w:eastAsia="宋体" w:cs="Times New Roman"/>
          <w:b/>
          <w:bCs/>
          <w:color w:val="auto"/>
          <w:lang w:val="en-US" w:eastAsia="zh-CN"/>
        </w:rPr>
        <w:t>部门规章</w:t>
      </w:r>
      <w:r>
        <w:rPr>
          <w:rFonts w:hint="eastAsia" w:cs="Times New Roman"/>
          <w:b/>
          <w:bCs/>
          <w:color w:val="auto"/>
          <w:lang w:val="en-US" w:eastAsia="zh-CN"/>
        </w:rPr>
        <w:t>、规范性文件</w:t>
      </w:r>
    </w:p>
    <w:p w14:paraId="01EE470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《生产经营单位安全培训规定》</w:t>
      </w:r>
      <w:r>
        <w:rPr>
          <w:rFonts w:hint="eastAsia" w:cs="Times New Roman"/>
          <w:color w:val="auto"/>
          <w:lang w:val="en-US" w:eastAsia="zh-CN"/>
        </w:rPr>
        <w:t>（</w:t>
      </w:r>
      <w:r>
        <w:rPr>
          <w:rFonts w:hint="default" w:ascii="Times New Roman" w:hAnsi="Times New Roman" w:eastAsia="宋体" w:cs="Times New Roman"/>
          <w:color w:val="auto"/>
          <w:lang w:val="en-US" w:eastAsia="zh-CN"/>
        </w:rPr>
        <w:t>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2005</w:t>
      </w:r>
      <w:r>
        <w:rPr>
          <w:rFonts w:hint="eastAsia" w:cs="Times New Roman"/>
          <w:color w:val="auto"/>
          <w:lang w:val="en-US" w:eastAsia="zh-CN"/>
        </w:rPr>
        <w:t>）</w:t>
      </w:r>
      <w:r>
        <w:rPr>
          <w:rFonts w:hint="default" w:ascii="Times New Roman" w:hAnsi="Times New Roman" w:eastAsia="宋体" w:cs="Times New Roman"/>
          <w:color w:val="auto"/>
          <w:lang w:val="en-US" w:eastAsia="zh-CN"/>
        </w:rPr>
        <w:t>第3号</w:t>
      </w:r>
      <w:r>
        <w:rPr>
          <w:rFonts w:hint="eastAsia" w:cs="Times New Roman"/>
          <w:color w:val="auto"/>
          <w:lang w:val="en-US" w:eastAsia="zh-CN"/>
        </w:rPr>
        <w:t>，自2006年3月1日起施行，2013年8月19日、</w:t>
      </w:r>
      <w:r>
        <w:rPr>
          <w:rFonts w:hint="default" w:ascii="Times New Roman" w:hAnsi="Times New Roman" w:eastAsia="宋体" w:cs="Times New Roman"/>
          <w:color w:val="auto"/>
          <w:lang w:val="en-US" w:eastAsia="zh-CN"/>
        </w:rPr>
        <w:t>2015年2月26日修正</w:t>
      </w:r>
      <w:r>
        <w:rPr>
          <w:rFonts w:hint="eastAsia" w:cs="Times New Roman"/>
          <w:color w:val="auto"/>
          <w:lang w:val="en-US" w:eastAsia="zh-CN"/>
        </w:rPr>
        <w:t>）</w:t>
      </w:r>
    </w:p>
    <w:p w14:paraId="3BD5850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《安全生产事故隐患排查治理暂行规定》</w:t>
      </w:r>
      <w:r>
        <w:rPr>
          <w:rFonts w:hint="eastAsia" w:cs="Times New Roman"/>
          <w:color w:val="auto"/>
          <w:lang w:val="en-US" w:eastAsia="zh-CN"/>
        </w:rPr>
        <w:t>（</w:t>
      </w:r>
      <w:r>
        <w:rPr>
          <w:rFonts w:hint="default" w:ascii="Times New Roman" w:hAnsi="Times New Roman" w:eastAsia="宋体" w:cs="Times New Roman"/>
          <w:color w:val="auto"/>
          <w:lang w:val="en-US" w:eastAsia="zh-CN"/>
        </w:rPr>
        <w:t>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2007</w:t>
      </w:r>
      <w:r>
        <w:rPr>
          <w:rFonts w:hint="eastAsia" w:cs="Times New Roman"/>
          <w:color w:val="auto"/>
          <w:lang w:val="en-US" w:eastAsia="zh-CN"/>
        </w:rPr>
        <w:t>）</w:t>
      </w:r>
      <w:r>
        <w:rPr>
          <w:rFonts w:hint="default" w:ascii="Times New Roman" w:hAnsi="Times New Roman" w:eastAsia="宋体" w:cs="Times New Roman"/>
          <w:color w:val="auto"/>
          <w:lang w:val="en-US" w:eastAsia="zh-CN"/>
        </w:rPr>
        <w:t>第16号</w:t>
      </w:r>
      <w:r>
        <w:rPr>
          <w:rFonts w:hint="eastAsia" w:cs="Times New Roman"/>
          <w:color w:val="auto"/>
          <w:lang w:val="en-US" w:eastAsia="zh-CN"/>
        </w:rPr>
        <w:t>，自</w:t>
      </w:r>
      <w:r>
        <w:rPr>
          <w:rFonts w:hint="default" w:ascii="Times New Roman" w:hAnsi="Times New Roman" w:eastAsia="宋体" w:cs="Times New Roman"/>
          <w:color w:val="auto"/>
          <w:lang w:val="en-US" w:eastAsia="zh-CN"/>
        </w:rPr>
        <w:t>2008年2月1日实施</w:t>
      </w:r>
      <w:r>
        <w:rPr>
          <w:rFonts w:hint="eastAsia" w:cs="Times New Roman"/>
          <w:color w:val="auto"/>
          <w:lang w:val="en-US" w:eastAsia="zh-CN"/>
        </w:rPr>
        <w:t>）</w:t>
      </w:r>
    </w:p>
    <w:p w14:paraId="78A325D5">
      <w:pPr>
        <w:bidi w:val="0"/>
        <w:rPr>
          <w:rFonts w:hint="default" w:cs="Times New Roman"/>
          <w:color w:val="auto"/>
          <w:lang w:val="en-US" w:eastAsia="zh-CN"/>
        </w:rPr>
      </w:pPr>
      <w:r>
        <w:rPr>
          <w:rFonts w:hint="default" w:ascii="Times New Roman" w:hAnsi="Times New Roman" w:eastAsia="宋体" w:cs="Times New Roman"/>
          <w:color w:val="auto"/>
        </w:rPr>
        <w:t>《生产安全事故信息报告和处置办法》（总局令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2009</w:t>
      </w:r>
      <w:r>
        <w:rPr>
          <w:rFonts w:hint="eastAsia" w:cs="Times New Roman"/>
          <w:color w:val="auto"/>
          <w:lang w:val="en-US" w:eastAsia="zh-CN"/>
        </w:rPr>
        <w:t>）</w:t>
      </w:r>
      <w:r>
        <w:rPr>
          <w:rFonts w:hint="default" w:ascii="Times New Roman" w:hAnsi="Times New Roman" w:eastAsia="宋体" w:cs="Times New Roman"/>
          <w:color w:val="auto"/>
        </w:rPr>
        <w:t>第21号</w:t>
      </w:r>
      <w:r>
        <w:rPr>
          <w:rFonts w:hint="eastAsia" w:ascii="Times New Roman" w:hAnsi="Times New Roman" w:eastAsia="宋体" w:cs="Times New Roman"/>
          <w:color w:val="auto"/>
          <w:lang w:eastAsia="zh-CN"/>
        </w:rPr>
        <w:t>，</w:t>
      </w:r>
      <w:r>
        <w:rPr>
          <w:rFonts w:hint="eastAsia" w:cs="Times New Roman"/>
          <w:color w:val="auto"/>
          <w:lang w:val="en-US" w:eastAsia="zh-CN"/>
        </w:rPr>
        <w:t>自2009年7月1日起施行</w:t>
      </w:r>
      <w:r>
        <w:rPr>
          <w:rFonts w:hint="default" w:ascii="Times New Roman" w:hAnsi="Times New Roman" w:eastAsia="宋体" w:cs="Times New Roman"/>
          <w:color w:val="auto"/>
        </w:rPr>
        <w:t>）</w:t>
      </w:r>
    </w:p>
    <w:p w14:paraId="4F49B604">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auto"/>
          <w:lang w:val="en-US" w:eastAsia="zh-CN"/>
        </w:rPr>
      </w:pPr>
      <w:r>
        <w:rPr>
          <w:rFonts w:hint="default" w:ascii="Times New Roman" w:hAnsi="Times New Roman" w:eastAsia="宋体" w:cs="Times New Roman"/>
          <w:color w:val="auto"/>
          <w:lang w:val="en-US" w:eastAsia="zh-CN"/>
        </w:rPr>
        <w:t>《安全生产培训管理办法》</w:t>
      </w:r>
      <w:r>
        <w:rPr>
          <w:rFonts w:hint="eastAsia" w:cs="Times New Roman"/>
          <w:color w:val="auto"/>
          <w:lang w:val="en-US" w:eastAsia="zh-CN"/>
        </w:rPr>
        <w:t>（</w:t>
      </w:r>
      <w:r>
        <w:rPr>
          <w:rFonts w:hint="default" w:ascii="Times New Roman" w:hAnsi="Times New Roman" w:eastAsia="宋体" w:cs="Times New Roman"/>
          <w:color w:val="auto"/>
          <w:lang w:val="en-US" w:eastAsia="zh-CN"/>
        </w:rPr>
        <w:t>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2012</w:t>
      </w:r>
      <w:r>
        <w:rPr>
          <w:rFonts w:hint="eastAsia" w:cs="Times New Roman"/>
          <w:color w:val="auto"/>
          <w:lang w:val="en-US" w:eastAsia="zh-CN"/>
        </w:rPr>
        <w:t>）</w:t>
      </w:r>
      <w:r>
        <w:rPr>
          <w:rFonts w:hint="default" w:ascii="Times New Roman" w:hAnsi="Times New Roman" w:eastAsia="宋体" w:cs="Times New Roman"/>
          <w:color w:val="auto"/>
          <w:lang w:val="en-US" w:eastAsia="zh-CN"/>
        </w:rPr>
        <w:t>第44号</w:t>
      </w:r>
      <w:r>
        <w:rPr>
          <w:rFonts w:hint="eastAsia" w:cs="Times New Roman"/>
          <w:color w:val="auto"/>
          <w:lang w:val="en-US" w:eastAsia="zh-CN"/>
        </w:rPr>
        <w:t>，自2012年3月1日起施行，2013年8月29日、</w:t>
      </w:r>
      <w:r>
        <w:rPr>
          <w:rFonts w:hint="default" w:ascii="Times New Roman" w:hAnsi="Times New Roman" w:eastAsia="宋体" w:cs="Times New Roman"/>
          <w:color w:val="auto"/>
          <w:lang w:val="en-US" w:eastAsia="zh-CN"/>
        </w:rPr>
        <w:t>2015年5月29日修正</w:t>
      </w:r>
      <w:r>
        <w:rPr>
          <w:rFonts w:hint="eastAsia" w:cs="Times New Roman"/>
          <w:color w:val="auto"/>
          <w:lang w:val="en-US" w:eastAsia="zh-CN"/>
        </w:rPr>
        <w:t>）</w:t>
      </w:r>
    </w:p>
    <w:p w14:paraId="0E2E3C62">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auto"/>
          <w:lang w:val="en-US" w:eastAsia="zh-CN"/>
        </w:rPr>
      </w:pPr>
      <w:r>
        <w:rPr>
          <w:rFonts w:hint="default" w:ascii="Times New Roman" w:hAnsi="Times New Roman" w:eastAsia="宋体" w:cs="Times New Roman"/>
          <w:color w:val="auto"/>
          <w:lang w:val="en-US" w:eastAsia="zh-CN"/>
        </w:rPr>
        <w:t>《国家安全监管总局关于修改</w:t>
      </w:r>
      <w:r>
        <w:rPr>
          <w:rFonts w:hint="eastAsia" w:ascii="宋体" w:hAnsi="宋体" w:eastAsia="宋体" w:cs="宋体"/>
          <w:color w:val="auto"/>
          <w:lang w:val="en-US" w:eastAsia="zh-CN"/>
        </w:rPr>
        <w:t>&lt;</w:t>
      </w:r>
      <w:r>
        <w:rPr>
          <w:rFonts w:hint="default" w:ascii="Times New Roman" w:hAnsi="Times New Roman" w:eastAsia="宋体" w:cs="Times New Roman"/>
          <w:color w:val="auto"/>
          <w:lang w:val="en-US" w:eastAsia="zh-CN"/>
        </w:rPr>
        <w:t>生产经营单位安全培训规定</w:t>
      </w:r>
      <w:r>
        <w:rPr>
          <w:rFonts w:hint="eastAsia" w:ascii="宋体" w:hAnsi="宋体" w:eastAsia="宋体" w:cs="宋体"/>
          <w:color w:val="auto"/>
          <w:lang w:val="en-US" w:eastAsia="zh-CN"/>
        </w:rPr>
        <w:t>&gt;</w:t>
      </w:r>
      <w:r>
        <w:rPr>
          <w:rFonts w:hint="default" w:ascii="Times New Roman" w:hAnsi="Times New Roman" w:eastAsia="宋体" w:cs="Times New Roman"/>
          <w:color w:val="auto"/>
          <w:lang w:val="en-US" w:eastAsia="zh-CN"/>
        </w:rPr>
        <w:t>等11件规章的决定》</w:t>
      </w:r>
      <w:r>
        <w:rPr>
          <w:rFonts w:hint="eastAsia" w:cs="Times New Roman"/>
          <w:color w:val="auto"/>
          <w:lang w:val="en-US" w:eastAsia="zh-CN"/>
        </w:rPr>
        <w:t>（</w:t>
      </w:r>
      <w:r>
        <w:rPr>
          <w:rFonts w:hint="default" w:ascii="Times New Roman" w:hAnsi="Times New Roman" w:eastAsia="宋体" w:cs="Times New Roman"/>
          <w:color w:val="auto"/>
          <w:lang w:val="en-US" w:eastAsia="zh-CN"/>
        </w:rPr>
        <w:t>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2013</w:t>
      </w:r>
      <w:r>
        <w:rPr>
          <w:rFonts w:hint="eastAsia" w:cs="Times New Roman"/>
          <w:color w:val="auto"/>
          <w:lang w:val="en-US" w:eastAsia="zh-CN"/>
        </w:rPr>
        <w:t>）</w:t>
      </w:r>
      <w:r>
        <w:rPr>
          <w:rFonts w:hint="default" w:ascii="Times New Roman" w:hAnsi="Times New Roman" w:eastAsia="宋体" w:cs="Times New Roman"/>
          <w:color w:val="auto"/>
          <w:lang w:val="en-US" w:eastAsia="zh-CN"/>
        </w:rPr>
        <w:t>第63号</w:t>
      </w:r>
      <w:r>
        <w:rPr>
          <w:rFonts w:hint="eastAsia" w:cs="Times New Roman"/>
          <w:color w:val="auto"/>
          <w:lang w:val="en-US" w:eastAsia="zh-CN"/>
        </w:rPr>
        <w:t>，自</w:t>
      </w:r>
      <w:r>
        <w:rPr>
          <w:rFonts w:hint="default" w:ascii="Times New Roman" w:hAnsi="Times New Roman" w:eastAsia="宋体" w:cs="Times New Roman"/>
          <w:color w:val="auto"/>
          <w:lang w:val="en-US" w:eastAsia="zh-CN"/>
        </w:rPr>
        <w:t>2013年8月29日起施行</w:t>
      </w:r>
      <w:r>
        <w:rPr>
          <w:rFonts w:hint="eastAsia" w:cs="Times New Roman"/>
          <w:color w:val="auto"/>
          <w:lang w:val="en-US" w:eastAsia="zh-CN"/>
        </w:rPr>
        <w:t>）</w:t>
      </w:r>
    </w:p>
    <w:p w14:paraId="7D394FE6">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auto"/>
          <w:lang w:val="en-US" w:eastAsia="zh-CN"/>
        </w:rPr>
      </w:pPr>
      <w:r>
        <w:rPr>
          <w:rFonts w:hint="default" w:ascii="Times New Roman" w:hAnsi="Times New Roman" w:eastAsia="宋体" w:cs="Times New Roman"/>
          <w:color w:val="auto"/>
          <w:lang w:val="en-US" w:eastAsia="zh-CN"/>
        </w:rPr>
        <w:t>《国家安全监管总局关于废止和修改劳动防护用品和安全培训等领域十部规章的决定》</w:t>
      </w:r>
      <w:r>
        <w:rPr>
          <w:rFonts w:hint="eastAsia" w:cs="Times New Roman"/>
          <w:color w:val="auto"/>
          <w:lang w:val="en-US" w:eastAsia="zh-CN"/>
        </w:rPr>
        <w:t>（</w:t>
      </w:r>
      <w:r>
        <w:rPr>
          <w:rFonts w:hint="default" w:ascii="Times New Roman" w:hAnsi="Times New Roman" w:eastAsia="宋体" w:cs="Times New Roman"/>
          <w:color w:val="auto"/>
          <w:lang w:val="en-US" w:eastAsia="zh-CN"/>
        </w:rPr>
        <w:t>总局令</w:t>
      </w:r>
      <w:r>
        <w:rPr>
          <w:rFonts w:hint="eastAsia" w:cs="Times New Roman"/>
          <w:color w:val="auto"/>
          <w:lang w:val="en-US" w:eastAsia="zh-CN"/>
        </w:rPr>
        <w:t>（</w:t>
      </w:r>
      <w:r>
        <w:rPr>
          <w:rFonts w:hint="default" w:ascii="Times New Roman" w:hAnsi="Times New Roman" w:eastAsia="宋体" w:cs="Times New Roman"/>
          <w:color w:val="auto"/>
          <w:lang w:val="en-US" w:eastAsia="zh-CN"/>
        </w:rPr>
        <w:t>2015</w:t>
      </w:r>
      <w:r>
        <w:rPr>
          <w:rFonts w:hint="eastAsia" w:cs="Times New Roman"/>
          <w:color w:val="auto"/>
          <w:lang w:val="en-US" w:eastAsia="zh-CN"/>
        </w:rPr>
        <w:t>）</w:t>
      </w:r>
      <w:r>
        <w:rPr>
          <w:rFonts w:hint="default" w:ascii="Times New Roman" w:hAnsi="Times New Roman" w:eastAsia="宋体" w:cs="Times New Roman"/>
          <w:color w:val="auto"/>
          <w:lang w:val="en-US" w:eastAsia="zh-CN"/>
        </w:rPr>
        <w:t>第80号</w:t>
      </w:r>
      <w:r>
        <w:rPr>
          <w:rFonts w:hint="eastAsia" w:cs="Times New Roman"/>
          <w:color w:val="auto"/>
          <w:lang w:val="en-US" w:eastAsia="zh-CN"/>
        </w:rPr>
        <w:t>，</w:t>
      </w:r>
      <w:r>
        <w:rPr>
          <w:rFonts w:hint="default" w:ascii="Times New Roman" w:hAnsi="Times New Roman" w:eastAsia="宋体" w:cs="Times New Roman"/>
          <w:color w:val="auto"/>
          <w:lang w:val="en-US" w:eastAsia="zh-CN"/>
        </w:rPr>
        <w:t>自2015年7月1日起施行</w:t>
      </w:r>
      <w:r>
        <w:rPr>
          <w:rFonts w:hint="eastAsia" w:cs="Times New Roman"/>
          <w:color w:val="auto"/>
          <w:lang w:val="en-US" w:eastAsia="zh-CN"/>
        </w:rPr>
        <w:t>）</w:t>
      </w:r>
    </w:p>
    <w:p w14:paraId="65005CE8">
      <w:pPr>
        <w:keepNext w:val="0"/>
        <w:keepLines w:val="0"/>
        <w:pageBreakBefore w:val="0"/>
        <w:widowControl w:val="0"/>
        <w:kinsoku/>
        <w:wordWrap/>
        <w:overflowPunct/>
        <w:topLinePunct w:val="0"/>
        <w:autoSpaceDE/>
        <w:autoSpaceDN/>
        <w:bidi w:val="0"/>
        <w:adjustRightInd/>
        <w:snapToGrid/>
        <w:textAlignment w:val="auto"/>
        <w:rPr>
          <w:rFonts w:hint="eastAsia" w:cs="Times New Roman"/>
          <w:color w:val="auto"/>
          <w:lang w:val="en-US" w:eastAsia="zh-CN"/>
        </w:rPr>
      </w:pPr>
      <w:r>
        <w:rPr>
          <w:rFonts w:hint="eastAsia" w:cs="Times New Roman"/>
          <w:color w:val="auto"/>
          <w:lang w:val="en-US" w:eastAsia="zh-CN"/>
        </w:rPr>
        <w:t>《关于开展公路桥梁和隧道工程施工安全风险评估试行工作的通知》（交质监发〔2011〕217号，</w:t>
      </w:r>
      <w:r>
        <w:rPr>
          <w:rFonts w:hint="default" w:ascii="Times New Roman" w:hAnsi="Times New Roman" w:eastAsia="宋体" w:cs="Times New Roman"/>
          <w:color w:val="auto"/>
          <w:lang w:val="en-US" w:eastAsia="zh-CN"/>
        </w:rPr>
        <w:t>自</w:t>
      </w:r>
      <w:r>
        <w:rPr>
          <w:rFonts w:hint="eastAsia" w:cs="Times New Roman"/>
          <w:color w:val="auto"/>
          <w:lang w:val="en-US" w:eastAsia="zh-CN"/>
        </w:rPr>
        <w:t>2011年5月5日</w:t>
      </w:r>
      <w:r>
        <w:rPr>
          <w:rFonts w:hint="default" w:ascii="Times New Roman" w:hAnsi="Times New Roman" w:eastAsia="宋体" w:cs="Times New Roman"/>
          <w:color w:val="auto"/>
          <w:lang w:val="en-US" w:eastAsia="zh-CN"/>
        </w:rPr>
        <w:t>起施行</w:t>
      </w:r>
      <w:r>
        <w:rPr>
          <w:rFonts w:hint="eastAsia" w:cs="Times New Roman"/>
          <w:color w:val="auto"/>
          <w:lang w:val="en-US" w:eastAsia="zh-CN"/>
        </w:rPr>
        <w:t>）</w:t>
      </w:r>
    </w:p>
    <w:p w14:paraId="6D0EB5F7">
      <w:pPr>
        <w:pStyle w:val="4"/>
        <w:bidi w:val="0"/>
        <w:rPr>
          <w:rFonts w:hint="eastAsia"/>
          <w:color w:val="auto"/>
          <w:lang w:val="en-US" w:eastAsia="zh-CN"/>
        </w:rPr>
      </w:pPr>
      <w:bookmarkStart w:id="36" w:name="_Toc25951"/>
      <w:bookmarkStart w:id="37" w:name="_Toc28473"/>
      <w:bookmarkStart w:id="38" w:name="_Toc4454"/>
      <w:bookmarkStart w:id="39" w:name="_Toc6263"/>
      <w:bookmarkStart w:id="40" w:name="_Toc15168"/>
      <w:bookmarkStart w:id="41" w:name="_Toc27725"/>
      <w:r>
        <w:rPr>
          <w:rFonts w:hint="eastAsia"/>
          <w:color w:val="auto"/>
          <w:lang w:val="en-US" w:eastAsia="zh-CN"/>
        </w:rPr>
        <w:t>1.3.2 标准规范</w:t>
      </w:r>
      <w:bookmarkEnd w:id="36"/>
      <w:bookmarkEnd w:id="37"/>
      <w:bookmarkEnd w:id="38"/>
      <w:bookmarkEnd w:id="39"/>
      <w:bookmarkEnd w:id="40"/>
    </w:p>
    <w:p w14:paraId="4A110917">
      <w:pPr>
        <w:bidi w:val="0"/>
        <w:rPr>
          <w:rFonts w:hint="eastAsia"/>
          <w:b w:val="0"/>
          <w:bCs w:val="0"/>
          <w:color w:val="auto"/>
          <w:lang w:val="en-US" w:eastAsia="zh-CN"/>
        </w:rPr>
      </w:pPr>
      <w:r>
        <w:rPr>
          <w:rFonts w:hint="eastAsia"/>
          <w:b w:val="0"/>
          <w:bCs w:val="0"/>
          <w:color w:val="auto"/>
          <w:lang w:val="en-US" w:eastAsia="zh-CN"/>
        </w:rPr>
        <w:t>《消防安全标志设置要求》                         GB15630-1995</w:t>
      </w:r>
    </w:p>
    <w:p w14:paraId="1EB912D7">
      <w:pPr>
        <w:bidi w:val="0"/>
        <w:rPr>
          <w:rFonts w:hint="eastAsia"/>
          <w:b w:val="0"/>
          <w:bCs w:val="0"/>
          <w:color w:val="auto"/>
          <w:lang w:val="en-US" w:eastAsia="zh-CN"/>
        </w:rPr>
      </w:pPr>
      <w:r>
        <w:rPr>
          <w:rFonts w:hint="eastAsia"/>
          <w:b w:val="0"/>
          <w:bCs w:val="0"/>
          <w:color w:val="auto"/>
          <w:lang w:val="en-US" w:eastAsia="zh-CN"/>
        </w:rPr>
        <w:t>《企业职工伤亡事故分类》                          GB6441-1986</w:t>
      </w:r>
    </w:p>
    <w:p w14:paraId="5DD144CA">
      <w:pPr>
        <w:bidi w:val="0"/>
        <w:rPr>
          <w:rFonts w:hint="eastAsia"/>
          <w:b w:val="0"/>
          <w:bCs w:val="0"/>
          <w:color w:val="auto"/>
          <w:lang w:val="en-US" w:eastAsia="zh-CN"/>
        </w:rPr>
      </w:pPr>
      <w:r>
        <w:rPr>
          <w:rFonts w:hint="eastAsia"/>
          <w:b w:val="0"/>
          <w:bCs w:val="0"/>
          <w:color w:val="auto"/>
          <w:lang w:val="en-US" w:eastAsia="zh-CN"/>
        </w:rPr>
        <w:t>《安全标志及其使用导则》                          GB2894-2008</w:t>
      </w:r>
    </w:p>
    <w:p w14:paraId="40341CA7">
      <w:pPr>
        <w:bidi w:val="0"/>
        <w:rPr>
          <w:rFonts w:hint="eastAsia"/>
          <w:b w:val="0"/>
          <w:bCs w:val="0"/>
          <w:color w:val="auto"/>
          <w:lang w:val="en-US" w:eastAsia="zh-CN"/>
        </w:rPr>
      </w:pPr>
      <w:r>
        <w:rPr>
          <w:rFonts w:hint="eastAsia"/>
          <w:b w:val="0"/>
          <w:bCs w:val="0"/>
          <w:color w:val="auto"/>
          <w:lang w:val="en-US" w:eastAsia="zh-CN"/>
        </w:rPr>
        <w:t>《道路交通标志和标线 第1部分：总则》             GB5768.1-2009</w:t>
      </w:r>
    </w:p>
    <w:p w14:paraId="7743527F">
      <w:pPr>
        <w:bidi w:val="0"/>
        <w:rPr>
          <w:rFonts w:hint="eastAsia"/>
          <w:b w:val="0"/>
          <w:bCs w:val="0"/>
          <w:color w:val="auto"/>
          <w:lang w:val="en-US" w:eastAsia="zh-CN"/>
        </w:rPr>
      </w:pPr>
      <w:r>
        <w:rPr>
          <w:rFonts w:hint="eastAsia"/>
          <w:b w:val="0"/>
          <w:bCs w:val="0"/>
          <w:color w:val="auto"/>
          <w:lang w:val="en-US" w:eastAsia="zh-CN"/>
        </w:rPr>
        <w:t>《消防安全标志 第1部分：标志》                  GB13495.1-2015</w:t>
      </w:r>
    </w:p>
    <w:p w14:paraId="450F3CF5">
      <w:pPr>
        <w:bidi w:val="0"/>
        <w:rPr>
          <w:rFonts w:hint="eastAsia"/>
          <w:b w:val="0"/>
          <w:bCs w:val="0"/>
          <w:color w:val="auto"/>
          <w:lang w:val="en-US" w:eastAsia="zh-CN"/>
        </w:rPr>
      </w:pPr>
      <w:r>
        <w:rPr>
          <w:rFonts w:hint="eastAsia"/>
          <w:b w:val="0"/>
          <w:bCs w:val="0"/>
          <w:color w:val="auto"/>
          <w:lang w:val="en-US" w:eastAsia="zh-CN"/>
        </w:rPr>
        <w:t>《道路交通标志和标线 第4部分：作业区》           GB5768.4-2017</w:t>
      </w:r>
    </w:p>
    <w:p w14:paraId="55BCD076">
      <w:pPr>
        <w:bidi w:val="0"/>
        <w:rPr>
          <w:rFonts w:hint="eastAsia"/>
          <w:b w:val="0"/>
          <w:bCs w:val="0"/>
          <w:color w:val="auto"/>
          <w:lang w:val="en-US" w:eastAsia="zh-CN"/>
        </w:rPr>
      </w:pPr>
      <w:r>
        <w:rPr>
          <w:rFonts w:hint="eastAsia"/>
          <w:b w:val="0"/>
          <w:bCs w:val="0"/>
          <w:color w:val="auto"/>
          <w:lang w:val="en-US" w:eastAsia="zh-CN"/>
        </w:rPr>
        <w:t>《道路交通标志和标线 第5部分:限制速度》         GB5768.5-2017</w:t>
      </w:r>
    </w:p>
    <w:p w14:paraId="0009FF49">
      <w:pP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《建筑设计防火规范</w:t>
      </w:r>
      <w:r>
        <w:rPr>
          <w:rFonts w:hint="eastAsia"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lang w:val="en-US" w:eastAsia="zh-CN"/>
        </w:rPr>
        <w:t>2018年版</w:t>
      </w:r>
      <w:r>
        <w:rPr>
          <w:rFonts w:hint="eastAsia"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lang w:val="en-US" w:eastAsia="zh-CN"/>
        </w:rPr>
        <w:t>》</w:t>
      </w:r>
      <w:r>
        <w:rPr>
          <w:rFonts w:hint="eastAsia" w:ascii="Times New Roman" w:hAnsi="Times New Roman" w:eastAsia="宋体" w:cs="Times New Roman"/>
          <w:b w:val="0"/>
          <w:bCs w:val="0"/>
          <w:color w:val="auto"/>
          <w:lang w:val="en-US" w:eastAsia="zh-CN"/>
        </w:rPr>
        <w:t xml:space="preserve">                   </w:t>
      </w:r>
      <w:r>
        <w:rPr>
          <w:rFonts w:hint="default" w:ascii="Times New Roman" w:hAnsi="Times New Roman" w:eastAsia="宋体" w:cs="Times New Roman"/>
          <w:b w:val="0"/>
          <w:bCs w:val="0"/>
          <w:color w:val="auto"/>
          <w:lang w:val="en-US" w:eastAsia="zh-CN"/>
        </w:rPr>
        <w:t>GB50016-2014</w:t>
      </w:r>
    </w:p>
    <w:p w14:paraId="17DE988F">
      <w:pPr>
        <w:bidi w:val="0"/>
        <w:rPr>
          <w:rFonts w:hint="eastAsia"/>
          <w:b w:val="0"/>
          <w:bCs w:val="0"/>
          <w:color w:val="auto"/>
          <w:lang w:val="en-US" w:eastAsia="zh-CN"/>
        </w:rPr>
      </w:pPr>
      <w:r>
        <w:rPr>
          <w:rFonts w:hint="eastAsia"/>
          <w:b w:val="0"/>
          <w:bCs w:val="0"/>
          <w:color w:val="auto"/>
          <w:lang w:val="en-US" w:eastAsia="zh-CN"/>
        </w:rPr>
        <w:t>《头部防护 安全帽》                               GB2811-2019</w:t>
      </w:r>
    </w:p>
    <w:p w14:paraId="2EE3C2C8">
      <w:pPr>
        <w:bidi w:val="0"/>
        <w:rPr>
          <w:rFonts w:hint="eastAsia"/>
          <w:b w:val="0"/>
          <w:bCs w:val="0"/>
          <w:color w:val="auto"/>
          <w:lang w:val="en-US" w:eastAsia="zh-CN"/>
        </w:rPr>
      </w:pPr>
      <w:r>
        <w:rPr>
          <w:rFonts w:hint="eastAsia"/>
          <w:b w:val="0"/>
          <w:bCs w:val="0"/>
          <w:color w:val="auto"/>
          <w:lang w:val="en-US" w:eastAsia="zh-CN"/>
        </w:rPr>
        <w:t>《个体防护装备配备规范 第1部分：总则》          GB39800.1-2020</w:t>
      </w:r>
    </w:p>
    <w:p w14:paraId="29C8E798">
      <w:pPr>
        <w:bidi w:val="0"/>
        <w:rPr>
          <w:rFonts w:hint="eastAsia"/>
          <w:b w:val="0"/>
          <w:bCs w:val="0"/>
          <w:color w:val="auto"/>
          <w:lang w:val="en-US" w:eastAsia="zh-CN"/>
        </w:rPr>
      </w:pPr>
      <w:r>
        <w:rPr>
          <w:rFonts w:hint="eastAsia"/>
          <w:b w:val="0"/>
          <w:bCs w:val="0"/>
          <w:color w:val="auto"/>
          <w:lang w:val="en-US" w:eastAsia="zh-CN"/>
        </w:rPr>
        <w:t>《道路交通标志和标线 第2部分：道路交通标志》     GB5768.2-2022</w:t>
      </w:r>
    </w:p>
    <w:p w14:paraId="08A613ED">
      <w:pPr>
        <w:bidi w:val="0"/>
        <w:rPr>
          <w:rFonts w:hint="eastAsia"/>
          <w:b w:val="0"/>
          <w:bCs w:val="0"/>
          <w:color w:val="auto"/>
          <w:lang w:val="en-US" w:eastAsia="zh-CN"/>
        </w:rPr>
      </w:pPr>
      <w:r>
        <w:rPr>
          <w:rFonts w:hint="eastAsia"/>
          <w:b w:val="0"/>
          <w:bCs w:val="0"/>
          <w:color w:val="auto"/>
          <w:lang w:val="en-US" w:eastAsia="zh-CN"/>
        </w:rPr>
        <w:t>《道路交通反光膜》                             GB/T18833-2012</w:t>
      </w:r>
    </w:p>
    <w:p w14:paraId="64E8C21E">
      <w:pPr>
        <w:bidi w:val="0"/>
        <w:rPr>
          <w:rFonts w:hint="eastAsia"/>
          <w:b w:val="0"/>
          <w:bCs w:val="0"/>
          <w:color w:val="auto"/>
          <w:lang w:val="en-US" w:eastAsia="zh-CN"/>
        </w:rPr>
      </w:pPr>
      <w:r>
        <w:rPr>
          <w:rFonts w:hint="eastAsia"/>
          <w:b w:val="0"/>
          <w:bCs w:val="0"/>
          <w:color w:val="auto"/>
          <w:lang w:val="en-US" w:eastAsia="zh-CN"/>
        </w:rPr>
        <w:t>《用电安全导则》                               GB/T13869-2017</w:t>
      </w:r>
    </w:p>
    <w:p w14:paraId="6419634F">
      <w:pPr>
        <w:bidi w:val="0"/>
        <w:rPr>
          <w:rFonts w:hint="eastAsia"/>
          <w:b w:val="0"/>
          <w:bCs w:val="0"/>
          <w:color w:val="auto"/>
          <w:lang w:val="en-US" w:eastAsia="zh-CN"/>
        </w:rPr>
      </w:pPr>
      <w:r>
        <w:rPr>
          <w:rFonts w:hint="eastAsia"/>
          <w:b w:val="0"/>
          <w:bCs w:val="0"/>
          <w:color w:val="auto"/>
          <w:lang w:val="en-US" w:eastAsia="zh-CN"/>
        </w:rPr>
        <w:t>《道路交通标志板及支撑件》                     GB/T23827-2021</w:t>
      </w:r>
    </w:p>
    <w:p w14:paraId="41B7466E">
      <w:pPr>
        <w:bidi w:val="0"/>
        <w:rPr>
          <w:rFonts w:hint="eastAsia"/>
          <w:b w:val="0"/>
          <w:bCs w:val="0"/>
          <w:color w:val="auto"/>
          <w:lang w:val="en-US" w:eastAsia="zh-CN"/>
        </w:rPr>
      </w:pPr>
      <w:r>
        <w:rPr>
          <w:rFonts w:hint="eastAsia"/>
          <w:b w:val="0"/>
          <w:bCs w:val="0"/>
          <w:color w:val="auto"/>
          <w:lang w:val="en-US" w:eastAsia="zh-CN"/>
        </w:rPr>
        <w:t>《道路作业人员安全标志服》                     GB/T25281-2021</w:t>
      </w:r>
    </w:p>
    <w:p w14:paraId="29325EFC">
      <w:pPr>
        <w:bidi w:val="0"/>
        <w:rPr>
          <w:rFonts w:hint="eastAsia"/>
          <w:color w:val="auto"/>
          <w:lang w:val="en-US" w:eastAsia="zh-CN"/>
        </w:rPr>
      </w:pPr>
      <w:r>
        <w:rPr>
          <w:rFonts w:hint="eastAsia"/>
          <w:color w:val="auto"/>
          <w:lang w:val="en-US" w:eastAsia="zh-CN"/>
        </w:rPr>
        <w:t>《公路交通标志和标线设置规范》                   JTG D82-2009</w:t>
      </w:r>
    </w:p>
    <w:p w14:paraId="247C9B54">
      <w:pPr>
        <w:bidi w:val="0"/>
        <w:rPr>
          <w:rFonts w:hint="eastAsia"/>
          <w:color w:val="auto"/>
          <w:lang w:val="en-US" w:eastAsia="zh-CN"/>
        </w:rPr>
      </w:pPr>
      <w:r>
        <w:rPr>
          <w:rFonts w:hint="eastAsia"/>
          <w:color w:val="auto"/>
          <w:lang w:val="en-US" w:eastAsia="zh-CN"/>
        </w:rPr>
        <w:t>《公路工程地质勘察规范》                         JTG C20-2011</w:t>
      </w:r>
    </w:p>
    <w:p w14:paraId="43976C1E">
      <w:pPr>
        <w:bidi w:val="0"/>
        <w:rPr>
          <w:rFonts w:hint="eastAsia"/>
          <w:b w:val="0"/>
          <w:bCs w:val="0"/>
          <w:color w:val="auto"/>
          <w:lang w:val="en-US" w:eastAsia="zh-CN"/>
        </w:rPr>
      </w:pPr>
      <w:r>
        <w:rPr>
          <w:rFonts w:hint="eastAsia"/>
          <w:b w:val="0"/>
          <w:bCs w:val="0"/>
          <w:color w:val="auto"/>
          <w:lang w:val="en-US" w:eastAsia="zh-CN"/>
        </w:rPr>
        <w:t>《公路工程技术标准》                             JTG B01-2014</w:t>
      </w:r>
    </w:p>
    <w:p w14:paraId="5ABC7C71">
      <w:pPr>
        <w:bidi w:val="0"/>
        <w:rPr>
          <w:rFonts w:hint="eastAsia"/>
          <w:b w:val="0"/>
          <w:bCs w:val="0"/>
          <w:color w:val="auto"/>
          <w:lang w:val="en-US" w:eastAsia="zh-CN"/>
        </w:rPr>
      </w:pPr>
      <w:r>
        <w:rPr>
          <w:rFonts w:hint="eastAsia"/>
          <w:b w:val="0"/>
          <w:bCs w:val="0"/>
          <w:color w:val="auto"/>
          <w:lang w:val="en-US" w:eastAsia="zh-CN"/>
        </w:rPr>
        <w:t>《公路养护安全作业规程》                         JTG H30-2015</w:t>
      </w:r>
    </w:p>
    <w:p w14:paraId="664434C1">
      <w:pPr>
        <w:bidi w:val="0"/>
        <w:rPr>
          <w:rFonts w:hint="eastAsia"/>
          <w:b w:val="0"/>
          <w:bCs w:val="0"/>
          <w:color w:val="auto"/>
          <w:lang w:val="en-US" w:eastAsia="zh-CN"/>
        </w:rPr>
      </w:pPr>
      <w:r>
        <w:rPr>
          <w:rFonts w:hint="eastAsia"/>
          <w:b w:val="0"/>
          <w:bCs w:val="0"/>
          <w:color w:val="auto"/>
          <w:lang w:val="en-US" w:eastAsia="zh-CN"/>
        </w:rPr>
        <w:t>《公路项目安全性评估规范》                       JTG B05-2015</w:t>
      </w:r>
    </w:p>
    <w:p w14:paraId="7230AC12">
      <w:pPr>
        <w:bidi w:val="0"/>
        <w:rPr>
          <w:rFonts w:hint="eastAsia"/>
          <w:b w:val="0"/>
          <w:bCs w:val="0"/>
          <w:color w:val="auto"/>
          <w:lang w:val="en-US" w:eastAsia="zh-CN"/>
        </w:rPr>
      </w:pPr>
      <w:r>
        <w:rPr>
          <w:rFonts w:hint="eastAsia"/>
          <w:b w:val="0"/>
          <w:bCs w:val="0"/>
          <w:color w:val="auto"/>
          <w:lang w:val="en-US" w:eastAsia="zh-CN"/>
        </w:rPr>
        <w:t>《公路通信及电力管道设计规范》               JTG/T3383-01-2020</w:t>
      </w:r>
    </w:p>
    <w:p w14:paraId="32105612">
      <w:pPr>
        <w:bidi w:val="0"/>
        <w:rPr>
          <w:rFonts w:hint="eastAsia"/>
          <w:b w:val="0"/>
          <w:bCs w:val="0"/>
          <w:color w:val="auto"/>
          <w:lang w:val="en-US" w:eastAsia="zh-CN"/>
        </w:rPr>
      </w:pPr>
      <w:r>
        <w:rPr>
          <w:rFonts w:hint="eastAsia"/>
          <w:b w:val="0"/>
          <w:bCs w:val="0"/>
          <w:color w:val="auto"/>
          <w:lang w:val="en-US" w:eastAsia="zh-CN"/>
        </w:rPr>
        <w:t>《施工企业安全生产评价标准》                      JGJ/T77-2010</w:t>
      </w:r>
    </w:p>
    <w:p w14:paraId="6CB2C824">
      <w:pPr>
        <w:bidi w:val="0"/>
        <w:rPr>
          <w:rFonts w:hint="eastAsia"/>
          <w:b w:val="0"/>
          <w:bCs w:val="0"/>
          <w:color w:val="auto"/>
          <w:lang w:val="en-US" w:eastAsia="zh-CN"/>
        </w:rPr>
      </w:pPr>
      <w:r>
        <w:rPr>
          <w:rFonts w:hint="eastAsia"/>
          <w:b w:val="0"/>
          <w:bCs w:val="0"/>
          <w:color w:val="auto"/>
          <w:lang w:val="en-US" w:eastAsia="zh-CN"/>
        </w:rPr>
        <w:t>《城乡规划工程地质勘察规范》                        CJJ57-2012</w:t>
      </w:r>
    </w:p>
    <w:p w14:paraId="78E6DB17">
      <w:pPr>
        <w:bidi w:val="0"/>
        <w:rPr>
          <w:rFonts w:hint="eastAsia"/>
          <w:b w:val="0"/>
          <w:bCs w:val="0"/>
          <w:color w:val="auto"/>
          <w:lang w:val="en-US" w:eastAsia="zh-CN"/>
        </w:rPr>
      </w:pPr>
      <w:r>
        <w:rPr>
          <w:rFonts w:hint="eastAsia"/>
          <w:b w:val="0"/>
          <w:bCs w:val="0"/>
          <w:color w:val="auto"/>
          <w:lang w:val="en-US" w:eastAsia="zh-CN"/>
        </w:rPr>
        <w:t>《安全评价通则》                                  AQ8001-2007</w:t>
      </w:r>
    </w:p>
    <w:p w14:paraId="70A0B8FF">
      <w:pPr>
        <w:bidi w:val="0"/>
        <w:rPr>
          <w:rFonts w:hint="eastAsia"/>
          <w:b w:val="0"/>
          <w:bCs w:val="0"/>
          <w:color w:val="auto"/>
          <w:lang w:val="en-US" w:eastAsia="zh-CN"/>
        </w:rPr>
      </w:pPr>
      <w:r>
        <w:rPr>
          <w:rFonts w:hint="eastAsia"/>
          <w:b w:val="0"/>
          <w:bCs w:val="0"/>
          <w:color w:val="auto"/>
          <w:lang w:val="en-US" w:eastAsia="zh-CN"/>
        </w:rPr>
        <w:t>《安全预评价导则》                                AQ8002-2007</w:t>
      </w:r>
    </w:p>
    <w:p w14:paraId="34F22A94">
      <w:pPr>
        <w:bidi w:val="0"/>
        <w:rPr>
          <w:rFonts w:hint="default"/>
          <w:color w:val="auto"/>
          <w:lang w:val="en-US" w:eastAsia="zh-CN"/>
        </w:rPr>
      </w:pPr>
      <w:r>
        <w:rPr>
          <w:rFonts w:hint="eastAsia"/>
          <w:b w:val="0"/>
          <w:bCs w:val="0"/>
          <w:color w:val="auto"/>
          <w:lang w:val="en-US" w:eastAsia="zh-CN"/>
        </w:rPr>
        <w:t>其它相关的国家和行业的标准、规定</w:t>
      </w:r>
    </w:p>
    <w:bookmarkEnd w:id="41"/>
    <w:p w14:paraId="03688BF2">
      <w:pPr>
        <w:pStyle w:val="4"/>
        <w:bidi w:val="0"/>
        <w:rPr>
          <w:rFonts w:hint="eastAsia"/>
          <w:color w:val="auto"/>
        </w:rPr>
      </w:pPr>
      <w:bookmarkStart w:id="42" w:name="_Toc14819"/>
      <w:bookmarkStart w:id="43" w:name="_Toc216"/>
      <w:bookmarkStart w:id="44" w:name="_Toc9851"/>
      <w:bookmarkStart w:id="45" w:name="_Toc21944"/>
      <w:bookmarkStart w:id="46" w:name="_Toc1045"/>
      <w:bookmarkStart w:id="47" w:name="_Toc26161"/>
      <w:bookmarkStart w:id="48" w:name="_Toc26245"/>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3 建设项目</w:t>
      </w:r>
      <w:r>
        <w:rPr>
          <w:rFonts w:hint="eastAsia"/>
          <w:color w:val="auto"/>
        </w:rPr>
        <w:t>技术资料</w:t>
      </w:r>
      <w:bookmarkEnd w:id="42"/>
      <w:bookmarkEnd w:id="43"/>
      <w:bookmarkEnd w:id="44"/>
      <w:bookmarkEnd w:id="45"/>
      <w:bookmarkEnd w:id="46"/>
      <w:bookmarkEnd w:id="47"/>
      <w:bookmarkEnd w:id="48"/>
    </w:p>
    <w:p w14:paraId="72B8471D">
      <w:pPr>
        <w:rPr>
          <w:rFonts w:hint="eastAsia"/>
          <w:color w:val="auto"/>
          <w:lang w:eastAsia="zh-CN"/>
        </w:rPr>
      </w:pPr>
      <w:r>
        <w:rPr>
          <w:rFonts w:hint="eastAsia"/>
          <w:color w:val="auto"/>
          <w:lang w:eastAsia="zh-CN"/>
        </w:rPr>
        <w:t>1</w:t>
      </w:r>
      <w:r>
        <w:rPr>
          <w:rFonts w:hint="eastAsia"/>
          <w:color w:val="auto"/>
          <w:lang w:val="en-US" w:eastAsia="zh-CN"/>
        </w:rPr>
        <w:t xml:space="preserve">. </w:t>
      </w:r>
      <w:r>
        <w:rPr>
          <w:rFonts w:hint="eastAsia"/>
          <w:color w:val="auto"/>
          <w:lang w:eastAsia="zh-CN"/>
        </w:rPr>
        <w:t>建设单位营业执照</w:t>
      </w:r>
    </w:p>
    <w:p w14:paraId="6D800B50">
      <w:pPr>
        <w:rPr>
          <w:rFonts w:hint="eastAsia"/>
          <w:color w:val="auto"/>
          <w:lang w:eastAsia="zh-CN"/>
        </w:rPr>
      </w:pPr>
      <w:r>
        <w:rPr>
          <w:rFonts w:hint="eastAsia"/>
          <w:color w:val="auto"/>
          <w:lang w:val="en-US" w:eastAsia="zh-CN"/>
        </w:rPr>
        <w:t xml:space="preserve">2. </w:t>
      </w:r>
      <w:r>
        <w:rPr>
          <w:rFonts w:hint="eastAsia"/>
          <w:color w:val="auto"/>
          <w:lang w:eastAsia="zh-CN"/>
        </w:rPr>
        <w:t>施工方案</w:t>
      </w:r>
    </w:p>
    <w:p w14:paraId="22FBCF1C">
      <w:pPr>
        <w:rPr>
          <w:rFonts w:hint="eastAsia"/>
          <w:color w:val="auto"/>
          <w:lang w:eastAsia="zh-CN"/>
        </w:rPr>
      </w:pPr>
      <w:r>
        <w:rPr>
          <w:rFonts w:hint="eastAsia"/>
          <w:color w:val="auto"/>
          <w:lang w:val="en-US" w:eastAsia="zh-CN"/>
        </w:rPr>
        <w:t>3. 企业提供的</w:t>
      </w:r>
      <w:r>
        <w:rPr>
          <w:rFonts w:hint="eastAsia"/>
          <w:color w:val="auto"/>
          <w:lang w:eastAsia="zh-CN"/>
        </w:rPr>
        <w:t>其他资料</w:t>
      </w:r>
    </w:p>
    <w:p w14:paraId="480BCD17">
      <w:pPr>
        <w:pStyle w:val="3"/>
        <w:bidi w:val="0"/>
        <w:rPr>
          <w:rFonts w:hint="eastAsia"/>
          <w:color w:val="auto"/>
          <w:lang w:val="en-US" w:eastAsia="zh-CN"/>
        </w:rPr>
      </w:pPr>
      <w:bookmarkStart w:id="49" w:name="_Toc24324"/>
      <w:bookmarkStart w:id="50" w:name="_Toc26120"/>
      <w:bookmarkStart w:id="51" w:name="_Toc3758"/>
      <w:bookmarkStart w:id="52" w:name="_Toc10394"/>
      <w:bookmarkStart w:id="53" w:name="_Toc8309"/>
      <w:bookmarkStart w:id="54" w:name="_Toc3902"/>
      <w:r>
        <w:rPr>
          <w:rFonts w:hint="eastAsia"/>
          <w:color w:val="auto"/>
          <w:lang w:val="en-US" w:eastAsia="zh-CN"/>
        </w:rPr>
        <w:t xml:space="preserve">1.4 </w:t>
      </w:r>
      <w:bookmarkEnd w:id="49"/>
      <w:bookmarkEnd w:id="50"/>
      <w:bookmarkEnd w:id="51"/>
      <w:r>
        <w:rPr>
          <w:rFonts w:hint="eastAsia"/>
          <w:color w:val="auto"/>
          <w:lang w:val="en-US" w:eastAsia="zh-CN"/>
        </w:rPr>
        <w:t>评估程序</w:t>
      </w:r>
      <w:bookmarkEnd w:id="52"/>
      <w:bookmarkEnd w:id="53"/>
      <w:bookmarkEnd w:id="54"/>
    </w:p>
    <w:p w14:paraId="31081865">
      <w:pPr>
        <w:bidi w:val="0"/>
        <w:rPr>
          <w:rFonts w:hint="eastAsia"/>
          <w:color w:val="auto"/>
          <w:lang w:val="en-US" w:eastAsia="zh-CN"/>
        </w:rPr>
      </w:pPr>
      <w:r>
        <w:rPr>
          <w:rFonts w:hint="default"/>
          <w:color w:val="auto"/>
          <w:lang w:val="en-US" w:eastAsia="zh-CN"/>
        </w:rPr>
        <w:t>安全评估程序见图1</w:t>
      </w:r>
      <w:r>
        <w:rPr>
          <w:rFonts w:hint="eastAsia"/>
          <w:color w:val="auto"/>
          <w:lang w:val="en-US" w:eastAsia="zh-CN"/>
        </w:rPr>
        <w:t>.4</w:t>
      </w:r>
      <w:r>
        <w:rPr>
          <w:rFonts w:hint="default"/>
          <w:color w:val="auto"/>
          <w:lang w:val="en-US" w:eastAsia="zh-CN"/>
        </w:rPr>
        <w:t>-1</w:t>
      </w:r>
      <w:r>
        <w:rPr>
          <w:rFonts w:hint="eastAsia"/>
          <w:color w:val="auto"/>
          <w:lang w:val="en-US" w:eastAsia="zh-CN"/>
        </w:rPr>
        <w:t>。</w:t>
      </w:r>
    </w:p>
    <w:p w14:paraId="7619D7DD">
      <w:pPr>
        <w:bidi w:val="0"/>
        <w:ind w:left="0" w:leftChars="0" w:firstLine="0" w:firstLineChars="0"/>
        <w:jc w:val="center"/>
        <w:rPr>
          <w:rFonts w:hint="default" w:ascii="Times New Roman" w:hAnsi="Times New Roman" w:eastAsia="宋体" w:cs="Times New Roman"/>
          <w:color w:val="auto"/>
          <w:kern w:val="0"/>
          <w:sz w:val="22"/>
          <w:szCs w:val="22"/>
        </w:rPr>
      </w:pPr>
      <w:r>
        <w:rPr>
          <w:rFonts w:ascii="Times New Roman" w:hAnsi="Times New Roman" w:eastAsia="宋体" w:cs="Times New Roman"/>
          <w:b/>
          <w:bCs/>
          <w:color w:val="auto"/>
          <w:sz w:val="28"/>
          <w:szCs w:val="28"/>
        </w:rPr>
        <mc:AlternateContent>
          <mc:Choice Requires="wpg">
            <w:drawing>
              <wp:inline distT="0" distB="0" distL="114300" distR="114300">
                <wp:extent cx="1924050" cy="5349240"/>
                <wp:effectExtent l="0" t="0" r="0" b="0"/>
                <wp:docPr id="66" name="组合 66"/>
                <wp:cNvGraphicFramePr/>
                <a:graphic xmlns:a="http://schemas.openxmlformats.org/drawingml/2006/main">
                  <a:graphicData uri="http://schemas.microsoft.com/office/word/2010/wordprocessingGroup">
                    <wpg:wgp>
                      <wpg:cNvGrpSpPr/>
                      <wpg:grpSpPr>
                        <a:xfrm>
                          <a:off x="0" y="0"/>
                          <a:ext cx="1924050" cy="5349240"/>
                          <a:chOff x="4566" y="6790"/>
                          <a:chExt cx="3030" cy="8424"/>
                        </a:xfrm>
                      </wpg:grpSpPr>
                      <wps:wsp>
                        <wps:cNvPr id="51" name="文本框 51"/>
                        <wps:cNvSpPr txBox="1"/>
                        <wps:spPr>
                          <a:xfrm>
                            <a:off x="4566" y="6790"/>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9C88F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wps:txbx>
                        <wps:bodyPr upright="1"/>
                      </wps:wsp>
                      <wps:wsp>
                        <wps:cNvPr id="52" name="文本框 52"/>
                        <wps:cNvSpPr txBox="1"/>
                        <wps:spPr>
                          <a:xfrm>
                            <a:off x="4566" y="7893"/>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6B758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wps:txbx>
                        <wps:bodyPr upright="1"/>
                      </wps:wsp>
                      <wps:wsp>
                        <wps:cNvPr id="53" name="文本框 53"/>
                        <wps:cNvSpPr txBox="1"/>
                        <wps:spPr>
                          <a:xfrm>
                            <a:off x="4566" y="9100"/>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D181D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划分评估单元</w:t>
                              </w:r>
                            </w:p>
                          </w:txbxContent>
                        </wps:txbx>
                        <wps:bodyPr upright="1"/>
                      </wps:wsp>
                      <wps:wsp>
                        <wps:cNvPr id="54" name="文本框 54"/>
                        <wps:cNvSpPr txBox="1"/>
                        <wps:spPr>
                          <a:xfrm>
                            <a:off x="4566" y="10204"/>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0FCA09">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选择评估方法</w:t>
                              </w:r>
                            </w:p>
                          </w:txbxContent>
                        </wps:txbx>
                        <wps:bodyPr upright="1"/>
                      </wps:wsp>
                      <wps:wsp>
                        <wps:cNvPr id="55" name="文本框 55"/>
                        <wps:cNvSpPr txBox="1"/>
                        <wps:spPr>
                          <a:xfrm>
                            <a:off x="4566" y="11398"/>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9F97F4">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定性定量评估</w:t>
                              </w:r>
                            </w:p>
                          </w:txbxContent>
                        </wps:txbx>
                        <wps:bodyPr upright="1"/>
                      </wps:wsp>
                      <wps:wsp>
                        <wps:cNvPr id="56" name="文本框 56"/>
                        <wps:cNvSpPr txBox="1"/>
                        <wps:spPr>
                          <a:xfrm>
                            <a:off x="4566" y="12501"/>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DBD19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wps:txbx>
                        <wps:bodyPr upright="1"/>
                      </wps:wsp>
                      <wps:wsp>
                        <wps:cNvPr id="57" name="文本框 57"/>
                        <wps:cNvSpPr txBox="1"/>
                        <wps:spPr>
                          <a:xfrm>
                            <a:off x="4566" y="13708"/>
                            <a:ext cx="303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E4D4D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w:t>
                              </w:r>
                              <w:r>
                                <w:rPr>
                                  <w:rFonts w:hint="eastAsia" w:ascii="Times New Roman" w:hAnsi="Times New Roman" w:eastAsia="宋体" w:cs="Times New Roman"/>
                                  <w:sz w:val="21"/>
                                  <w:lang w:val="en-US" w:eastAsia="zh-CN"/>
                                </w:rPr>
                                <w:t>安全评估</w:t>
                              </w:r>
                              <w:r>
                                <w:rPr>
                                  <w:rFonts w:hint="eastAsia" w:ascii="Times New Roman" w:hAnsi="Times New Roman" w:eastAsia="宋体" w:cs="Times New Roman"/>
                                  <w:sz w:val="21"/>
                                </w:rPr>
                                <w:t>结论</w:t>
                              </w:r>
                            </w:p>
                          </w:txbxContent>
                        </wps:txbx>
                        <wps:bodyPr upright="1"/>
                      </wps:wsp>
                      <wps:wsp>
                        <wps:cNvPr id="58" name="文本框 58"/>
                        <wps:cNvSpPr txBox="1"/>
                        <wps:spPr>
                          <a:xfrm>
                            <a:off x="4566" y="14812"/>
                            <a:ext cx="3030" cy="40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6D301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评估</w:t>
                              </w:r>
                              <w:r>
                                <w:rPr>
                                  <w:rFonts w:hint="eastAsia" w:ascii="Times New Roman" w:hAnsi="Times New Roman" w:eastAsia="宋体" w:cs="Times New Roman"/>
                                  <w:sz w:val="21"/>
                                </w:rPr>
                                <w:t>报告</w:t>
                              </w:r>
                            </w:p>
                          </w:txbxContent>
                        </wps:txbx>
                        <wps:bodyPr upright="1"/>
                      </wps:wsp>
                      <wps:wsp>
                        <wps:cNvPr id="59" name="直接连接符 59"/>
                        <wps:cNvCnPr/>
                        <wps:spPr>
                          <a:xfrm>
                            <a:off x="6066" y="7179"/>
                            <a:ext cx="0" cy="701"/>
                          </a:xfrm>
                          <a:prstGeom prst="line">
                            <a:avLst/>
                          </a:prstGeom>
                          <a:ln w="9525" cap="flat" cmpd="sng">
                            <a:solidFill>
                              <a:srgbClr val="000000"/>
                            </a:solidFill>
                            <a:prstDash val="solid"/>
                            <a:headEnd type="none" w="med" len="med"/>
                            <a:tailEnd type="triangle" w="med" len="med"/>
                          </a:ln>
                        </wps:spPr>
                        <wps:bodyPr upright="1"/>
                      </wps:wsp>
                      <wps:wsp>
                        <wps:cNvPr id="60" name="直接连接符 60"/>
                        <wps:cNvCnPr/>
                        <wps:spPr>
                          <a:xfrm>
                            <a:off x="6066" y="8283"/>
                            <a:ext cx="0" cy="805"/>
                          </a:xfrm>
                          <a:prstGeom prst="line">
                            <a:avLst/>
                          </a:prstGeom>
                          <a:ln w="9525" cap="flat" cmpd="sng">
                            <a:solidFill>
                              <a:srgbClr val="000000"/>
                            </a:solidFill>
                            <a:prstDash val="solid"/>
                            <a:headEnd type="none" w="med" len="med"/>
                            <a:tailEnd type="triangle" w="med" len="med"/>
                          </a:ln>
                        </wps:spPr>
                        <wps:bodyPr upright="1"/>
                      </wps:wsp>
                      <wps:wsp>
                        <wps:cNvPr id="61" name="直接连接符 61"/>
                        <wps:cNvCnPr/>
                        <wps:spPr>
                          <a:xfrm>
                            <a:off x="6080" y="9490"/>
                            <a:ext cx="0" cy="701"/>
                          </a:xfrm>
                          <a:prstGeom prst="line">
                            <a:avLst/>
                          </a:prstGeom>
                          <a:ln w="9525" cap="flat" cmpd="sng">
                            <a:solidFill>
                              <a:srgbClr val="000000"/>
                            </a:solidFill>
                            <a:prstDash val="solid"/>
                            <a:headEnd type="none" w="med" len="med"/>
                            <a:tailEnd type="triangle" w="med" len="med"/>
                          </a:ln>
                        </wps:spPr>
                        <wps:bodyPr upright="1"/>
                      </wps:wsp>
                      <wps:wsp>
                        <wps:cNvPr id="62" name="直接连接符 62"/>
                        <wps:cNvCnPr/>
                        <wps:spPr>
                          <a:xfrm>
                            <a:off x="6080" y="10593"/>
                            <a:ext cx="0" cy="792"/>
                          </a:xfrm>
                          <a:prstGeom prst="line">
                            <a:avLst/>
                          </a:prstGeom>
                          <a:ln w="9525" cap="flat" cmpd="sng">
                            <a:solidFill>
                              <a:srgbClr val="000000"/>
                            </a:solidFill>
                            <a:prstDash val="solid"/>
                            <a:headEnd type="none" w="med" len="med"/>
                            <a:tailEnd type="triangle" w="med" len="med"/>
                          </a:ln>
                        </wps:spPr>
                        <wps:bodyPr upright="1"/>
                      </wps:wsp>
                      <wps:wsp>
                        <wps:cNvPr id="63" name="直接连接符 63"/>
                        <wps:cNvCnPr/>
                        <wps:spPr>
                          <a:xfrm>
                            <a:off x="6080" y="11787"/>
                            <a:ext cx="0" cy="701"/>
                          </a:xfrm>
                          <a:prstGeom prst="line">
                            <a:avLst/>
                          </a:prstGeom>
                          <a:ln w="9525" cap="flat" cmpd="sng">
                            <a:solidFill>
                              <a:srgbClr val="000000"/>
                            </a:solidFill>
                            <a:prstDash val="solid"/>
                            <a:headEnd type="none" w="med" len="med"/>
                            <a:tailEnd type="triangle" w="med" len="med"/>
                          </a:ln>
                        </wps:spPr>
                        <wps:bodyPr upright="1"/>
                      </wps:wsp>
                      <wps:wsp>
                        <wps:cNvPr id="64" name="直接连接符 64"/>
                        <wps:cNvCnPr/>
                        <wps:spPr>
                          <a:xfrm>
                            <a:off x="6066" y="12891"/>
                            <a:ext cx="0" cy="804"/>
                          </a:xfrm>
                          <a:prstGeom prst="line">
                            <a:avLst/>
                          </a:prstGeom>
                          <a:ln w="9525" cap="flat" cmpd="sng">
                            <a:solidFill>
                              <a:srgbClr val="000000"/>
                            </a:solidFill>
                            <a:prstDash val="solid"/>
                            <a:headEnd type="none" w="med" len="med"/>
                            <a:tailEnd type="triangle" w="med" len="med"/>
                          </a:ln>
                        </wps:spPr>
                        <wps:bodyPr upright="1"/>
                      </wps:wsp>
                      <wps:wsp>
                        <wps:cNvPr id="65" name="直接连接符 65"/>
                        <wps:cNvCnPr/>
                        <wps:spPr>
                          <a:xfrm>
                            <a:off x="6066" y="14098"/>
                            <a:ext cx="0" cy="701"/>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21.2pt;width:151.5pt;" coordorigin="4566,6790" coordsize="3030,8424" o:gfxdata="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">
                <o:lock v:ext="edit" aspectratio="f"/>
                <v:shape id="_x0000_s1026" o:spid="_x0000_s1026" o:spt="202" type="#_x0000_t202" style="position:absolute;left:4566;top:6790;height:402;width:3030;" fillcolor="#FFFFFF" filled="t" stroked="t" coordsize="21600,21600" o:gfxdata="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LD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E9C88F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前期准备</w:t>
                        </w:r>
                      </w:p>
                    </w:txbxContent>
                  </v:textbox>
                </v:shape>
                <v:shape id="_x0000_s1026" o:spid="_x0000_s1026" o:spt="202" type="#_x0000_t202" style="position:absolute;left:4566;top:7893;height:403;width:3030;" fillcolor="#FFFFFF" filled="t" stroked="t" coordsize="21600,21600" o:gfxdata="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F31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6B758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辩识与分析危险、有害因素</w:t>
                        </w:r>
                      </w:p>
                    </w:txbxContent>
                  </v:textbox>
                </v:shape>
                <v:shape id="_x0000_s1026" o:spid="_x0000_s1026" o:spt="202" type="#_x0000_t202" style="position:absolute;left:4566;top:9100;height:403;width:3030;" fillcolor="#FFFFFF" filled="t" stroked="t" coordsize="21600,21600" o:gfxdata="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Ph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1D181DF">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划分评估单元</w:t>
                        </w:r>
                      </w:p>
                    </w:txbxContent>
                  </v:textbox>
                </v:shape>
                <v:shape id="_x0000_s1026" o:spid="_x0000_s1026" o:spt="202" type="#_x0000_t202" style="position:absolute;left:4566;top:10204;height:402;width:3030;" fillcolor="#FFFFFF" filled="t" stroked="t" coordsize="21600,21600" o:gfxdata="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Vg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D0FCA09">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选择评估方法</w:t>
                        </w:r>
                      </w:p>
                    </w:txbxContent>
                  </v:textbox>
                </v:shape>
                <v:shape id="_x0000_s1026" o:spid="_x0000_s1026" o:spt="202" type="#_x0000_t202" style="position:absolute;left:4566;top:11398;height:402;width:3030;" fillcolor="#FFFFFF" filled="t" stroked="t" coordsize="21600,21600" o:gfxdata="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F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E9F97F4">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定性定量评估</w:t>
                        </w:r>
                      </w:p>
                    </w:txbxContent>
                  </v:textbox>
                </v:shape>
                <v:shape id="_x0000_s1026" o:spid="_x0000_s1026" o:spt="202" type="#_x0000_t202" style="position:absolute;left:4566;top:12501;height:403;width:3030;" fillcolor="#FFFFFF" filled="t" stroked="t" coordsize="21600,21600" o:gfxdata="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4tb9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BDBD195">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提出安全对策措施建议</w:t>
                        </w:r>
                      </w:p>
                    </w:txbxContent>
                  </v:textbox>
                </v:shape>
                <v:shape id="_x0000_s1026" o:spid="_x0000_s1026" o:spt="202" type="#_x0000_t202" style="position:absolute;left:4566;top:13708;height:403;width:3030;" fillcolor="#FFFFFF" filled="t" stroked="t" coordsize="21600,21600" o:gfxdata="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5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FE4D4D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做出</w:t>
                        </w:r>
                        <w:r>
                          <w:rPr>
                            <w:rFonts w:hint="eastAsia" w:ascii="Times New Roman" w:hAnsi="Times New Roman" w:eastAsia="宋体" w:cs="Times New Roman"/>
                            <w:sz w:val="21"/>
                            <w:lang w:val="en-US" w:eastAsia="zh-CN"/>
                          </w:rPr>
                          <w:t>安全评估</w:t>
                        </w:r>
                        <w:r>
                          <w:rPr>
                            <w:rFonts w:hint="eastAsia" w:ascii="Times New Roman" w:hAnsi="Times New Roman" w:eastAsia="宋体" w:cs="Times New Roman"/>
                            <w:sz w:val="21"/>
                          </w:rPr>
                          <w:t>结论</w:t>
                        </w:r>
                      </w:p>
                    </w:txbxContent>
                  </v:textbox>
                </v:shape>
                <v:shape id="_x0000_s1026" o:spid="_x0000_s1026" o:spt="202" type="#_x0000_t202" style="position:absolute;left:4566;top:14812;height:402;width:3030;" fillcolor="#FFFFFF" filled="t" stroked="t" coordsize="21600,21600" o:gfxdata="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WGof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36D3011">
                        <w:pPr>
                          <w:bidi w:val="0"/>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编制安全</w:t>
                        </w:r>
                        <w:r>
                          <w:rPr>
                            <w:rFonts w:hint="eastAsia" w:ascii="Times New Roman" w:hAnsi="Times New Roman" w:eastAsia="宋体" w:cs="Times New Roman"/>
                            <w:sz w:val="21"/>
                            <w:lang w:val="en-US" w:eastAsia="zh-CN"/>
                          </w:rPr>
                          <w:t>评估</w:t>
                        </w:r>
                        <w:r>
                          <w:rPr>
                            <w:rFonts w:hint="eastAsia" w:ascii="Times New Roman" w:hAnsi="Times New Roman" w:eastAsia="宋体" w:cs="Times New Roman"/>
                            <w:sz w:val="21"/>
                          </w:rPr>
                          <w:t>报告</w:t>
                        </w:r>
                      </w:p>
                    </w:txbxContent>
                  </v:textbox>
                </v:shape>
                <v:line id="_x0000_s1026" o:spid="_x0000_s1026" o:spt="20" style="position:absolute;left:6066;top:7179;height:701;width:0;" filled="f" stroked="t" coordsize="21600,21600" o:gfxdata="UEsDBAoAAAAAAIdO4kAAAAAAAAAAAAAAAAAEAAAAZHJzL1BLAwQUAAAACACHTuJAbvns9r8AAADb&#10;AAAADwAAAGRycy9kb3ducmV2LnhtbEWPT2vCQBTE7wW/w/KE3uomQku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757P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8283;height:805;width:0;" filled="f" stroked="t" coordsize="21600,21600" o:gfxdata="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a+P1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6080;top:9490;height:701;width:0;" filled="f" stroked="t" coordsize="21600,21600" o:gfxdata="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ypN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6080;top:10593;height:792;width:0;" filled="f" stroked="t" coordsize="21600,21600" o:gfxdata="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jG0O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6080;top:11787;height:701;width:0;" filled="f" stroked="t" coordsize="21600,21600" o:gfxdata="UEsDBAoAAAAAAIdO4kAAAAAAAAAAAAAAAAAEAAAAZHJzL1BLAwQUAAAACACHTuJAwX0Rob8AAADb&#10;AAAADwAAAGRycy9kb3ducmV2LnhtbEWPT2vCQBTE74LfYXmCN92kBQ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9Ea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12891;height:804;width:0;" filled="f" stroked="t" coordsize="21600,21600" o:gfxdata="UEsDBAoAAAAAAIdO4kAAAAAAAAAAAAAAAAAEAAAAZHJzL1BLAwQUAAAACACHTuJATpSJ1b8AAADb&#10;AAAADwAAAGRycy9kb3ducmV2LnhtbEWPT2vCQBTE74LfYXmCN92kFA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Uid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6066;top:14098;height:701;width:0;" filled="f" stroked="t" coordsize="21600,21600" o:gfxdata="UEsDBAoAAAAAAIdO4kAAAAAAAAAAAAAAAAAEAAAAZHJzL1BLAwQUAAAACACHTuJAIdgsTr8AAADb&#10;AAAADwAAAGRycy9kb3ducmV2LnhtbEWPT2vCQBTE74LfYXmCN92kUA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HYLE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309A55DF">
      <w:pPr>
        <w:bidi w:val="0"/>
        <w:ind w:left="0" w:leftChars="0" w:firstLine="0" w:firstLineChars="0"/>
        <w:jc w:val="center"/>
        <w:rPr>
          <w:rFonts w:hint="default"/>
          <w:color w:val="auto"/>
          <w:lang w:val="en-US" w:eastAsia="zh-CN"/>
        </w:rPr>
      </w:pPr>
      <w:r>
        <w:rPr>
          <w:rFonts w:hint="default"/>
          <w:color w:val="auto"/>
          <w:lang w:val="en-US" w:eastAsia="zh-CN"/>
        </w:rPr>
        <w:t>图1</w:t>
      </w:r>
      <w:r>
        <w:rPr>
          <w:rFonts w:hint="eastAsia"/>
          <w:color w:val="auto"/>
          <w:lang w:val="en-US" w:eastAsia="zh-CN"/>
        </w:rPr>
        <w:t>.4</w:t>
      </w:r>
      <w:r>
        <w:rPr>
          <w:rFonts w:hint="default"/>
          <w:color w:val="auto"/>
          <w:lang w:val="en-US" w:eastAsia="zh-CN"/>
        </w:rPr>
        <w:t>-1 评估程序框图</w:t>
      </w:r>
    </w:p>
    <w:p w14:paraId="606810DD">
      <w:pPr>
        <w:bidi w:val="0"/>
        <w:ind w:left="0" w:leftChars="0" w:firstLine="0" w:firstLineChars="0"/>
        <w:rPr>
          <w:rFonts w:hint="default"/>
          <w:color w:val="auto"/>
          <w:lang w:val="en-US" w:eastAsia="zh-CN"/>
        </w:rPr>
      </w:pPr>
    </w:p>
    <w:p w14:paraId="47AA6D75">
      <w:pPr>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color w:val="auto"/>
          <w:lang w:val="en-US" w:eastAsia="zh-CN"/>
        </w:rPr>
        <w:sectPr>
          <w:footerReference r:id="rId9" w:type="default"/>
          <w:pgSz w:w="11906" w:h="16839"/>
          <w:pgMar w:top="1417" w:right="1417" w:bottom="1417" w:left="1417" w:header="850" w:footer="992" w:gutter="0"/>
          <w:pgBorders>
            <w:top w:val="none" w:sz="0" w:space="0"/>
            <w:left w:val="none" w:sz="0" w:space="0"/>
            <w:bottom w:val="none" w:sz="0" w:space="0"/>
            <w:right w:val="none" w:sz="0" w:space="0"/>
          </w:pgBorders>
          <w:pgNumType w:fmt="decimal" w:start="1"/>
          <w:cols w:space="720" w:num="1"/>
          <w:rtlGutter w:val="0"/>
          <w:docGrid w:linePitch="312" w:charSpace="0"/>
        </w:sectPr>
      </w:pPr>
    </w:p>
    <w:p w14:paraId="0DC81484">
      <w:pPr>
        <w:pStyle w:val="2"/>
        <w:numPr>
          <w:ilvl w:val="0"/>
          <w:numId w:val="2"/>
        </w:numPr>
        <w:bidi w:val="0"/>
        <w:ind w:left="0" w:leftChars="0" w:firstLine="0" w:firstLineChars="0"/>
        <w:rPr>
          <w:rFonts w:hint="eastAsia"/>
          <w:color w:val="auto"/>
          <w:lang w:val="en-US" w:eastAsia="zh-CN"/>
        </w:rPr>
      </w:pPr>
      <w:bookmarkStart w:id="55" w:name="_Toc14437"/>
      <w:bookmarkStart w:id="56" w:name="_Toc11483"/>
      <w:bookmarkStart w:id="57" w:name="_Toc27550"/>
      <w:r>
        <w:rPr>
          <w:rFonts w:hint="eastAsia"/>
          <w:color w:val="auto"/>
          <w:lang w:val="en-US" w:eastAsia="zh-CN"/>
        </w:rPr>
        <w:t>评估项目情况</w:t>
      </w:r>
      <w:bookmarkEnd w:id="55"/>
      <w:bookmarkEnd w:id="56"/>
      <w:bookmarkEnd w:id="57"/>
    </w:p>
    <w:p w14:paraId="6E1DBE2D">
      <w:pPr>
        <w:pStyle w:val="3"/>
        <w:bidi w:val="0"/>
        <w:rPr>
          <w:rFonts w:hint="default"/>
          <w:color w:val="auto"/>
          <w:lang w:val="en-US" w:eastAsia="zh-CN"/>
        </w:rPr>
      </w:pPr>
      <w:bookmarkStart w:id="58" w:name="_Toc23186"/>
      <w:bookmarkStart w:id="59" w:name="_Toc12120"/>
      <w:r>
        <w:rPr>
          <w:rFonts w:hint="default"/>
          <w:color w:val="auto"/>
          <w:lang w:val="en-US" w:eastAsia="zh-CN"/>
        </w:rPr>
        <w:t>2.1</w:t>
      </w:r>
      <w:r>
        <w:rPr>
          <w:rFonts w:hint="eastAsia"/>
          <w:color w:val="auto"/>
          <w:lang w:val="en-US" w:eastAsia="zh-CN"/>
        </w:rPr>
        <w:t xml:space="preserve"> </w:t>
      </w:r>
      <w:r>
        <w:rPr>
          <w:rFonts w:hint="default"/>
          <w:color w:val="auto"/>
          <w:lang w:val="en-US" w:eastAsia="zh-CN"/>
        </w:rPr>
        <w:t>工程概况</w:t>
      </w:r>
      <w:bookmarkEnd w:id="58"/>
      <w:bookmarkEnd w:id="59"/>
    </w:p>
    <w:p w14:paraId="105208AC">
      <w:pPr>
        <w:rPr>
          <w:rFonts w:hint="eastAsia"/>
          <w:color w:val="auto"/>
          <w:lang w:val="en-US" w:eastAsia="zh-CN"/>
        </w:rPr>
      </w:pPr>
      <w:r>
        <w:rPr>
          <w:rFonts w:hint="eastAsia"/>
          <w:color w:val="auto"/>
          <w:lang w:val="en-US" w:eastAsia="zh-CN"/>
        </w:rPr>
        <w:t>艾坦途（宜春）物流有限公司地址位于江西省宜春市宜丰县澄塘镇桥下村。为方便车辆进出停车场，该公司拟建设平面交叉道口工程，停车场进出站道路与G354国道的搭接工程路面做法为：垫层为20cm厚极配碎石，基层为40cm厚水泥稳定碎石，面层为5cm厚的沥青混凝土路面。</w:t>
      </w:r>
    </w:p>
    <w:p w14:paraId="6AC32151">
      <w:pPr>
        <w:rPr>
          <w:rFonts w:hint="default"/>
          <w:color w:val="auto"/>
          <w:lang w:val="en-US" w:eastAsia="zh-CN"/>
        </w:rPr>
      </w:pPr>
      <w:r>
        <w:rPr>
          <w:rFonts w:hint="default"/>
          <w:color w:val="auto"/>
          <w:lang w:val="en-US" w:eastAsia="zh-CN"/>
        </w:rPr>
        <w:t>本工程计划开工日期为202</w:t>
      </w:r>
      <w:r>
        <w:rPr>
          <w:rFonts w:hint="eastAsia"/>
          <w:color w:val="auto"/>
          <w:lang w:val="en-US" w:eastAsia="zh-CN"/>
        </w:rPr>
        <w:t>4</w:t>
      </w:r>
      <w:r>
        <w:rPr>
          <w:rFonts w:hint="default"/>
          <w:color w:val="auto"/>
          <w:lang w:val="en-US" w:eastAsia="zh-CN"/>
        </w:rPr>
        <w:t>年</w:t>
      </w:r>
      <w:r>
        <w:rPr>
          <w:rFonts w:hint="eastAsia"/>
          <w:color w:val="auto"/>
          <w:lang w:val="en-US" w:eastAsia="zh-CN"/>
        </w:rPr>
        <w:t>4</w:t>
      </w:r>
      <w:r>
        <w:rPr>
          <w:rFonts w:hint="default"/>
          <w:color w:val="auto"/>
          <w:lang w:val="en-US" w:eastAsia="zh-CN"/>
        </w:rPr>
        <w:t>月，实际施工时间以现场情况为准。</w:t>
      </w:r>
    </w:p>
    <w:p w14:paraId="7BE7DB6A">
      <w:pPr>
        <w:pStyle w:val="3"/>
        <w:bidi w:val="0"/>
        <w:rPr>
          <w:rFonts w:hint="default"/>
          <w:color w:val="auto"/>
          <w:lang w:val="en-US" w:eastAsia="zh-CN"/>
        </w:rPr>
      </w:pPr>
      <w:bookmarkStart w:id="60" w:name="_Toc14546"/>
      <w:bookmarkStart w:id="61" w:name="_Toc28958"/>
      <w:r>
        <w:rPr>
          <w:rFonts w:hint="default"/>
          <w:color w:val="auto"/>
          <w:lang w:val="en-US" w:eastAsia="zh-CN"/>
        </w:rPr>
        <w:t>2.2</w:t>
      </w:r>
      <w:r>
        <w:rPr>
          <w:rFonts w:hint="eastAsia"/>
          <w:color w:val="auto"/>
          <w:lang w:val="en-US" w:eastAsia="zh-CN"/>
        </w:rPr>
        <w:t xml:space="preserve"> </w:t>
      </w:r>
      <w:r>
        <w:rPr>
          <w:rFonts w:hint="default"/>
          <w:color w:val="auto"/>
          <w:lang w:val="en-US" w:eastAsia="zh-CN"/>
        </w:rPr>
        <w:t>自然条件</w:t>
      </w:r>
      <w:bookmarkEnd w:id="60"/>
      <w:bookmarkEnd w:id="61"/>
    </w:p>
    <w:p w14:paraId="400A6D57">
      <w:pPr>
        <w:pStyle w:val="4"/>
        <w:bidi w:val="0"/>
        <w:rPr>
          <w:rFonts w:hint="default"/>
          <w:color w:val="auto"/>
          <w:lang w:val="en-US" w:eastAsia="zh-CN"/>
        </w:rPr>
      </w:pPr>
      <w:bookmarkStart w:id="62" w:name="_Toc17714"/>
      <w:bookmarkStart w:id="63" w:name="_Toc28035"/>
      <w:r>
        <w:rPr>
          <w:rFonts w:hint="eastAsia"/>
          <w:color w:val="auto"/>
          <w:lang w:val="en-US" w:eastAsia="zh-CN"/>
        </w:rPr>
        <w:t xml:space="preserve">2.2.1 </w:t>
      </w:r>
      <w:r>
        <w:rPr>
          <w:rFonts w:hint="default"/>
          <w:color w:val="auto"/>
          <w:lang w:val="en-US" w:eastAsia="zh-CN"/>
        </w:rPr>
        <w:t>气候</w:t>
      </w:r>
      <w:bookmarkEnd w:id="62"/>
      <w:bookmarkEnd w:id="63"/>
    </w:p>
    <w:p w14:paraId="412BFACA">
      <w:pPr>
        <w:rPr>
          <w:rFonts w:hint="default"/>
          <w:color w:val="auto"/>
          <w:lang w:val="en-US" w:eastAsia="zh-CN"/>
        </w:rPr>
      </w:pPr>
      <w:r>
        <w:rPr>
          <w:rFonts w:hint="default"/>
          <w:color w:val="auto"/>
          <w:lang w:val="en-US" w:eastAsia="zh-CN"/>
        </w:rPr>
        <w:t>宜丰县位于赣西北九岭山脉南麓，始建于三国吴大帝黄武年间（公元222～229年），已有1780多年的历史。全县总面积1935平方公里，总人口28万，辖16个乡镇（场）。属中亚热带温暖湿润气候区，年平均气温17.1℃，年降雨量1720.6毫米。</w:t>
      </w:r>
    </w:p>
    <w:p w14:paraId="7F9A4EB4">
      <w:pPr>
        <w:pStyle w:val="4"/>
        <w:bidi w:val="0"/>
        <w:rPr>
          <w:rFonts w:hint="default"/>
          <w:color w:val="auto"/>
          <w:lang w:val="en-US" w:eastAsia="zh-CN"/>
        </w:rPr>
      </w:pPr>
      <w:bookmarkStart w:id="64" w:name="_Toc4163"/>
      <w:bookmarkStart w:id="65" w:name="_Toc31739"/>
      <w:r>
        <w:rPr>
          <w:rFonts w:hint="eastAsia"/>
          <w:color w:val="auto"/>
          <w:lang w:val="en-US" w:eastAsia="zh-CN"/>
        </w:rPr>
        <w:t xml:space="preserve">2.2.2 </w:t>
      </w:r>
      <w:bookmarkEnd w:id="64"/>
      <w:r>
        <w:rPr>
          <w:rFonts w:hint="default"/>
          <w:color w:val="auto"/>
          <w:lang w:val="en-US" w:eastAsia="zh-CN"/>
        </w:rPr>
        <w:t>地理位置及交通条件</w:t>
      </w:r>
      <w:bookmarkEnd w:id="65"/>
    </w:p>
    <w:p w14:paraId="424AAD98">
      <w:pPr>
        <w:rPr>
          <w:rFonts w:hint="default"/>
          <w:color w:val="auto"/>
          <w:lang w:val="en-US" w:eastAsia="zh-CN"/>
        </w:rPr>
      </w:pPr>
      <w:r>
        <w:rPr>
          <w:rFonts w:hint="eastAsia"/>
          <w:color w:val="auto"/>
          <w:lang w:val="en-US" w:eastAsia="zh-CN"/>
        </w:rPr>
        <w:t>宜丰县位于江西省西北部九岭山脉东南缘。地处114°30′至115°08′、北纬28°17′至28°40′之间。东邻高安，西接万载，西北毗连铜鼓，北与修水、奉新接壤。境域东西长71公里，南北宽51公里，总面积1935平方公里。县城新昌镇东距省会南昌市142公里，西南离宜春市政府所在地袁州区95公里</w:t>
      </w:r>
      <w:r>
        <w:rPr>
          <w:rFonts w:hint="default"/>
          <w:color w:val="auto"/>
          <w:lang w:val="en-US" w:eastAsia="zh-CN"/>
        </w:rPr>
        <w:t>。</w:t>
      </w:r>
    </w:p>
    <w:p w14:paraId="28D9D69B">
      <w:pPr>
        <w:ind w:left="0" w:leftChars="0" w:firstLine="0" w:firstLineChars="0"/>
        <w:jc w:val="center"/>
        <w:rPr>
          <w:rFonts w:hint="default"/>
          <w:color w:val="auto"/>
          <w:lang w:val="en-US" w:eastAsia="zh-CN"/>
        </w:rPr>
      </w:pPr>
      <w:r>
        <w:rPr>
          <w:color w:val="auto"/>
        </w:rPr>
        <w:drawing>
          <wp:inline distT="0" distB="0" distL="114300" distR="114300">
            <wp:extent cx="5039995" cy="2816225"/>
            <wp:effectExtent l="0" t="0" r="825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039995" cy="2816225"/>
                    </a:xfrm>
                    <a:prstGeom prst="rect">
                      <a:avLst/>
                    </a:prstGeom>
                    <a:noFill/>
                    <a:ln>
                      <a:noFill/>
                    </a:ln>
                  </pic:spPr>
                </pic:pic>
              </a:graphicData>
            </a:graphic>
          </wp:inline>
        </w:drawing>
      </w:r>
    </w:p>
    <w:p w14:paraId="296029D1">
      <w:pPr>
        <w:bidi w:val="0"/>
        <w:ind w:left="0" w:leftChars="0" w:firstLine="0" w:firstLineChars="0"/>
        <w:jc w:val="center"/>
        <w:rPr>
          <w:rFonts w:hint="default"/>
          <w:color w:val="auto"/>
          <w:lang w:val="en-US" w:eastAsia="zh-CN"/>
        </w:rPr>
      </w:pPr>
      <w:r>
        <w:rPr>
          <w:rFonts w:hint="eastAsia"/>
          <w:color w:val="auto"/>
          <w:lang w:val="en-US" w:eastAsia="zh-CN"/>
        </w:rPr>
        <w:t xml:space="preserve">图2.2-1 </w:t>
      </w:r>
      <w:r>
        <w:rPr>
          <w:rFonts w:hint="default" w:ascii="Times New Roman" w:hAnsi="Times New Roman" w:eastAsia="宋体" w:cs="Times New Roman"/>
          <w:color w:val="auto"/>
          <w:lang w:val="en-US" w:eastAsia="zh-CN"/>
        </w:rPr>
        <w:t>施工地点</w:t>
      </w:r>
      <w:r>
        <w:rPr>
          <w:rFonts w:hint="eastAsia"/>
          <w:color w:val="auto"/>
          <w:lang w:val="en-US" w:eastAsia="zh-CN"/>
        </w:rPr>
        <w:t>地理位置图</w:t>
      </w:r>
    </w:p>
    <w:p w14:paraId="574DCB2E">
      <w:pPr>
        <w:pStyle w:val="3"/>
        <w:bidi w:val="0"/>
        <w:rPr>
          <w:rFonts w:hint="default"/>
          <w:color w:val="auto"/>
          <w:lang w:val="en-US" w:eastAsia="zh-CN"/>
        </w:rPr>
      </w:pPr>
      <w:bookmarkStart w:id="66" w:name="_Toc2299"/>
      <w:bookmarkStart w:id="67" w:name="_Toc4097"/>
      <w:r>
        <w:rPr>
          <w:rFonts w:hint="default"/>
          <w:color w:val="auto"/>
          <w:lang w:val="en-US" w:eastAsia="zh-CN"/>
        </w:rPr>
        <w:t>2.3</w:t>
      </w:r>
      <w:r>
        <w:rPr>
          <w:rFonts w:hint="eastAsia"/>
          <w:color w:val="auto"/>
          <w:lang w:val="en-US" w:eastAsia="zh-CN"/>
        </w:rPr>
        <w:t xml:space="preserve"> </w:t>
      </w:r>
      <w:r>
        <w:rPr>
          <w:rFonts w:hint="default"/>
          <w:color w:val="auto"/>
          <w:lang w:val="en-US" w:eastAsia="zh-CN"/>
        </w:rPr>
        <w:t>周边环境</w:t>
      </w:r>
      <w:bookmarkEnd w:id="66"/>
      <w:bookmarkEnd w:id="67"/>
    </w:p>
    <w:p w14:paraId="246EF1F5">
      <w:pPr>
        <w:rPr>
          <w:rFonts w:hint="eastAsia"/>
          <w:color w:val="auto"/>
          <w:lang w:val="en-US" w:eastAsia="zh-CN"/>
        </w:rPr>
      </w:pPr>
      <w:r>
        <w:rPr>
          <w:rFonts w:hint="eastAsia"/>
          <w:color w:val="auto"/>
          <w:lang w:val="en-US" w:eastAsia="zh-CN"/>
        </w:rPr>
        <w:t>该项目所在地位于宜春市宜丰县G354国道西北侧，该项目周边环境良好，具备施工条件</w:t>
      </w:r>
      <w:r>
        <w:rPr>
          <w:rFonts w:hint="default"/>
          <w:color w:val="auto"/>
          <w:lang w:val="en-US" w:eastAsia="zh-CN"/>
        </w:rPr>
        <w:t>。</w:t>
      </w:r>
    </w:p>
    <w:p w14:paraId="46B5BB5F">
      <w:pPr>
        <w:ind w:left="0" w:leftChars="0" w:firstLine="0" w:firstLineChars="0"/>
        <w:jc w:val="center"/>
        <w:rPr>
          <w:rFonts w:ascii="Times New Roman" w:hAnsi="Times New Roman" w:eastAsia="宋体" w:cs="Times New Roman"/>
          <w:color w:val="auto"/>
        </w:rPr>
      </w:pPr>
      <w:r>
        <w:rPr>
          <w:color w:val="auto"/>
        </w:rPr>
        <w:drawing>
          <wp:inline distT="0" distB="0" distL="114300" distR="114300">
            <wp:extent cx="5039995" cy="2649855"/>
            <wp:effectExtent l="0" t="0" r="8255"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039995" cy="2649855"/>
                    </a:xfrm>
                    <a:prstGeom prst="rect">
                      <a:avLst/>
                    </a:prstGeom>
                    <a:noFill/>
                    <a:ln>
                      <a:noFill/>
                    </a:ln>
                  </pic:spPr>
                </pic:pic>
              </a:graphicData>
            </a:graphic>
          </wp:inline>
        </w:drawing>
      </w:r>
    </w:p>
    <w:p w14:paraId="50EDE634">
      <w:pPr>
        <w:ind w:left="0" w:lef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图2.3-1 </w:t>
      </w:r>
      <w:r>
        <w:rPr>
          <w:rFonts w:hint="default" w:ascii="Times New Roman" w:hAnsi="Times New Roman" w:eastAsia="宋体" w:cs="Times New Roman"/>
          <w:color w:val="auto"/>
          <w:lang w:val="en-US" w:eastAsia="zh-CN"/>
        </w:rPr>
        <w:t>施工地点位置示意图</w:t>
      </w:r>
    </w:p>
    <w:p w14:paraId="555E388D">
      <w:pPr>
        <w:pStyle w:val="3"/>
        <w:bidi w:val="0"/>
        <w:rPr>
          <w:rFonts w:hint="default"/>
          <w:color w:val="auto"/>
          <w:lang w:val="en-US" w:eastAsia="zh-CN"/>
        </w:rPr>
      </w:pPr>
      <w:bookmarkStart w:id="68" w:name="_Toc20887"/>
      <w:bookmarkStart w:id="69" w:name="_Toc30337"/>
      <w:r>
        <w:rPr>
          <w:rFonts w:hint="default"/>
          <w:color w:val="auto"/>
          <w:lang w:val="en-US" w:eastAsia="zh-CN"/>
        </w:rPr>
        <w:t>2.4</w:t>
      </w:r>
      <w:r>
        <w:rPr>
          <w:rFonts w:hint="eastAsia"/>
          <w:color w:val="auto"/>
          <w:lang w:val="en-US" w:eastAsia="zh-CN"/>
        </w:rPr>
        <w:t xml:space="preserve"> </w:t>
      </w:r>
      <w:r>
        <w:rPr>
          <w:rFonts w:hint="default"/>
          <w:color w:val="auto"/>
          <w:lang w:val="en-US" w:eastAsia="zh-CN"/>
        </w:rPr>
        <w:t>项目物料</w:t>
      </w:r>
      <w:bookmarkEnd w:id="68"/>
      <w:bookmarkEnd w:id="69"/>
    </w:p>
    <w:p w14:paraId="2A9B11A4">
      <w:pPr>
        <w:rPr>
          <w:rFonts w:hint="default"/>
          <w:color w:val="auto"/>
          <w:lang w:val="en-US" w:eastAsia="zh-CN"/>
        </w:rPr>
      </w:pPr>
      <w:r>
        <w:rPr>
          <w:rFonts w:hint="default"/>
          <w:color w:val="auto"/>
          <w:lang w:val="en-US" w:eastAsia="zh-CN"/>
        </w:rPr>
        <w:t>该项目主要物料为：钢筋、混凝土、沥青混凝土，钢筋由钢材供货商按照约定时间提前进场，混凝土及沥青混凝土根据施工计划当天订购商业砼及商业沥青混凝土，运输车辆由供货企业提供。</w:t>
      </w:r>
    </w:p>
    <w:p w14:paraId="12040AA3">
      <w:pPr>
        <w:pStyle w:val="3"/>
        <w:bidi w:val="0"/>
        <w:rPr>
          <w:rFonts w:hint="default"/>
          <w:color w:val="auto"/>
          <w:lang w:val="en-US" w:eastAsia="zh-CN"/>
        </w:rPr>
      </w:pPr>
      <w:bookmarkStart w:id="70" w:name="_Toc15510"/>
      <w:bookmarkStart w:id="71" w:name="_Toc7785"/>
      <w:r>
        <w:rPr>
          <w:rFonts w:hint="default"/>
          <w:color w:val="auto"/>
          <w:lang w:val="en-US" w:eastAsia="zh-CN"/>
        </w:rPr>
        <w:t>2.5</w:t>
      </w:r>
      <w:r>
        <w:rPr>
          <w:rFonts w:hint="eastAsia"/>
          <w:color w:val="auto"/>
          <w:lang w:val="en-US" w:eastAsia="zh-CN"/>
        </w:rPr>
        <w:t xml:space="preserve"> </w:t>
      </w:r>
      <w:r>
        <w:rPr>
          <w:rFonts w:hint="default"/>
          <w:color w:val="auto"/>
          <w:lang w:val="en-US" w:eastAsia="zh-CN"/>
        </w:rPr>
        <w:t>公用工程</w:t>
      </w:r>
      <w:bookmarkEnd w:id="70"/>
      <w:bookmarkEnd w:id="71"/>
    </w:p>
    <w:p w14:paraId="5BA6990E">
      <w:pPr>
        <w:pStyle w:val="4"/>
        <w:bidi w:val="0"/>
        <w:rPr>
          <w:rFonts w:hint="default"/>
          <w:color w:val="auto"/>
          <w:lang w:val="en-US" w:eastAsia="zh-CN"/>
        </w:rPr>
      </w:pPr>
      <w:bookmarkStart w:id="72" w:name="_Toc18223"/>
      <w:bookmarkStart w:id="73" w:name="_Toc5981"/>
      <w:r>
        <w:rPr>
          <w:rFonts w:hint="default"/>
          <w:color w:val="auto"/>
          <w:lang w:val="en-US" w:eastAsia="zh-CN"/>
        </w:rPr>
        <w:t>2.5.1</w:t>
      </w:r>
      <w:r>
        <w:rPr>
          <w:rFonts w:hint="eastAsia"/>
          <w:color w:val="auto"/>
          <w:lang w:val="en-US" w:eastAsia="zh-CN"/>
        </w:rPr>
        <w:t xml:space="preserve"> </w:t>
      </w:r>
      <w:r>
        <w:rPr>
          <w:rFonts w:hint="default"/>
          <w:color w:val="auto"/>
          <w:lang w:val="en-US" w:eastAsia="zh-CN"/>
        </w:rPr>
        <w:t>供电</w:t>
      </w:r>
      <w:bookmarkEnd w:id="72"/>
      <w:bookmarkEnd w:id="73"/>
    </w:p>
    <w:p w14:paraId="065C2845">
      <w:pPr>
        <w:rPr>
          <w:rFonts w:hint="default"/>
          <w:color w:val="auto"/>
          <w:lang w:val="en-US" w:eastAsia="zh-CN"/>
        </w:rPr>
      </w:pPr>
      <w:r>
        <w:rPr>
          <w:rFonts w:hint="default"/>
          <w:color w:val="auto"/>
          <w:lang w:val="en-US" w:eastAsia="zh-CN"/>
        </w:rPr>
        <w:t>该项目主要施工机械无需供电，外源用电设备主要为振动器、切割机、钢筋折弯机、夜间施工照明等，由柴油发电机供电。项目供电能满足用电需求。</w:t>
      </w:r>
    </w:p>
    <w:p w14:paraId="2E7F7224">
      <w:pPr>
        <w:pStyle w:val="4"/>
        <w:bidi w:val="0"/>
        <w:rPr>
          <w:rFonts w:hint="default"/>
          <w:color w:val="auto"/>
          <w:lang w:val="en-US" w:eastAsia="zh-CN"/>
        </w:rPr>
      </w:pPr>
      <w:bookmarkStart w:id="74" w:name="_Toc21915"/>
      <w:bookmarkStart w:id="75" w:name="_Toc16929"/>
      <w:r>
        <w:rPr>
          <w:rFonts w:hint="default"/>
          <w:color w:val="auto"/>
          <w:lang w:val="en-US" w:eastAsia="zh-CN"/>
        </w:rPr>
        <w:t>2.5.2</w:t>
      </w:r>
      <w:r>
        <w:rPr>
          <w:rFonts w:hint="eastAsia"/>
          <w:color w:val="auto"/>
          <w:lang w:val="en-US" w:eastAsia="zh-CN"/>
        </w:rPr>
        <w:t xml:space="preserve"> </w:t>
      </w:r>
      <w:r>
        <w:rPr>
          <w:rFonts w:hint="default"/>
          <w:color w:val="auto"/>
          <w:lang w:val="en-US" w:eastAsia="zh-CN"/>
        </w:rPr>
        <w:t>供水</w:t>
      </w:r>
      <w:bookmarkEnd w:id="74"/>
      <w:bookmarkEnd w:id="75"/>
    </w:p>
    <w:p w14:paraId="0C092DA6">
      <w:pPr>
        <w:rPr>
          <w:rFonts w:hint="default"/>
          <w:color w:val="auto"/>
          <w:lang w:val="en-US" w:eastAsia="zh-CN"/>
        </w:rPr>
      </w:pPr>
      <w:r>
        <w:rPr>
          <w:rFonts w:hint="default"/>
          <w:color w:val="auto"/>
          <w:lang w:val="en-US" w:eastAsia="zh-CN"/>
        </w:rPr>
        <w:t>该项目用水主要为混凝土保养用水，供水由洒水车辆提供。项目供水能满足用水需求。</w:t>
      </w:r>
    </w:p>
    <w:p w14:paraId="011AE414">
      <w:pPr>
        <w:pStyle w:val="3"/>
        <w:bidi w:val="0"/>
        <w:rPr>
          <w:rFonts w:hint="default"/>
          <w:color w:val="auto"/>
          <w:lang w:val="en-US" w:eastAsia="zh-CN"/>
        </w:rPr>
      </w:pPr>
      <w:bookmarkStart w:id="76" w:name="_Toc30842"/>
      <w:bookmarkStart w:id="77" w:name="_Toc11465"/>
      <w:r>
        <w:rPr>
          <w:rFonts w:hint="default"/>
          <w:color w:val="auto"/>
          <w:lang w:val="en-US" w:eastAsia="zh-CN"/>
        </w:rPr>
        <w:t>2.6</w:t>
      </w:r>
      <w:r>
        <w:rPr>
          <w:rFonts w:hint="eastAsia"/>
          <w:color w:val="auto"/>
          <w:lang w:val="en-US" w:eastAsia="zh-CN"/>
        </w:rPr>
        <w:t xml:space="preserve"> </w:t>
      </w:r>
      <w:r>
        <w:rPr>
          <w:rFonts w:hint="default"/>
          <w:color w:val="auto"/>
          <w:lang w:val="en-US" w:eastAsia="zh-CN"/>
        </w:rPr>
        <w:t>平面交叉道口施工</w:t>
      </w:r>
      <w:bookmarkEnd w:id="76"/>
      <w:bookmarkEnd w:id="77"/>
    </w:p>
    <w:p w14:paraId="7164C5D2">
      <w:pPr>
        <w:pStyle w:val="4"/>
        <w:bidi w:val="0"/>
        <w:rPr>
          <w:rFonts w:hint="eastAsia"/>
          <w:color w:val="auto"/>
          <w:lang w:val="en-US" w:eastAsia="zh-CN"/>
        </w:rPr>
      </w:pPr>
      <w:bookmarkStart w:id="78" w:name="_Toc14771"/>
      <w:bookmarkStart w:id="79" w:name="_Toc20468"/>
      <w:r>
        <w:rPr>
          <w:rFonts w:hint="eastAsia"/>
          <w:color w:val="auto"/>
          <w:lang w:val="en-US" w:eastAsia="zh-CN"/>
        </w:rPr>
        <w:t>2.6.1 施工方案</w:t>
      </w:r>
      <w:bookmarkEnd w:id="78"/>
      <w:bookmarkEnd w:id="79"/>
    </w:p>
    <w:p w14:paraId="35C838AF">
      <w:pPr>
        <w:rPr>
          <w:rFonts w:hint="default"/>
          <w:b/>
          <w:bCs/>
          <w:color w:val="auto"/>
          <w:lang w:val="en-US" w:eastAsia="zh-CN"/>
        </w:rPr>
      </w:pPr>
      <w:r>
        <w:rPr>
          <w:rFonts w:hint="default"/>
          <w:b/>
          <w:bCs/>
          <w:color w:val="auto"/>
          <w:lang w:val="en-US" w:eastAsia="zh-CN"/>
        </w:rPr>
        <w:t>一、施工准备</w:t>
      </w:r>
    </w:p>
    <w:p w14:paraId="2A2B3F25">
      <w:pPr>
        <w:rPr>
          <w:rFonts w:hint="default"/>
          <w:color w:val="auto"/>
          <w:lang w:val="en-US" w:eastAsia="zh-CN"/>
        </w:rPr>
      </w:pPr>
      <w:r>
        <w:rPr>
          <w:rFonts w:hint="default"/>
          <w:color w:val="auto"/>
          <w:lang w:val="en-US" w:eastAsia="zh-CN"/>
        </w:rPr>
        <w:t>施工准备工作内容包括技术、生产两方面，要求做到施工现场五通一平和五落实为此布置做好以下几个方面的工作</w:t>
      </w:r>
      <w:r>
        <w:rPr>
          <w:rFonts w:hint="eastAsia" w:ascii="Times New Roman" w:eastAsia="宋体"/>
          <w:color w:val="auto"/>
          <w:lang w:val="en-US" w:eastAsia="zh-CN"/>
        </w:rPr>
        <w:t>：</w:t>
      </w:r>
    </w:p>
    <w:p w14:paraId="47E6A2F3">
      <w:pPr>
        <w:rPr>
          <w:rFonts w:hint="default"/>
          <w:color w:val="auto"/>
          <w:lang w:val="en-US" w:eastAsia="zh-CN"/>
        </w:rPr>
      </w:pPr>
      <w:r>
        <w:rPr>
          <w:rFonts w:hint="default"/>
          <w:color w:val="auto"/>
          <w:lang w:val="en-US" w:eastAsia="zh-CN"/>
        </w:rPr>
        <w:t>（一）现场准备</w:t>
      </w:r>
    </w:p>
    <w:p w14:paraId="3DE74CC9">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按照施工现场实际情况，及时进场接通施工所需的水、电线路，建造必要的临时设施。</w:t>
      </w:r>
    </w:p>
    <w:p w14:paraId="47001A96">
      <w:pPr>
        <w:rPr>
          <w:rFonts w:hint="default"/>
          <w:color w:val="auto"/>
          <w:lang w:val="en-US" w:eastAsia="zh-CN"/>
        </w:rPr>
      </w:pPr>
      <w:r>
        <w:rPr>
          <w:rFonts w:hint="default"/>
          <w:color w:val="auto"/>
          <w:lang w:val="en-US" w:eastAsia="zh-CN"/>
        </w:rPr>
        <w:t>2</w:t>
      </w:r>
      <w:r>
        <w:rPr>
          <w:rFonts w:hint="eastAsia" w:ascii="Times New Roman" w:eastAsia="宋体"/>
          <w:color w:val="auto"/>
          <w:lang w:val="en-US" w:eastAsia="zh-CN"/>
        </w:rPr>
        <w:t xml:space="preserve">. </w:t>
      </w:r>
      <w:r>
        <w:rPr>
          <w:rFonts w:hint="default"/>
          <w:color w:val="auto"/>
          <w:lang w:val="en-US" w:eastAsia="zh-CN"/>
        </w:rPr>
        <w:t>对堆场进行硬化处理，对散体物料（如砂、石、石灰等）堆场四周砖砌墩作维护。</w:t>
      </w:r>
    </w:p>
    <w:p w14:paraId="0861FF71">
      <w:pPr>
        <w:rPr>
          <w:rFonts w:hint="default"/>
          <w:color w:val="auto"/>
          <w:lang w:val="en-US" w:eastAsia="zh-CN"/>
        </w:rPr>
      </w:pPr>
      <w:r>
        <w:rPr>
          <w:rFonts w:hint="default"/>
          <w:color w:val="auto"/>
          <w:lang w:val="en-US" w:eastAsia="zh-CN"/>
        </w:rPr>
        <w:t>3</w:t>
      </w:r>
      <w:r>
        <w:rPr>
          <w:rFonts w:hint="eastAsia" w:ascii="Times New Roman" w:eastAsia="宋体"/>
          <w:color w:val="auto"/>
          <w:lang w:val="en-US" w:eastAsia="zh-CN"/>
        </w:rPr>
        <w:t xml:space="preserve">. </w:t>
      </w:r>
      <w:r>
        <w:rPr>
          <w:rFonts w:hint="default"/>
          <w:color w:val="auto"/>
          <w:lang w:val="en-US" w:eastAsia="zh-CN"/>
        </w:rPr>
        <w:t>做好主要机械设备进场安装调试工作，并备足对进场的机械设备等经常性的维护保养所需的各种零部件。</w:t>
      </w:r>
    </w:p>
    <w:p w14:paraId="15E90B9D">
      <w:pPr>
        <w:rPr>
          <w:rFonts w:hint="default"/>
          <w:color w:val="auto"/>
          <w:lang w:val="en-US" w:eastAsia="zh-CN"/>
        </w:rPr>
      </w:pPr>
      <w:r>
        <w:rPr>
          <w:rFonts w:hint="default"/>
          <w:color w:val="auto"/>
          <w:lang w:val="en-US" w:eastAsia="zh-CN"/>
        </w:rPr>
        <w:t>4</w:t>
      </w:r>
      <w:r>
        <w:rPr>
          <w:rFonts w:hint="eastAsia" w:ascii="Times New Roman" w:eastAsia="宋体"/>
          <w:color w:val="auto"/>
          <w:lang w:val="en-US" w:eastAsia="zh-CN"/>
        </w:rPr>
        <w:t xml:space="preserve">. </w:t>
      </w:r>
      <w:r>
        <w:rPr>
          <w:rFonts w:hint="default"/>
          <w:color w:val="auto"/>
          <w:lang w:val="en-US" w:eastAsia="zh-CN"/>
        </w:rPr>
        <w:t>项目经理和项目材料负责人负责对工程的各项材料进行时常调查，货比三家，选择信誉好的材料供应商，确保材料质量合格、货源充足、按材料计划分批进场，以保证工程有条不紊地进行，根据建筑材料、周转材料、半成品需求量计划，组织其进场等工作，建筑材料进场后，应立即进行各项材料的试验、检验工作，合格后方可使用。</w:t>
      </w:r>
    </w:p>
    <w:p w14:paraId="6550EDF8">
      <w:pPr>
        <w:rPr>
          <w:rFonts w:hint="default"/>
          <w:color w:val="auto"/>
          <w:lang w:val="en-US" w:eastAsia="zh-CN"/>
        </w:rPr>
      </w:pPr>
      <w:r>
        <w:rPr>
          <w:rFonts w:hint="default"/>
          <w:color w:val="auto"/>
          <w:lang w:val="en-US" w:eastAsia="zh-CN"/>
        </w:rPr>
        <w:t>5</w:t>
      </w:r>
      <w:r>
        <w:rPr>
          <w:rFonts w:hint="eastAsia" w:ascii="Times New Roman" w:eastAsia="宋体"/>
          <w:color w:val="auto"/>
          <w:lang w:val="en-US" w:eastAsia="zh-CN"/>
        </w:rPr>
        <w:t xml:space="preserve">. </w:t>
      </w:r>
      <w:r>
        <w:rPr>
          <w:rFonts w:hint="default"/>
          <w:color w:val="auto"/>
          <w:lang w:val="en-US" w:eastAsia="zh-CN"/>
        </w:rPr>
        <w:t>紧紧围绕项目工期目标，以质量为中心，以交通导流为先导，以阶段目标为控制点，先地下后地上，抓住重点，把握难点进行施工组织。</w:t>
      </w:r>
    </w:p>
    <w:p w14:paraId="6D9AC7A8">
      <w:pPr>
        <w:rPr>
          <w:rFonts w:hint="default"/>
          <w:color w:val="auto"/>
          <w:lang w:val="en-US" w:eastAsia="zh-CN"/>
        </w:rPr>
      </w:pPr>
      <w:r>
        <w:rPr>
          <w:rFonts w:hint="default"/>
          <w:color w:val="auto"/>
          <w:lang w:val="en-US" w:eastAsia="zh-CN"/>
        </w:rPr>
        <w:t>（二）技术准备</w:t>
      </w:r>
    </w:p>
    <w:p w14:paraId="72AF1681">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工程开工，将立即派有关人员进驻现场，联系有关部门，将规定的永久性坐标基准点引入到场地内或附近的永久性不移动不下沉的物体上，并按照政府划定的施工段和设计图纸精确定位，建立施工用的高程控制点，并做好控制点、控制网的建立，及时做好控制点网复核签证工作，并向市政等有关部门了解场地内的电讯、排水、电缆、煤气等的埋藏情况，采取有效措施加以保护，制定各种保护、应对处理等技术措施。对各控制点、控制线、高程点等经有关部门复核后，将道路中心线定为控制线，并向外延伸设置控制基点，便于路面和人行道的线引测。确保满足开工要求。</w:t>
      </w:r>
    </w:p>
    <w:p w14:paraId="54ED8A13">
      <w:pPr>
        <w:rPr>
          <w:rFonts w:hint="default"/>
          <w:color w:val="auto"/>
          <w:lang w:val="en-US" w:eastAsia="zh-CN"/>
        </w:rPr>
      </w:pPr>
      <w:r>
        <w:rPr>
          <w:rFonts w:hint="default"/>
          <w:color w:val="auto"/>
          <w:lang w:val="en-US" w:eastAsia="zh-CN"/>
        </w:rPr>
        <w:t>2</w:t>
      </w:r>
      <w:r>
        <w:rPr>
          <w:rFonts w:hint="eastAsia" w:ascii="Times New Roman" w:eastAsia="宋体"/>
          <w:color w:val="auto"/>
          <w:lang w:val="en-US" w:eastAsia="zh-CN"/>
        </w:rPr>
        <w:t xml:space="preserve">. </w:t>
      </w:r>
      <w:r>
        <w:rPr>
          <w:rFonts w:hint="default"/>
          <w:color w:val="auto"/>
          <w:lang w:val="en-US" w:eastAsia="zh-CN"/>
        </w:rPr>
        <w:t>熟悉施工图纸，组织足够的力量进行施工图纸会审，及时对投标施工组织设计进行完善、补充、修改、整理，并报工程总监及业主审批。</w:t>
      </w:r>
    </w:p>
    <w:p w14:paraId="6CC3B41A">
      <w:pPr>
        <w:rPr>
          <w:rFonts w:hint="default"/>
          <w:color w:val="auto"/>
          <w:lang w:val="en-US" w:eastAsia="zh-CN"/>
        </w:rPr>
      </w:pPr>
      <w:r>
        <w:rPr>
          <w:rFonts w:hint="default"/>
          <w:color w:val="auto"/>
          <w:lang w:val="en-US" w:eastAsia="zh-CN"/>
        </w:rPr>
        <w:t>3</w:t>
      </w:r>
      <w:r>
        <w:rPr>
          <w:rFonts w:hint="eastAsia" w:ascii="Times New Roman" w:eastAsia="宋体"/>
          <w:color w:val="auto"/>
          <w:lang w:val="en-US" w:eastAsia="zh-CN"/>
        </w:rPr>
        <w:t xml:space="preserve">. </w:t>
      </w:r>
      <w:r>
        <w:rPr>
          <w:rFonts w:hint="default"/>
          <w:color w:val="auto"/>
          <w:lang w:val="en-US" w:eastAsia="zh-CN"/>
        </w:rPr>
        <w:t>编制工程质量控制细则，确定工程质量控制点，分解施工质量控制目标，建立施工质量保证体系，编制专业作业指导书，并对各班组长进行技术交底，做好三级质量、安全技术交底工作，减少和避免施工误差。</w:t>
      </w:r>
    </w:p>
    <w:p w14:paraId="0DBC474D">
      <w:pPr>
        <w:rPr>
          <w:rFonts w:hint="default"/>
          <w:color w:val="auto"/>
          <w:lang w:val="en-US" w:eastAsia="zh-CN"/>
        </w:rPr>
      </w:pPr>
      <w:r>
        <w:rPr>
          <w:rFonts w:hint="default"/>
          <w:color w:val="auto"/>
          <w:lang w:val="en-US" w:eastAsia="zh-CN"/>
        </w:rPr>
        <w:t>4</w:t>
      </w:r>
      <w:r>
        <w:rPr>
          <w:rFonts w:hint="eastAsia" w:ascii="Times New Roman" w:eastAsia="宋体"/>
          <w:color w:val="auto"/>
          <w:lang w:val="en-US" w:eastAsia="zh-CN"/>
        </w:rPr>
        <w:t xml:space="preserve">. </w:t>
      </w:r>
      <w:r>
        <w:rPr>
          <w:rFonts w:hint="default"/>
          <w:color w:val="auto"/>
          <w:lang w:val="en-US" w:eastAsia="zh-CN"/>
        </w:rPr>
        <w:t>为确保该工程合格，优先选派为公司创优基本班组进场施工。</w:t>
      </w:r>
    </w:p>
    <w:p w14:paraId="553D036C">
      <w:pPr>
        <w:rPr>
          <w:rFonts w:hint="default"/>
          <w:color w:val="auto"/>
          <w:lang w:val="en-US" w:eastAsia="zh-CN"/>
        </w:rPr>
      </w:pPr>
      <w:r>
        <w:rPr>
          <w:rFonts w:hint="default"/>
          <w:color w:val="auto"/>
          <w:lang w:val="en-US" w:eastAsia="zh-CN"/>
        </w:rPr>
        <w:t>5</w:t>
      </w:r>
      <w:r>
        <w:rPr>
          <w:rFonts w:hint="eastAsia" w:ascii="Times New Roman" w:eastAsia="宋体"/>
          <w:color w:val="auto"/>
          <w:lang w:val="en-US" w:eastAsia="zh-CN"/>
        </w:rPr>
        <w:t xml:space="preserve">. </w:t>
      </w:r>
      <w:r>
        <w:rPr>
          <w:rFonts w:hint="default"/>
          <w:color w:val="auto"/>
          <w:lang w:val="en-US" w:eastAsia="zh-CN"/>
        </w:rPr>
        <w:t>抓紧编制施工成本预算，落实资金使用计划。</w:t>
      </w:r>
    </w:p>
    <w:p w14:paraId="3B2D0BEB">
      <w:pPr>
        <w:rPr>
          <w:rFonts w:hint="default"/>
          <w:color w:val="auto"/>
          <w:lang w:val="en-US" w:eastAsia="zh-CN"/>
        </w:rPr>
      </w:pPr>
      <w:r>
        <w:rPr>
          <w:rFonts w:hint="default"/>
          <w:color w:val="auto"/>
          <w:lang w:val="en-US" w:eastAsia="zh-CN"/>
        </w:rPr>
        <w:t>6</w:t>
      </w:r>
      <w:r>
        <w:rPr>
          <w:rFonts w:hint="eastAsia" w:ascii="Times New Roman" w:eastAsia="宋体"/>
          <w:color w:val="auto"/>
          <w:lang w:val="en-US" w:eastAsia="zh-CN"/>
        </w:rPr>
        <w:t xml:space="preserve">. </w:t>
      </w:r>
      <w:r>
        <w:rPr>
          <w:rFonts w:hint="default"/>
          <w:color w:val="auto"/>
          <w:lang w:val="en-US" w:eastAsia="zh-CN"/>
        </w:rPr>
        <w:t>加强对工程以下重点部位的技术控制和质量及安全监督布置，并制定针对性的质量及安全控制措施。重点部位有：</w:t>
      </w:r>
    </w:p>
    <w:p w14:paraId="21EBA26C">
      <w:pPr>
        <w:rPr>
          <w:rFonts w:hint="default"/>
          <w:color w:val="auto"/>
          <w:lang w:val="en-US" w:eastAsia="zh-CN"/>
        </w:rPr>
      </w:pPr>
      <w:r>
        <w:rPr>
          <w:rFonts w:hint="default"/>
          <w:color w:val="auto"/>
          <w:lang w:val="en-US" w:eastAsia="zh-CN"/>
        </w:rPr>
        <w:t>测量放线、道路基层（石灰稳定土、路基弹性土处理）、道路面层、人行道基层、人行道面层、路牙石安装等，防止质量通病的发生。</w:t>
      </w:r>
    </w:p>
    <w:p w14:paraId="2230E7E5">
      <w:pPr>
        <w:rPr>
          <w:rFonts w:hint="default"/>
          <w:color w:val="auto"/>
          <w:lang w:val="en-US" w:eastAsia="zh-CN"/>
        </w:rPr>
      </w:pPr>
      <w:r>
        <w:rPr>
          <w:rFonts w:hint="default"/>
          <w:color w:val="auto"/>
          <w:lang w:val="en-US" w:eastAsia="zh-CN"/>
        </w:rPr>
        <w:t>7</w:t>
      </w:r>
      <w:r>
        <w:rPr>
          <w:rFonts w:hint="eastAsia" w:ascii="Times New Roman" w:eastAsia="宋体"/>
          <w:color w:val="auto"/>
          <w:lang w:val="en-US" w:eastAsia="zh-CN"/>
        </w:rPr>
        <w:t xml:space="preserve">. </w:t>
      </w:r>
      <w:r>
        <w:rPr>
          <w:rFonts w:hint="default"/>
          <w:color w:val="auto"/>
          <w:lang w:val="en-US" w:eastAsia="zh-CN"/>
        </w:rPr>
        <w:t>劳动力准备，按各施工阶段劳动力需要量计划，分阶段组织各工种工人进场，并安排好职工生活，同时做好职工进场的安全、质量、文明施工教育工作，进行岗前培训，各工种必须持证上岗。</w:t>
      </w:r>
    </w:p>
    <w:p w14:paraId="28A19369">
      <w:pPr>
        <w:rPr>
          <w:rFonts w:hint="default"/>
          <w:color w:val="auto"/>
          <w:lang w:val="en-US" w:eastAsia="zh-CN"/>
        </w:rPr>
      </w:pPr>
      <w:r>
        <w:rPr>
          <w:rFonts w:hint="default"/>
          <w:color w:val="auto"/>
          <w:lang w:val="en-US" w:eastAsia="zh-CN"/>
        </w:rPr>
        <w:t>8</w:t>
      </w:r>
      <w:r>
        <w:rPr>
          <w:rFonts w:hint="eastAsia" w:ascii="Times New Roman" w:eastAsia="宋体"/>
          <w:color w:val="auto"/>
          <w:lang w:val="en-US" w:eastAsia="zh-CN"/>
        </w:rPr>
        <w:t xml:space="preserve">. </w:t>
      </w:r>
      <w:r>
        <w:rPr>
          <w:rFonts w:hint="default"/>
          <w:color w:val="auto"/>
          <w:lang w:val="en-US" w:eastAsia="zh-CN"/>
        </w:rPr>
        <w:t>编制施工进度计划控制实施细则，分解工程进度控制目标，明确各自职责，确保工期。</w:t>
      </w:r>
    </w:p>
    <w:p w14:paraId="7E2AC198">
      <w:pPr>
        <w:rPr>
          <w:rFonts w:hint="default"/>
          <w:b/>
          <w:bCs/>
          <w:color w:val="auto"/>
          <w:lang w:val="en-US" w:eastAsia="zh-CN"/>
        </w:rPr>
      </w:pPr>
      <w:r>
        <w:rPr>
          <w:rFonts w:hint="default"/>
          <w:b/>
          <w:bCs/>
          <w:color w:val="auto"/>
          <w:lang w:val="en-US" w:eastAsia="zh-CN"/>
        </w:rPr>
        <w:t>二、主要施工工艺与技术措施</w:t>
      </w:r>
    </w:p>
    <w:p w14:paraId="3C207D9A">
      <w:pPr>
        <w:rPr>
          <w:rFonts w:hint="default"/>
          <w:color w:val="auto"/>
          <w:lang w:val="en-US" w:eastAsia="zh-CN"/>
        </w:rPr>
      </w:pPr>
      <w:r>
        <w:rPr>
          <w:rFonts w:hint="default"/>
          <w:color w:val="auto"/>
          <w:lang w:val="en-US" w:eastAsia="zh-CN"/>
        </w:rPr>
        <w:t>（一）施工测量</w:t>
      </w:r>
    </w:p>
    <w:p w14:paraId="60772C76">
      <w:pPr>
        <w:rPr>
          <w:rFonts w:hint="default"/>
          <w:color w:val="auto"/>
          <w:lang w:val="en-US" w:eastAsia="zh-CN"/>
        </w:rPr>
      </w:pPr>
      <w:r>
        <w:rPr>
          <w:rFonts w:hint="default"/>
          <w:color w:val="auto"/>
          <w:lang w:val="en-US" w:eastAsia="zh-CN"/>
        </w:rPr>
        <w:t>根据设计文件所要求的精度，对各线点进行复测。按施工要求加密控制点，并做出测量方案。对重要控制点进行加固保护。在雨季结束后进行复测。</w:t>
      </w:r>
    </w:p>
    <w:p w14:paraId="0840125A">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图纸审核</w:t>
      </w:r>
    </w:p>
    <w:p w14:paraId="1A3E0429">
      <w:pPr>
        <w:rPr>
          <w:rFonts w:hint="default"/>
          <w:color w:val="auto"/>
          <w:lang w:val="en-US" w:eastAsia="zh-CN"/>
        </w:rPr>
      </w:pPr>
      <w:r>
        <w:rPr>
          <w:rFonts w:hint="default"/>
          <w:color w:val="auto"/>
          <w:lang w:val="en-US" w:eastAsia="zh-CN"/>
        </w:rPr>
        <w:t>现场施工技术人员对图中大样尺寸进行校核，确保工程整体尺寸吻合无误，以便施工顺利进行，如有疑义直接同设计部门商洽。</w:t>
      </w:r>
    </w:p>
    <w:p w14:paraId="0696DB0A">
      <w:pPr>
        <w:rPr>
          <w:rFonts w:hint="default"/>
          <w:color w:val="auto"/>
          <w:lang w:val="en-US" w:eastAsia="zh-CN"/>
        </w:rPr>
      </w:pPr>
      <w:r>
        <w:rPr>
          <w:rFonts w:hint="eastAsia" w:ascii="Times New Roman" w:eastAsia="宋体"/>
          <w:color w:val="auto"/>
          <w:lang w:val="en-US" w:eastAsia="zh-CN"/>
        </w:rPr>
        <w:t xml:space="preserve">2. </w:t>
      </w:r>
      <w:r>
        <w:rPr>
          <w:rFonts w:hint="default"/>
          <w:color w:val="auto"/>
          <w:lang w:val="en-US" w:eastAsia="zh-CN"/>
        </w:rPr>
        <w:t>平面控制点</w:t>
      </w:r>
    </w:p>
    <w:p w14:paraId="7A80B5EC">
      <w:pPr>
        <w:rPr>
          <w:rFonts w:hint="default"/>
          <w:color w:val="auto"/>
          <w:lang w:val="en-US" w:eastAsia="zh-CN"/>
        </w:rPr>
      </w:pPr>
      <w:r>
        <w:rPr>
          <w:rFonts w:hint="default"/>
          <w:color w:val="auto"/>
          <w:lang w:val="en-US" w:eastAsia="zh-CN"/>
        </w:rPr>
        <w:t>为保证全线道路、管道、人行道的整体统一控制，拟定采用每边平均长20m设为一组控制点，点位要求在路两侧平行埋设，做到平面控制准确。</w:t>
      </w:r>
    </w:p>
    <w:p w14:paraId="2FE2F819">
      <w:pPr>
        <w:rPr>
          <w:rFonts w:hint="default"/>
          <w:color w:val="auto"/>
          <w:lang w:val="en-US" w:eastAsia="zh-CN"/>
        </w:rPr>
      </w:pPr>
      <w:r>
        <w:rPr>
          <w:rFonts w:hint="eastAsia" w:ascii="Times New Roman" w:eastAsia="宋体"/>
          <w:color w:val="auto"/>
          <w:lang w:val="en-US" w:eastAsia="zh-CN"/>
        </w:rPr>
        <w:t xml:space="preserve">3. </w:t>
      </w:r>
      <w:r>
        <w:rPr>
          <w:rFonts w:hint="default"/>
          <w:color w:val="auto"/>
          <w:lang w:val="en-US" w:eastAsia="zh-CN"/>
        </w:rPr>
        <w:t>高程控制点</w:t>
      </w:r>
    </w:p>
    <w:p w14:paraId="5004F7E9">
      <w:pPr>
        <w:rPr>
          <w:rFonts w:hint="default"/>
          <w:color w:val="auto"/>
          <w:lang w:val="en-US" w:eastAsia="zh-CN"/>
        </w:rPr>
      </w:pPr>
      <w:r>
        <w:rPr>
          <w:rFonts w:hint="default"/>
          <w:color w:val="auto"/>
          <w:lang w:val="en-US" w:eastAsia="zh-CN"/>
        </w:rPr>
        <w:t>在施工区线路两侧每隔10m均匀布设施工水准点控制高程。</w:t>
      </w:r>
    </w:p>
    <w:p w14:paraId="05AB0236">
      <w:pPr>
        <w:rPr>
          <w:rFonts w:hint="default"/>
          <w:color w:val="auto"/>
          <w:lang w:val="en-US" w:eastAsia="zh-CN"/>
        </w:rPr>
      </w:pPr>
      <w:r>
        <w:rPr>
          <w:rFonts w:hint="eastAsia" w:ascii="Times New Roman" w:eastAsia="宋体"/>
          <w:color w:val="auto"/>
          <w:lang w:val="en-US" w:eastAsia="zh-CN"/>
        </w:rPr>
        <w:t xml:space="preserve">4. </w:t>
      </w:r>
      <w:r>
        <w:rPr>
          <w:rFonts w:hint="default"/>
          <w:color w:val="auto"/>
          <w:lang w:val="en-US" w:eastAsia="zh-CN"/>
        </w:rPr>
        <w:t>施工测量放线的重点部位，放线工作自始至终随工程进程进行相应测放、验线，其中应特别注意道路及配套设施高程要符合设计要求，确保路面成型后无积水现象，雨污水管、沟杜绝返坡现象。</w:t>
      </w:r>
    </w:p>
    <w:p w14:paraId="7800E6B3">
      <w:pPr>
        <w:rPr>
          <w:rFonts w:hint="default"/>
          <w:color w:val="auto"/>
          <w:lang w:val="en-US" w:eastAsia="zh-CN"/>
        </w:rPr>
      </w:pPr>
      <w:r>
        <w:rPr>
          <w:rFonts w:hint="default"/>
          <w:color w:val="auto"/>
          <w:lang w:val="en-US" w:eastAsia="zh-CN"/>
        </w:rPr>
        <w:t>（二）排水工程</w:t>
      </w:r>
    </w:p>
    <w:p w14:paraId="0C094C98">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施工程序：测量放线→基槽开挖→测量定位→做垫层、管道基础、铺管、抹带接口、养护→井室砌筑→回填土。</w:t>
      </w:r>
    </w:p>
    <w:p w14:paraId="11E64C13">
      <w:pPr>
        <w:rPr>
          <w:rFonts w:hint="default"/>
          <w:color w:val="auto"/>
          <w:lang w:val="en-US" w:eastAsia="zh-CN"/>
        </w:rPr>
      </w:pPr>
      <w:r>
        <w:rPr>
          <w:rFonts w:hint="eastAsia" w:ascii="Times New Roman" w:eastAsia="宋体"/>
          <w:color w:val="auto"/>
          <w:lang w:val="en-US" w:eastAsia="zh-CN"/>
        </w:rPr>
        <w:t xml:space="preserve">2. </w:t>
      </w:r>
      <w:r>
        <w:rPr>
          <w:rFonts w:hint="default"/>
          <w:color w:val="auto"/>
          <w:lang w:val="en-US" w:eastAsia="zh-CN"/>
        </w:rPr>
        <w:t>施工方法</w:t>
      </w:r>
    </w:p>
    <w:p w14:paraId="68748E77">
      <w:pPr>
        <w:rPr>
          <w:rFonts w:hint="default"/>
          <w:color w:val="auto"/>
          <w:lang w:val="en-US" w:eastAsia="zh-CN"/>
        </w:rPr>
      </w:pPr>
      <w:r>
        <w:rPr>
          <w:rFonts w:hint="default"/>
          <w:color w:val="auto"/>
          <w:lang w:val="en-US" w:eastAsia="zh-CN"/>
        </w:rPr>
        <w:t>（1）明开槽施工</w:t>
      </w:r>
    </w:p>
    <w:p w14:paraId="76EC82DF">
      <w:pPr>
        <w:rPr>
          <w:rFonts w:hint="default"/>
          <w:color w:val="auto"/>
          <w:lang w:val="en-US" w:eastAsia="zh-CN"/>
        </w:rPr>
      </w:pPr>
      <w:r>
        <w:rPr>
          <w:rFonts w:hint="default"/>
          <w:color w:val="auto"/>
          <w:lang w:val="en-US" w:eastAsia="zh-CN"/>
        </w:rPr>
        <w:t>①挖槽：雨水管埋深根据土质情况适当放坡，在放出基槽开挖线后，使用机械开挖。挖槽时机械挖至距底面20cm时用人工清底，不得超挖，严禁扰动槽底原状土。</w:t>
      </w:r>
    </w:p>
    <w:p w14:paraId="41BCF88B">
      <w:pPr>
        <w:rPr>
          <w:rFonts w:hint="default"/>
          <w:color w:val="auto"/>
          <w:lang w:val="en-US" w:eastAsia="zh-CN"/>
        </w:rPr>
      </w:pPr>
      <w:r>
        <w:rPr>
          <w:rFonts w:hint="default"/>
          <w:color w:val="auto"/>
          <w:lang w:val="en-US" w:eastAsia="zh-CN"/>
        </w:rPr>
        <w:t>②测量定位：挖槽后进行高程和中线复核，并打出边桩，控制高程和中线，使管道位置正确。</w:t>
      </w:r>
    </w:p>
    <w:p w14:paraId="0F442617">
      <w:pPr>
        <w:rPr>
          <w:rFonts w:hint="default"/>
          <w:color w:val="auto"/>
          <w:lang w:val="en-US" w:eastAsia="zh-CN"/>
        </w:rPr>
      </w:pPr>
      <w:r>
        <w:rPr>
          <w:rFonts w:hint="default"/>
          <w:color w:val="auto"/>
          <w:lang w:val="en-US" w:eastAsia="zh-CN"/>
        </w:rPr>
        <w:t>（2）管道及检查井施工</w:t>
      </w:r>
    </w:p>
    <w:p w14:paraId="6AB5C316">
      <w:pPr>
        <w:rPr>
          <w:rFonts w:hint="default"/>
          <w:color w:val="auto"/>
          <w:lang w:val="en-US" w:eastAsia="zh-CN"/>
        </w:rPr>
      </w:pPr>
      <w:r>
        <w:rPr>
          <w:rFonts w:hint="default"/>
          <w:color w:val="auto"/>
          <w:lang w:val="en-US" w:eastAsia="zh-CN"/>
        </w:rPr>
        <w:t>①验槽合格后，应及时浇筑平基混凝土，严格控制平基顶面高程，不能高于或低于设计高程10mm，垫层混凝土终凝前不得水泡。</w:t>
      </w:r>
    </w:p>
    <w:p w14:paraId="12680DDE">
      <w:pPr>
        <w:rPr>
          <w:rFonts w:hint="default"/>
          <w:color w:val="auto"/>
          <w:lang w:val="en-US" w:eastAsia="zh-CN"/>
        </w:rPr>
      </w:pPr>
      <w:r>
        <w:rPr>
          <w:rFonts w:hint="default"/>
          <w:color w:val="auto"/>
          <w:lang w:val="en-US" w:eastAsia="zh-CN"/>
        </w:rPr>
        <w:t>②管道安装：管道安装前进行外观检查，发现管道存在裂缝、保护层脱落、空鼓、接口处掉灰等缺陷，不合格者严禁使用。垫层混凝土强度达到5Mpa以上时，方可进行管道安装。施工前在基础基面上弹线，以控制安管中心线。</w:t>
      </w:r>
    </w:p>
    <w:p w14:paraId="081F5D6E">
      <w:pPr>
        <w:rPr>
          <w:rFonts w:hint="default"/>
          <w:color w:val="auto"/>
          <w:lang w:val="en-US" w:eastAsia="zh-CN"/>
        </w:rPr>
      </w:pPr>
      <w:r>
        <w:rPr>
          <w:rFonts w:hint="default"/>
          <w:color w:val="auto"/>
          <w:lang w:val="en-US" w:eastAsia="zh-CN"/>
        </w:rPr>
        <w:t>③安管的对口间隙：管径＜700mm，可不留间隙。固定较大管道时，先进入管内检查对口，减少错口现象。管内底高程偏差在</w:t>
      </w:r>
      <w:r>
        <w:rPr>
          <w:rFonts w:hint="eastAsia" w:ascii="宋体" w:hAnsi="宋体" w:eastAsia="宋体" w:cs="宋体"/>
          <w:color w:val="auto"/>
          <w:lang w:val="en-US" w:eastAsia="zh-CN"/>
        </w:rPr>
        <w:t>±</w:t>
      </w:r>
      <w:r>
        <w:rPr>
          <w:rFonts w:hint="default"/>
          <w:color w:val="auto"/>
          <w:lang w:val="en-US" w:eastAsia="zh-CN"/>
        </w:rPr>
        <w:t>10mm内，中心偏差不超过10mm，相邻管内底错口不大于3mm。</w:t>
      </w:r>
    </w:p>
    <w:p w14:paraId="515B557B">
      <w:pPr>
        <w:rPr>
          <w:rFonts w:hint="default"/>
          <w:color w:val="auto"/>
          <w:lang w:val="en-US" w:eastAsia="zh-CN"/>
        </w:rPr>
      </w:pPr>
      <w:r>
        <w:rPr>
          <w:rFonts w:hint="default"/>
          <w:color w:val="auto"/>
          <w:lang w:val="en-US" w:eastAsia="zh-CN"/>
        </w:rPr>
        <w:t>④管座：浇筑前管壁需凿毛，并用水冲刷干净。选用同强度等级的砼，在两侧同时进行浇筑混凝土，防止将管子挤偏，较大管子浇筑时同时进行配合勾捻内缝，D＜700mm，用麻袋球在管内来回拖动，将流入管内的灰浆拉平。</w:t>
      </w:r>
    </w:p>
    <w:p w14:paraId="0166474D">
      <w:pPr>
        <w:rPr>
          <w:rFonts w:hint="default"/>
          <w:color w:val="auto"/>
          <w:lang w:val="en-US" w:eastAsia="zh-CN"/>
        </w:rPr>
      </w:pPr>
      <w:r>
        <w:rPr>
          <w:rFonts w:hint="default"/>
          <w:color w:val="auto"/>
          <w:lang w:val="en-US" w:eastAsia="zh-CN"/>
        </w:rPr>
        <w:t>⑤抹带接口：管道抹带前，管口处应凿毛并冲刷干净。企口管用膨胀水泥砂浆接口。</w:t>
      </w:r>
    </w:p>
    <w:p w14:paraId="097292D2">
      <w:pPr>
        <w:rPr>
          <w:rFonts w:hint="default"/>
          <w:color w:val="auto"/>
          <w:lang w:val="en-US" w:eastAsia="zh-CN"/>
        </w:rPr>
      </w:pPr>
      <w:r>
        <w:rPr>
          <w:rFonts w:hint="default"/>
          <w:color w:val="auto"/>
          <w:lang w:val="en-US" w:eastAsia="zh-CN"/>
        </w:rPr>
        <w:t>（3）检查井砌筑</w:t>
      </w:r>
    </w:p>
    <w:p w14:paraId="610BFDCA">
      <w:pPr>
        <w:rPr>
          <w:rFonts w:hint="default"/>
          <w:color w:val="auto"/>
          <w:lang w:val="en-US" w:eastAsia="zh-CN"/>
        </w:rPr>
      </w:pPr>
      <w:r>
        <w:rPr>
          <w:rFonts w:hint="default"/>
          <w:color w:val="auto"/>
          <w:lang w:val="en-US" w:eastAsia="zh-CN"/>
        </w:rPr>
        <w:t>①井底混凝土基础采用商品砼，井底基础混凝土强度达到5Mpa以上方可砌筑井壁。</w:t>
      </w:r>
    </w:p>
    <w:p w14:paraId="55632C0C">
      <w:pPr>
        <w:rPr>
          <w:rFonts w:hint="default"/>
          <w:color w:val="auto"/>
          <w:lang w:val="en-US" w:eastAsia="zh-CN"/>
        </w:rPr>
      </w:pPr>
      <w:r>
        <w:rPr>
          <w:rFonts w:hint="default"/>
          <w:color w:val="auto"/>
          <w:lang w:val="en-US" w:eastAsia="zh-CN"/>
        </w:rPr>
        <w:t>②流槽与井壁同时进行砌筑，流槽与上下游管道底部接顺，并应砌抹成与上下游管径相同的半圆弧形，表面用砂浆分层压实抹光。</w:t>
      </w:r>
    </w:p>
    <w:p w14:paraId="0C26A72F">
      <w:pPr>
        <w:rPr>
          <w:rFonts w:hint="default"/>
          <w:color w:val="auto"/>
          <w:lang w:val="en-US" w:eastAsia="zh-CN"/>
        </w:rPr>
      </w:pPr>
      <w:r>
        <w:rPr>
          <w:rFonts w:hint="default"/>
          <w:color w:val="auto"/>
          <w:lang w:val="en-US" w:eastAsia="zh-CN"/>
        </w:rPr>
        <w:t>③踏步和脚窝要随砌随安，在砌筑砂浆未达到规定强度前不得踩踏。</w:t>
      </w:r>
    </w:p>
    <w:p w14:paraId="565AADC2">
      <w:pPr>
        <w:rPr>
          <w:rFonts w:hint="default"/>
          <w:color w:val="auto"/>
          <w:lang w:val="en-US" w:eastAsia="zh-CN"/>
        </w:rPr>
      </w:pPr>
      <w:r>
        <w:rPr>
          <w:rFonts w:hint="default"/>
          <w:color w:val="auto"/>
          <w:lang w:val="en-US" w:eastAsia="zh-CN"/>
        </w:rPr>
        <w:t>④检查井接入较大直径管道时，管顶砌砖旋加固。</w:t>
      </w:r>
    </w:p>
    <w:p w14:paraId="21F8D75D">
      <w:pPr>
        <w:rPr>
          <w:rFonts w:hint="default"/>
          <w:color w:val="auto"/>
          <w:lang w:val="en-US" w:eastAsia="zh-CN"/>
        </w:rPr>
      </w:pPr>
      <w:r>
        <w:rPr>
          <w:rFonts w:hint="default"/>
          <w:color w:val="auto"/>
          <w:lang w:val="en-US" w:eastAsia="zh-CN"/>
        </w:rPr>
        <w:t>⑤井筒内壁抹灰要分层粉刷压实。</w:t>
      </w:r>
    </w:p>
    <w:p w14:paraId="560204AD">
      <w:pPr>
        <w:rPr>
          <w:rFonts w:hint="default"/>
          <w:color w:val="auto"/>
          <w:lang w:val="en-US" w:eastAsia="zh-CN"/>
        </w:rPr>
      </w:pPr>
      <w:r>
        <w:rPr>
          <w:rFonts w:hint="default"/>
          <w:color w:val="auto"/>
          <w:lang w:val="en-US" w:eastAsia="zh-CN"/>
        </w:rPr>
        <w:t>（4）回填土</w:t>
      </w:r>
    </w:p>
    <w:p w14:paraId="789F4263">
      <w:pPr>
        <w:rPr>
          <w:rFonts w:hint="default"/>
          <w:color w:val="auto"/>
          <w:lang w:val="en-US" w:eastAsia="zh-CN"/>
        </w:rPr>
      </w:pPr>
      <w:r>
        <w:rPr>
          <w:rFonts w:hint="default"/>
          <w:color w:val="auto"/>
          <w:lang w:val="en-US" w:eastAsia="zh-CN"/>
        </w:rPr>
        <w:t>在管座混凝土和抹带砂浆养护一定时间后，可进行回填土。回填土要求灰土质量应符合设计要求，胸腔及管顶50cm内使用蛙夯夯实，每层灰土虚铺厚度不大于15cm，回填时不得混入石块、碎砖头等杂物。</w:t>
      </w:r>
    </w:p>
    <w:p w14:paraId="0F7C79C6">
      <w:pPr>
        <w:rPr>
          <w:rFonts w:hint="default"/>
          <w:color w:val="auto"/>
          <w:lang w:val="en-US" w:eastAsia="zh-CN"/>
        </w:rPr>
      </w:pPr>
      <w:r>
        <w:rPr>
          <w:rFonts w:hint="default"/>
          <w:color w:val="auto"/>
          <w:lang w:val="en-US" w:eastAsia="zh-CN"/>
        </w:rPr>
        <w:t>（5）闭水试验：井室砌筑完成后，进行闭水试验。在管道两头砌筑管堵，等砂浆达到一定强度后，可灌水，浸泡24h之后观察渗水量。闭水试验应包括井室。闭水试验中进行外观检查，管道接口、井壁等处均不得有渗水现象。</w:t>
      </w:r>
    </w:p>
    <w:p w14:paraId="2C808ED7">
      <w:pPr>
        <w:rPr>
          <w:rFonts w:hint="default"/>
          <w:color w:val="auto"/>
          <w:lang w:val="en-US" w:eastAsia="zh-CN"/>
        </w:rPr>
      </w:pPr>
      <w:r>
        <w:rPr>
          <w:rFonts w:hint="default"/>
          <w:color w:val="auto"/>
          <w:lang w:val="en-US" w:eastAsia="zh-CN"/>
        </w:rPr>
        <w:t>（三）道路工程</w:t>
      </w:r>
    </w:p>
    <w:p w14:paraId="31E74544">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路基工程</w:t>
      </w:r>
    </w:p>
    <w:p w14:paraId="27D5E97C">
      <w:pPr>
        <w:rPr>
          <w:rFonts w:hint="default"/>
          <w:color w:val="auto"/>
          <w:lang w:val="en-US" w:eastAsia="zh-CN"/>
        </w:rPr>
      </w:pPr>
      <w:r>
        <w:rPr>
          <w:rFonts w:hint="default"/>
          <w:color w:val="auto"/>
          <w:lang w:val="en-US" w:eastAsia="zh-CN"/>
        </w:rPr>
        <w:t>（1）施工顺序：施工准备→场地清理→测量放线→路基挖、填方→路基压实→路基整型→施工验收。</w:t>
      </w:r>
    </w:p>
    <w:p w14:paraId="3B377ED8">
      <w:pPr>
        <w:rPr>
          <w:rFonts w:hint="default"/>
          <w:color w:val="auto"/>
          <w:lang w:val="en-US" w:eastAsia="zh-CN"/>
        </w:rPr>
      </w:pPr>
      <w:r>
        <w:rPr>
          <w:rFonts w:hint="default"/>
          <w:color w:val="auto"/>
          <w:lang w:val="en-US" w:eastAsia="zh-CN"/>
        </w:rPr>
        <w:t>（2）路基工程施工以机械施工为主，以人工配合作业为辅。</w:t>
      </w:r>
    </w:p>
    <w:p w14:paraId="34BC1E17">
      <w:pPr>
        <w:rPr>
          <w:rFonts w:hint="default"/>
          <w:color w:val="auto"/>
          <w:lang w:val="en-US" w:eastAsia="zh-CN"/>
        </w:rPr>
      </w:pPr>
      <w:r>
        <w:rPr>
          <w:rFonts w:hint="default"/>
          <w:color w:val="auto"/>
          <w:lang w:val="en-US" w:eastAsia="zh-CN"/>
        </w:rPr>
        <w:t>（3）首先进行场地清理，清理施工范围内的草皮、树木、树根、建筑垃圾等，以保证基底土的密实。</w:t>
      </w:r>
    </w:p>
    <w:p w14:paraId="1E3138B6">
      <w:pPr>
        <w:rPr>
          <w:rFonts w:hint="default"/>
          <w:color w:val="auto"/>
          <w:lang w:val="en-US" w:eastAsia="zh-CN"/>
        </w:rPr>
      </w:pPr>
      <w:r>
        <w:rPr>
          <w:rFonts w:hint="default"/>
          <w:color w:val="auto"/>
          <w:lang w:val="en-US" w:eastAsia="zh-CN"/>
        </w:rPr>
        <w:t>（4）进行路基复测并固定路线主要控制点，恢复移位的中桩；中线恢复后，马上进行纵横断面的水平测量，以复测现有地面高程，并确定图纸设计要求的高程。</w:t>
      </w:r>
    </w:p>
    <w:p w14:paraId="50F726BE">
      <w:pPr>
        <w:rPr>
          <w:rFonts w:hint="default"/>
          <w:color w:val="auto"/>
          <w:lang w:val="en-US" w:eastAsia="zh-CN"/>
        </w:rPr>
      </w:pPr>
      <w:r>
        <w:rPr>
          <w:rFonts w:hint="default"/>
          <w:color w:val="auto"/>
          <w:lang w:val="en-US" w:eastAsia="zh-CN"/>
        </w:rPr>
        <w:t>（5）路基放样：根据设计图纸要求，定出各条路线中桩的路基边缘、路基坡顶及坡脚等具体位置，以便定出路基的主要轮廓。</w:t>
      </w:r>
    </w:p>
    <w:p w14:paraId="0CB01E61">
      <w:pPr>
        <w:rPr>
          <w:rFonts w:hint="default"/>
          <w:color w:val="auto"/>
          <w:lang w:val="en-US" w:eastAsia="zh-CN"/>
        </w:rPr>
      </w:pPr>
      <w:r>
        <w:rPr>
          <w:rFonts w:hint="default"/>
          <w:color w:val="auto"/>
          <w:lang w:val="en-US" w:eastAsia="zh-CN"/>
        </w:rPr>
        <w:t>（6）路基挖方施工：施工时，把不符合要求的土料，用挖掘机挖装，自卸汽车运输的方法作业。由于挖深不是太大，均采用横向全宽挖掘方法施工。对弹性软土路基按图纸设计要求及时加以控制。</w:t>
      </w:r>
    </w:p>
    <w:p w14:paraId="02EB440A">
      <w:pPr>
        <w:rPr>
          <w:rFonts w:hint="default"/>
          <w:color w:val="auto"/>
          <w:lang w:val="en-US" w:eastAsia="zh-CN"/>
        </w:rPr>
      </w:pPr>
      <w:r>
        <w:rPr>
          <w:rFonts w:hint="default"/>
          <w:color w:val="auto"/>
          <w:lang w:val="en-US" w:eastAsia="zh-CN"/>
        </w:rPr>
        <w:t>①路基挖方施工流程</w:t>
      </w:r>
      <w:r>
        <w:rPr>
          <w:rFonts w:hint="default"/>
          <w:color w:val="auto"/>
          <w:lang w:val="en-US" w:eastAsia="zh-CN"/>
        </w:rPr>
        <w:tab/>
      </w:r>
    </w:p>
    <w:p w14:paraId="767770D1">
      <w:pPr>
        <w:rPr>
          <w:rFonts w:hint="default"/>
          <w:color w:val="auto"/>
          <w:lang w:val="en-US" w:eastAsia="zh-CN"/>
        </w:rPr>
      </w:pPr>
      <w:r>
        <w:rPr>
          <w:rFonts w:hint="default"/>
          <w:color w:val="auto"/>
          <w:lang w:val="en-US" w:eastAsia="zh-CN"/>
        </w:rPr>
        <w:t>施工准备、清理场地→施工放样、土工试验→断面测量、确定边坡开挖线和开挖深度→监理工程师复测→开挖到设计预留高程并纵向调运至指定位置→整形、检查、验收。</w:t>
      </w:r>
    </w:p>
    <w:p w14:paraId="4A8355D7">
      <w:pPr>
        <w:rPr>
          <w:rFonts w:hint="default"/>
          <w:color w:val="auto"/>
          <w:lang w:val="en-US" w:eastAsia="zh-CN"/>
        </w:rPr>
      </w:pPr>
      <w:r>
        <w:rPr>
          <w:rFonts w:hint="default"/>
          <w:color w:val="auto"/>
          <w:lang w:val="en-US" w:eastAsia="zh-CN"/>
        </w:rPr>
        <w:t>②路基开挖</w:t>
      </w:r>
    </w:p>
    <w:p w14:paraId="50F19DB4">
      <w:pPr>
        <w:rPr>
          <w:rFonts w:hint="default"/>
          <w:color w:val="auto"/>
          <w:lang w:val="en-US" w:eastAsia="zh-CN"/>
        </w:rPr>
      </w:pPr>
      <w:r>
        <w:rPr>
          <w:rFonts w:hint="default"/>
          <w:color w:val="auto"/>
          <w:lang w:val="en-US" w:eastAsia="zh-CN"/>
        </w:rPr>
        <w:t>路基开挖时注意不要超挖，路基挖好后应立即进行下一道工序施工。弃土应及时清运，不得乱堆放，以尽量减少对交通及周围环境的影响为原则，根据现场实际情况确定堆土位置，运土路线、机械转运路线等。</w:t>
      </w:r>
    </w:p>
    <w:p w14:paraId="26C07C46">
      <w:pPr>
        <w:rPr>
          <w:rFonts w:hint="default"/>
          <w:color w:val="auto"/>
          <w:lang w:val="en-US" w:eastAsia="zh-CN"/>
        </w:rPr>
      </w:pPr>
      <w:r>
        <w:rPr>
          <w:rFonts w:hint="default"/>
          <w:color w:val="auto"/>
          <w:lang w:val="en-US" w:eastAsia="zh-CN"/>
        </w:rPr>
        <w:t>③路基碾压、整平</w:t>
      </w:r>
    </w:p>
    <w:p w14:paraId="0A5EB816">
      <w:pPr>
        <w:rPr>
          <w:rFonts w:hint="default"/>
          <w:color w:val="auto"/>
          <w:lang w:val="en-US" w:eastAsia="zh-CN"/>
        </w:rPr>
      </w:pPr>
      <w:r>
        <w:rPr>
          <w:rFonts w:hint="default"/>
          <w:color w:val="auto"/>
          <w:lang w:val="en-US" w:eastAsia="zh-CN"/>
        </w:rPr>
        <w:t>路床采用压路机压实，用环刀法检测其密实度。挖方路基压实度标准应符合设计要求。路基面整修应结合挖最后一层土时进行，其路基允许偏差应符合有关规定。</w:t>
      </w:r>
    </w:p>
    <w:p w14:paraId="0459395E">
      <w:pPr>
        <w:rPr>
          <w:rFonts w:hint="default"/>
          <w:color w:val="auto"/>
          <w:lang w:val="en-US" w:eastAsia="zh-CN"/>
        </w:rPr>
      </w:pPr>
      <w:r>
        <w:rPr>
          <w:rFonts w:hint="default"/>
          <w:color w:val="auto"/>
          <w:lang w:val="en-US" w:eastAsia="zh-CN"/>
        </w:rPr>
        <w:t>（</w:t>
      </w:r>
      <w:r>
        <w:rPr>
          <w:rFonts w:hint="eastAsia" w:ascii="Times New Roman" w:eastAsia="宋体"/>
          <w:color w:val="auto"/>
          <w:lang w:val="en-US" w:eastAsia="zh-CN"/>
        </w:rPr>
        <w:t>7</w:t>
      </w:r>
      <w:r>
        <w:rPr>
          <w:rFonts w:hint="default"/>
          <w:color w:val="auto"/>
          <w:lang w:val="en-US" w:eastAsia="zh-CN"/>
        </w:rPr>
        <w:t>）石灰稳定土施工</w:t>
      </w:r>
    </w:p>
    <w:p w14:paraId="06DD9EB4">
      <w:pPr>
        <w:rPr>
          <w:rFonts w:hint="default"/>
          <w:color w:val="auto"/>
          <w:lang w:val="en-US" w:eastAsia="zh-CN"/>
        </w:rPr>
      </w:pPr>
      <w:r>
        <w:rPr>
          <w:rFonts w:hint="default"/>
          <w:color w:val="auto"/>
          <w:lang w:val="en-US" w:eastAsia="zh-CN"/>
        </w:rPr>
        <w:t>在路基开挖或填筑至设计高程以后，按设计图纸施工石灰稳定土，待雨水管完工后进行。</w:t>
      </w:r>
    </w:p>
    <w:p w14:paraId="0412BB51">
      <w:pPr>
        <w:rPr>
          <w:rFonts w:hint="default"/>
          <w:color w:val="auto"/>
          <w:lang w:val="en-US" w:eastAsia="zh-CN"/>
        </w:rPr>
      </w:pPr>
      <w:r>
        <w:rPr>
          <w:rFonts w:hint="default"/>
          <w:color w:val="auto"/>
          <w:lang w:val="en-US" w:eastAsia="zh-CN"/>
        </w:rPr>
        <w:t>①配灰：施工前，先在整平的路基面上，将机动车道纵向分成2条，形成50m</w:t>
      </w:r>
      <w:r>
        <w:rPr>
          <w:rFonts w:hint="default"/>
          <w:color w:val="auto"/>
          <w:vertAlign w:val="superscript"/>
          <w:lang w:val="en-US" w:eastAsia="zh-CN"/>
        </w:rPr>
        <w:t>2</w:t>
      </w:r>
      <w:r>
        <w:rPr>
          <w:rFonts w:hint="default"/>
          <w:color w:val="auto"/>
          <w:lang w:val="en-US" w:eastAsia="zh-CN"/>
        </w:rPr>
        <w:t>的方格，在每一个方格内均匀撒布符合设计要求的消解石灰。</w:t>
      </w:r>
    </w:p>
    <w:p w14:paraId="220A13CE">
      <w:pPr>
        <w:rPr>
          <w:rFonts w:hint="default"/>
          <w:color w:val="auto"/>
          <w:lang w:val="en-US" w:eastAsia="zh-CN"/>
        </w:rPr>
      </w:pPr>
      <w:r>
        <w:rPr>
          <w:rFonts w:hint="default"/>
          <w:color w:val="auto"/>
          <w:lang w:val="en-US" w:eastAsia="zh-CN"/>
        </w:rPr>
        <w:t>②撒布：石灰进场后，要进行含钙量测定，要求其达到</w:t>
      </w:r>
      <w:r>
        <w:rPr>
          <w:rFonts w:hint="eastAsia" w:ascii="宋体" w:hAnsi="宋体" w:eastAsia="宋体" w:cs="宋体"/>
          <w:color w:val="auto"/>
          <w:lang w:val="en-US" w:eastAsia="zh-CN"/>
        </w:rPr>
        <w:t>Ⅲ</w:t>
      </w:r>
      <w:r>
        <w:rPr>
          <w:rFonts w:hint="default"/>
          <w:color w:val="auto"/>
          <w:lang w:val="en-US" w:eastAsia="zh-CN"/>
        </w:rPr>
        <w:t>级灰技术指标。提前3～5d用水充分消解，装载机上灰，自卸汽车运输至施工路段。人工撒布时，必须带好风镜，穿好防护衣裤，防止石灰对人体皮肤的灼伤，要注意风向，尽量少扬尘，撒布均匀。</w:t>
      </w:r>
    </w:p>
    <w:p w14:paraId="312919ED">
      <w:pPr>
        <w:rPr>
          <w:rFonts w:hint="default"/>
          <w:color w:val="auto"/>
          <w:lang w:val="en-US" w:eastAsia="zh-CN"/>
        </w:rPr>
      </w:pPr>
      <w:r>
        <w:rPr>
          <w:rFonts w:hint="default"/>
          <w:color w:val="auto"/>
          <w:lang w:val="en-US" w:eastAsia="zh-CN"/>
        </w:rPr>
        <w:t>③拌和找平：路拌施工时，15cm厚一次翻拌，带旋转犁的拖拉机作业行驶以纵向分条翻打，第一条和第二条之间间隔0.8～1.0m，然后翻拌中间带。作业时，应注意掌握下犁深度，保证达到要求厚度，但亦要防止翻松太深，致使含灰量相对降低及底部碾压不实。犁拌遍数以土颗粒大小和灰土混合均匀达到标准为止，后用平地机配合人工按路拱找平。</w:t>
      </w:r>
    </w:p>
    <w:p w14:paraId="039A58E6">
      <w:pPr>
        <w:rPr>
          <w:rFonts w:hint="default"/>
          <w:color w:val="auto"/>
          <w:lang w:val="en-US" w:eastAsia="zh-CN"/>
        </w:rPr>
      </w:pPr>
      <w:r>
        <w:rPr>
          <w:rFonts w:hint="default"/>
          <w:color w:val="auto"/>
          <w:lang w:val="en-US" w:eastAsia="zh-CN"/>
        </w:rPr>
        <w:t>④碾压和施工缝处理：碾压以</w:t>
      </w:r>
      <w:r>
        <w:rPr>
          <w:rFonts w:hint="eastAsia" w:ascii="Times New Roman" w:eastAsia="宋体"/>
          <w:color w:val="auto"/>
          <w:lang w:val="en-US" w:eastAsia="zh-CN"/>
        </w:rPr>
        <w:t>“</w:t>
      </w:r>
      <w:r>
        <w:rPr>
          <w:rFonts w:hint="default"/>
          <w:color w:val="auto"/>
          <w:lang w:val="en-US" w:eastAsia="zh-CN"/>
        </w:rPr>
        <w:t>先轻后重</w:t>
      </w:r>
      <w:r>
        <w:rPr>
          <w:rFonts w:hint="eastAsia" w:ascii="Times New Roman" w:eastAsia="宋体"/>
          <w:color w:val="auto"/>
          <w:lang w:val="en-US" w:eastAsia="zh-CN"/>
        </w:rPr>
        <w:t>”</w:t>
      </w:r>
      <w:r>
        <w:rPr>
          <w:rFonts w:hint="default"/>
          <w:color w:val="auto"/>
          <w:lang w:val="en-US" w:eastAsia="zh-CN"/>
        </w:rPr>
        <w:t>为原则，先用轻碾稳压，然后用18～21T光轮压路机碾压成活，碾压遍数为4～6遍，且压实度不小于98%。施工缝采用对接法，前一段留1m不进行碾压，在后一段施工时一起进行碾压。</w:t>
      </w:r>
    </w:p>
    <w:p w14:paraId="61DFB188">
      <w:pPr>
        <w:rPr>
          <w:rFonts w:hint="default"/>
          <w:color w:val="auto"/>
          <w:lang w:val="en-US" w:eastAsia="zh-CN"/>
        </w:rPr>
      </w:pPr>
      <w:r>
        <w:rPr>
          <w:rFonts w:hint="default"/>
          <w:color w:val="auto"/>
          <w:lang w:val="en-US" w:eastAsia="zh-CN"/>
        </w:rPr>
        <w:t>⑤养护：改良土碾压成活后，采用洒水车洒水养护，继续保持湿润7d以上。</w:t>
      </w:r>
    </w:p>
    <w:p w14:paraId="70997F02">
      <w:pPr>
        <w:rPr>
          <w:rFonts w:hint="default"/>
          <w:color w:val="auto"/>
          <w:lang w:val="en-US" w:eastAsia="zh-CN"/>
        </w:rPr>
      </w:pPr>
      <w:r>
        <w:rPr>
          <w:rFonts w:hint="default"/>
          <w:color w:val="auto"/>
          <w:lang w:val="en-US" w:eastAsia="zh-CN"/>
        </w:rPr>
        <w:t>（</w:t>
      </w:r>
      <w:r>
        <w:rPr>
          <w:rFonts w:hint="eastAsia" w:ascii="Times New Roman" w:eastAsia="宋体"/>
          <w:color w:val="auto"/>
          <w:lang w:val="en-US" w:eastAsia="zh-CN"/>
        </w:rPr>
        <w:t>8</w:t>
      </w:r>
      <w:r>
        <w:rPr>
          <w:rFonts w:hint="default"/>
          <w:color w:val="auto"/>
          <w:lang w:val="en-US" w:eastAsia="zh-CN"/>
        </w:rPr>
        <w:t>）弹性软土路基</w:t>
      </w:r>
    </w:p>
    <w:p w14:paraId="7BB7A068">
      <w:pPr>
        <w:rPr>
          <w:rFonts w:hint="default"/>
          <w:color w:val="auto"/>
          <w:lang w:val="en-US" w:eastAsia="zh-CN"/>
        </w:rPr>
      </w:pPr>
      <w:r>
        <w:rPr>
          <w:rFonts w:hint="default"/>
          <w:color w:val="auto"/>
          <w:lang w:val="en-US" w:eastAsia="zh-CN"/>
        </w:rPr>
        <w:t>按设计图纸要求，采用灰土进行回填压实，待雨水管完工后进行。拌合时应严格图纸设计要求进行，摊铺厚度要均匀进行人工找平，确保压实厚度达到设计要求。</w:t>
      </w:r>
    </w:p>
    <w:p w14:paraId="59B3B57C">
      <w:pPr>
        <w:bidi w:val="0"/>
        <w:rPr>
          <w:rFonts w:hint="default"/>
          <w:color w:val="auto"/>
          <w:lang w:val="en-US" w:eastAsia="zh-CN"/>
        </w:rPr>
      </w:pPr>
      <w:r>
        <w:rPr>
          <w:rFonts w:hint="eastAsia" w:ascii="Times New Roman" w:eastAsia="宋体"/>
          <w:color w:val="auto"/>
          <w:lang w:val="en-US" w:eastAsia="zh-CN"/>
        </w:rPr>
        <w:t>2. 沥青</w:t>
      </w:r>
      <w:r>
        <w:rPr>
          <w:rFonts w:hint="default"/>
          <w:color w:val="auto"/>
          <w:lang w:val="en-US" w:eastAsia="zh-CN"/>
        </w:rPr>
        <w:t>混凝土路面施工</w:t>
      </w:r>
    </w:p>
    <w:p w14:paraId="6120A00C">
      <w:pPr>
        <w:bidi w:val="0"/>
        <w:rPr>
          <w:rFonts w:hint="default"/>
          <w:color w:val="auto"/>
          <w:lang w:val="en-US" w:eastAsia="zh-CN"/>
        </w:rPr>
      </w:pPr>
      <w:r>
        <w:rPr>
          <w:rFonts w:hint="default"/>
          <w:color w:val="auto"/>
          <w:lang w:val="en-US" w:eastAsia="zh-CN"/>
        </w:rPr>
        <w:t>（1）沥青混合料的摊铺</w:t>
      </w:r>
    </w:p>
    <w:p w14:paraId="608C7CD0">
      <w:pPr>
        <w:bidi w:val="0"/>
        <w:rPr>
          <w:rFonts w:hint="default"/>
          <w:color w:val="auto"/>
          <w:lang w:val="en-US" w:eastAsia="zh-CN"/>
        </w:rPr>
      </w:pPr>
      <w:r>
        <w:rPr>
          <w:rFonts w:hint="default"/>
          <w:color w:val="auto"/>
          <w:lang w:val="en-US" w:eastAsia="zh-CN"/>
        </w:rPr>
        <w:t>①摊铺前必须将工作面清扫干净，必要时用水冲</w:t>
      </w:r>
      <w:r>
        <w:rPr>
          <w:rFonts w:hint="eastAsia" w:ascii="Times New Roman" w:eastAsia="宋体"/>
          <w:color w:val="auto"/>
          <w:lang w:val="en-US" w:eastAsia="zh-CN"/>
        </w:rPr>
        <w:t>，</w:t>
      </w:r>
      <w:r>
        <w:rPr>
          <w:rFonts w:hint="default"/>
          <w:color w:val="auto"/>
          <w:lang w:val="en-US" w:eastAsia="zh-CN"/>
        </w:rPr>
        <w:t>必须晒干后才能进行摊铺作业</w:t>
      </w:r>
      <w:r>
        <w:rPr>
          <w:rFonts w:hint="eastAsia" w:ascii="Times New Roman" w:eastAsia="宋体"/>
          <w:color w:val="auto"/>
          <w:lang w:val="en-US" w:eastAsia="zh-CN"/>
        </w:rPr>
        <w:t>。</w:t>
      </w:r>
    </w:p>
    <w:p w14:paraId="24137B27">
      <w:pPr>
        <w:bidi w:val="0"/>
        <w:rPr>
          <w:rFonts w:hint="default"/>
          <w:color w:val="auto"/>
          <w:lang w:val="en-US" w:eastAsia="zh-CN"/>
        </w:rPr>
      </w:pPr>
      <w:r>
        <w:rPr>
          <w:rFonts w:hint="default"/>
          <w:color w:val="auto"/>
          <w:lang w:val="en-US" w:eastAsia="zh-CN"/>
        </w:rPr>
        <w:t>②摊铺机就位后，垫上一定厚度的20～30cm的木板</w:t>
      </w:r>
      <w:r>
        <w:rPr>
          <w:rFonts w:hint="eastAsia" w:ascii="Times New Roman" w:eastAsia="宋体"/>
          <w:color w:val="auto"/>
          <w:lang w:val="en-US" w:eastAsia="zh-CN"/>
        </w:rPr>
        <w:t>，</w:t>
      </w:r>
      <w:r>
        <w:rPr>
          <w:rFonts w:hint="default"/>
          <w:color w:val="auto"/>
          <w:lang w:val="en-US" w:eastAsia="zh-CN"/>
        </w:rPr>
        <w:t>放下熨平板预热至不低于100℃并安装自动找平的传感器，选择摊铺速度将摊铺机调整到最佳状态，使铺面均匀一致，不得出现离析现象。</w:t>
      </w:r>
    </w:p>
    <w:p w14:paraId="5CDE5A02">
      <w:pPr>
        <w:bidi w:val="0"/>
        <w:rPr>
          <w:rFonts w:hint="default"/>
          <w:color w:val="auto"/>
          <w:lang w:val="en-US" w:eastAsia="zh-CN"/>
        </w:rPr>
      </w:pPr>
      <w:r>
        <w:rPr>
          <w:rFonts w:hint="default"/>
          <w:color w:val="auto"/>
          <w:lang w:val="en-US" w:eastAsia="zh-CN"/>
        </w:rPr>
        <w:t>③专人收料，指挥倒料，并保证不撞摊铺机。摊铺机的摊铺速度调节至与供料、压实速度相平衡，保证连续不断的均衡摊铺</w:t>
      </w:r>
      <w:r>
        <w:rPr>
          <w:rFonts w:hint="eastAsia" w:ascii="Times New Roman" w:eastAsia="宋体"/>
          <w:color w:val="auto"/>
          <w:lang w:val="en-US" w:eastAsia="zh-CN"/>
        </w:rPr>
        <w:t>，</w:t>
      </w:r>
      <w:r>
        <w:rPr>
          <w:rFonts w:hint="default"/>
          <w:color w:val="auto"/>
          <w:lang w:val="en-US" w:eastAsia="zh-CN"/>
        </w:rPr>
        <w:t>中间不停顿。</w:t>
      </w:r>
    </w:p>
    <w:p w14:paraId="2E5A3B60">
      <w:pPr>
        <w:bidi w:val="0"/>
        <w:rPr>
          <w:rFonts w:hint="default"/>
          <w:color w:val="auto"/>
          <w:lang w:val="en-US" w:eastAsia="zh-CN"/>
        </w:rPr>
      </w:pPr>
      <w:r>
        <w:rPr>
          <w:rFonts w:hint="default"/>
          <w:color w:val="auto"/>
          <w:lang w:val="en-US" w:eastAsia="zh-CN"/>
        </w:rPr>
        <w:t>④沥青混合料摊铺温度不低于160℃，混合料温度在卡车卸料到摊铺机上时测量，当温度高于190℃时坚决废弃。</w:t>
      </w:r>
    </w:p>
    <w:p w14:paraId="56EFE592">
      <w:pPr>
        <w:bidi w:val="0"/>
        <w:rPr>
          <w:rFonts w:hint="default"/>
          <w:color w:val="auto"/>
          <w:lang w:val="en-US" w:eastAsia="zh-CN"/>
        </w:rPr>
      </w:pPr>
      <w:r>
        <w:rPr>
          <w:rFonts w:hint="default"/>
          <w:color w:val="auto"/>
          <w:lang w:val="en-US" w:eastAsia="zh-CN"/>
        </w:rPr>
        <w:t>⑤连续稳定的摊铺。摊铺机的摊铺速度应根据拌合机的产量、施工机械配套情况及摊铺厚度、摊铺速度按2～3m/mim的范围内予以调整选择，做到缓慢、均匀、不间断的摊铺。尽量做到每天收工停机一次。</w:t>
      </w:r>
    </w:p>
    <w:p w14:paraId="03F799B9">
      <w:pPr>
        <w:bidi w:val="0"/>
        <w:rPr>
          <w:rFonts w:hint="default"/>
          <w:color w:val="auto"/>
          <w:lang w:val="en-US" w:eastAsia="zh-CN"/>
        </w:rPr>
      </w:pPr>
      <w:r>
        <w:rPr>
          <w:rFonts w:hint="eastAsia" w:ascii="Times New Roman" w:eastAsia="宋体"/>
          <w:color w:val="auto"/>
          <w:lang w:val="en-US" w:eastAsia="zh-CN"/>
        </w:rPr>
        <w:t>⑥</w:t>
      </w:r>
      <w:r>
        <w:rPr>
          <w:rFonts w:hint="default"/>
          <w:color w:val="auto"/>
          <w:lang w:val="en-US" w:eastAsia="zh-CN"/>
        </w:rPr>
        <w:t>混合料未压实前，施工人员不得进入踩踏。一般不用人工修整。</w:t>
      </w:r>
    </w:p>
    <w:p w14:paraId="7BB207E5">
      <w:pPr>
        <w:bidi w:val="0"/>
        <w:rPr>
          <w:rFonts w:hint="default"/>
          <w:color w:val="auto"/>
          <w:lang w:val="en-US" w:eastAsia="zh-CN"/>
        </w:rPr>
      </w:pPr>
      <w:r>
        <w:rPr>
          <w:rFonts w:hint="eastAsia" w:ascii="Times New Roman" w:eastAsia="宋体"/>
          <w:color w:val="auto"/>
          <w:lang w:val="en-US" w:eastAsia="zh-CN"/>
        </w:rPr>
        <w:t>⑦</w:t>
      </w:r>
      <w:r>
        <w:rPr>
          <w:rFonts w:hint="default"/>
          <w:color w:val="auto"/>
          <w:lang w:val="en-US" w:eastAsia="zh-CN"/>
        </w:rPr>
        <w:t>摊铺遇雨时，立即停止施工，并清除未压实成型的混合料。遭雨淋的混合料应废弃，不得卸入摊铺机摊铺。</w:t>
      </w:r>
    </w:p>
    <w:p w14:paraId="69BB9DBB">
      <w:pPr>
        <w:bidi w:val="0"/>
        <w:rPr>
          <w:rFonts w:hint="default"/>
          <w:color w:val="auto"/>
          <w:lang w:val="en-US" w:eastAsia="zh-CN"/>
        </w:rPr>
      </w:pPr>
      <w:r>
        <w:rPr>
          <w:rFonts w:hint="eastAsia" w:ascii="Times New Roman" w:eastAsia="宋体"/>
          <w:color w:val="auto"/>
          <w:lang w:val="en-US" w:eastAsia="zh-CN"/>
        </w:rPr>
        <w:t>⑧</w:t>
      </w:r>
      <w:r>
        <w:rPr>
          <w:rFonts w:hint="default"/>
          <w:color w:val="auto"/>
          <w:lang w:val="en-US" w:eastAsia="zh-CN"/>
        </w:rPr>
        <w:t>沥青路面的松铺系数根据试铺段确定，摊铺过程中随时检查摊铺层厚度及路拱、横坡。摊铺过程中随时检查摊铺层厚度，达不到要求时,立刻进行调整。</w:t>
      </w:r>
    </w:p>
    <w:p w14:paraId="75B0DEA3">
      <w:pPr>
        <w:bidi w:val="0"/>
        <w:rPr>
          <w:rFonts w:hint="default"/>
          <w:color w:val="auto"/>
          <w:lang w:val="en-US" w:eastAsia="zh-CN"/>
        </w:rPr>
      </w:pPr>
      <w:r>
        <w:rPr>
          <w:rFonts w:hint="eastAsia" w:ascii="Times New Roman" w:eastAsia="宋体"/>
          <w:color w:val="auto"/>
          <w:lang w:val="en-US" w:eastAsia="zh-CN"/>
        </w:rPr>
        <w:t>（2）</w:t>
      </w:r>
      <w:r>
        <w:rPr>
          <w:rFonts w:hint="default"/>
          <w:color w:val="auto"/>
          <w:lang w:val="en-US" w:eastAsia="zh-CN"/>
        </w:rPr>
        <w:t>沥青混合料的压实成型</w:t>
      </w:r>
    </w:p>
    <w:p w14:paraId="6F1649D3">
      <w:pPr>
        <w:bidi w:val="0"/>
        <w:rPr>
          <w:rFonts w:hint="default"/>
          <w:color w:val="auto"/>
          <w:lang w:val="en-US" w:eastAsia="zh-CN"/>
        </w:rPr>
      </w:pPr>
      <w:r>
        <w:rPr>
          <w:rFonts w:hint="default"/>
          <w:color w:val="auto"/>
          <w:lang w:val="en-US" w:eastAsia="zh-CN"/>
        </w:rPr>
        <w:t>①沥青混合料应在摊铺后立即压实。沥青混合料的压实是保证沥青面层质量的重要环节，应选择合理的压路机组合方式及碾压步骤。</w:t>
      </w:r>
    </w:p>
    <w:p w14:paraId="43D2EC09">
      <w:pPr>
        <w:bidi w:val="0"/>
        <w:rPr>
          <w:rFonts w:hint="default"/>
          <w:color w:val="auto"/>
          <w:lang w:val="en-US" w:eastAsia="zh-CN"/>
        </w:rPr>
      </w:pPr>
      <w:r>
        <w:rPr>
          <w:rFonts w:hint="default"/>
          <w:color w:val="auto"/>
          <w:lang w:val="en-US" w:eastAsia="zh-CN"/>
        </w:rPr>
        <w:t>②为保证压实度和平整度，初压在混合料不产生推移、发裂等情况下尽量在摊铺后较高温度下进行。一旦温度降低，便极难碾压密实，而如果反复多次碾压又会形成光面，既不美观、又影响行车安全，同时压实度还很难达到要求。</w:t>
      </w:r>
    </w:p>
    <w:p w14:paraId="2F14994A">
      <w:pPr>
        <w:bidi w:val="0"/>
        <w:rPr>
          <w:rFonts w:hint="default"/>
          <w:color w:val="auto"/>
          <w:lang w:val="en-US" w:eastAsia="zh-CN"/>
        </w:rPr>
      </w:pPr>
      <w:r>
        <w:rPr>
          <w:rFonts w:hint="default"/>
          <w:color w:val="auto"/>
          <w:lang w:val="en-US" w:eastAsia="zh-CN"/>
        </w:rPr>
        <w:t>③混合料的压实按初压、复压、和终压三阶段进行，压路机以不大于5km/</w:t>
      </w:r>
      <w:r>
        <w:rPr>
          <w:rFonts w:hint="eastAsia" w:ascii="Times New Roman" w:eastAsia="宋体"/>
          <w:color w:val="auto"/>
          <w:lang w:val="en-US" w:eastAsia="zh-CN"/>
        </w:rPr>
        <w:t>h</w:t>
      </w:r>
      <w:r>
        <w:rPr>
          <w:rFonts w:hint="default"/>
          <w:color w:val="auto"/>
          <w:lang w:val="en-US" w:eastAsia="zh-CN"/>
        </w:rPr>
        <w:t>的速度进行均匀的碾压。初压用10T或10T以上钢轮压路机紧随摊铺机碾压，静压遍数为1～2遍，并保持较短的初压区长度，以尽快使表面压实，减少热量散失，初压后应检查平整度、路拱</w:t>
      </w:r>
      <w:r>
        <w:rPr>
          <w:rFonts w:hint="eastAsia" w:ascii="Times New Roman" w:eastAsia="宋体"/>
          <w:color w:val="auto"/>
          <w:lang w:val="en-US" w:eastAsia="zh-CN"/>
        </w:rPr>
        <w:t>，</w:t>
      </w:r>
      <w:r>
        <w:rPr>
          <w:rFonts w:hint="default"/>
          <w:color w:val="auto"/>
          <w:lang w:val="en-US" w:eastAsia="zh-CN"/>
        </w:rPr>
        <w:t>有严重缺陷时进行修整乃至返工</w:t>
      </w:r>
      <w:r>
        <w:rPr>
          <w:rFonts w:hint="eastAsia" w:ascii="Times New Roman" w:eastAsia="宋体"/>
          <w:color w:val="auto"/>
          <w:lang w:val="en-US" w:eastAsia="zh-CN"/>
        </w:rPr>
        <w:t>；</w:t>
      </w:r>
      <w:r>
        <w:rPr>
          <w:rFonts w:hint="default"/>
          <w:color w:val="auto"/>
          <w:lang w:val="en-US" w:eastAsia="zh-CN"/>
        </w:rPr>
        <w:t>复压在初压完成后紧接着进行并不得随意停止</w:t>
      </w:r>
      <w:r>
        <w:rPr>
          <w:rFonts w:hint="eastAsia" w:ascii="Times New Roman" w:eastAsia="宋体"/>
          <w:color w:val="auto"/>
          <w:lang w:val="en-US" w:eastAsia="zh-CN"/>
        </w:rPr>
        <w:t>，</w:t>
      </w:r>
      <w:r>
        <w:rPr>
          <w:rFonts w:hint="default"/>
          <w:color w:val="auto"/>
          <w:lang w:val="en-US" w:eastAsia="zh-CN"/>
        </w:rPr>
        <w:t>用总质量不小于25</w:t>
      </w:r>
      <w:r>
        <w:rPr>
          <w:rFonts w:hint="eastAsia" w:ascii="Times New Roman" w:eastAsia="宋体"/>
          <w:color w:val="auto"/>
          <w:lang w:val="en-US" w:eastAsia="zh-CN"/>
        </w:rPr>
        <w:t>t</w:t>
      </w:r>
      <w:r>
        <w:rPr>
          <w:rFonts w:hint="default"/>
          <w:color w:val="auto"/>
          <w:lang w:val="en-US" w:eastAsia="zh-CN"/>
        </w:rPr>
        <w:t>轮胎压路机碾压</w:t>
      </w:r>
      <w:r>
        <w:rPr>
          <w:rFonts w:hint="eastAsia"/>
          <w:color w:val="auto"/>
          <w:lang w:val="en-US" w:eastAsia="zh-CN"/>
        </w:rPr>
        <w:t>，</w:t>
      </w:r>
      <w:r>
        <w:rPr>
          <w:rFonts w:hint="default"/>
          <w:color w:val="auto"/>
          <w:lang w:val="en-US" w:eastAsia="zh-CN"/>
        </w:rPr>
        <w:t>压路机碾压段的总长度应尽量缩短，一般不超过60～80m。终压用较宽的钢轮压路机碾压。压路机的碾压遍数及组合方式依据试铺段确定。</w:t>
      </w:r>
    </w:p>
    <w:p w14:paraId="71064546">
      <w:pPr>
        <w:bidi w:val="0"/>
        <w:rPr>
          <w:rFonts w:hint="default"/>
          <w:color w:val="auto"/>
          <w:lang w:val="en-US" w:eastAsia="zh-CN"/>
        </w:rPr>
      </w:pPr>
      <w:r>
        <w:rPr>
          <w:rFonts w:hint="default"/>
          <w:color w:val="auto"/>
          <w:lang w:val="en-US" w:eastAsia="zh-CN"/>
        </w:rPr>
        <w:t>④现场混合料压实度不小于实测最大理论密度的93%，不得大于97%，空隙率在3~6%之间，采用钻孔法及核子密度仪检测密度。</w:t>
      </w:r>
    </w:p>
    <w:p w14:paraId="00A122D6">
      <w:pPr>
        <w:bidi w:val="0"/>
        <w:rPr>
          <w:rFonts w:hint="default"/>
          <w:color w:val="auto"/>
          <w:lang w:val="en-US" w:eastAsia="zh-CN"/>
        </w:rPr>
      </w:pPr>
      <w:r>
        <w:rPr>
          <w:rFonts w:hint="default"/>
          <w:color w:val="auto"/>
          <w:lang w:val="en-US" w:eastAsia="zh-CN"/>
        </w:rPr>
        <w:t>⑤为避免碾压时混合料推挤产生拥包，碾压时应将驱动轮朝向摊铺机；碾压路线及方向不应突然改变；压路机起动、停止必须减速缓行。对压路机无法压实的死角、边缘、接头等，采用小型振动压路机或手扶振动夯趁热压实。压路机折回不应处在同一横断面上。</w:t>
      </w:r>
    </w:p>
    <w:p w14:paraId="324FC294">
      <w:pPr>
        <w:bidi w:val="0"/>
        <w:rPr>
          <w:rFonts w:hint="default"/>
          <w:color w:val="auto"/>
          <w:lang w:val="en-US" w:eastAsia="zh-CN"/>
        </w:rPr>
      </w:pPr>
      <w:r>
        <w:rPr>
          <w:rFonts w:hint="eastAsia" w:ascii="Times New Roman" w:eastAsia="宋体"/>
          <w:color w:val="auto"/>
          <w:lang w:val="en-US" w:eastAsia="zh-CN"/>
        </w:rPr>
        <w:t>⑥</w:t>
      </w:r>
      <w:r>
        <w:rPr>
          <w:rFonts w:hint="default"/>
          <w:color w:val="auto"/>
          <w:lang w:val="en-US" w:eastAsia="zh-CN"/>
        </w:rPr>
        <w:t>为了防止混合料粘轮，可在钢轮表面均匀洒水使轮子保持潮湿，水中掺少量的清洗剂或其它隔离剂材料，不得掺加柴油、机油。要防止过量洒水引起混合料温度的骤降。</w:t>
      </w:r>
    </w:p>
    <w:p w14:paraId="65E2225E">
      <w:pPr>
        <w:bidi w:val="0"/>
        <w:rPr>
          <w:rFonts w:hint="default"/>
          <w:color w:val="auto"/>
          <w:lang w:val="en-US" w:eastAsia="zh-CN"/>
        </w:rPr>
      </w:pPr>
      <w:r>
        <w:rPr>
          <w:rFonts w:hint="eastAsia" w:ascii="Times New Roman" w:eastAsia="宋体"/>
          <w:color w:val="auto"/>
          <w:lang w:val="en-US" w:eastAsia="zh-CN"/>
        </w:rPr>
        <w:t>⑦</w:t>
      </w:r>
      <w:r>
        <w:rPr>
          <w:rFonts w:hint="default"/>
          <w:color w:val="auto"/>
          <w:lang w:val="en-US" w:eastAsia="zh-CN"/>
        </w:rPr>
        <w:t>在当天碾压的尚未冷却的沥青砼层面上，不得停放压路机或其他车辆，并防止矿料、油料和杂物散落在沥青层面上。</w:t>
      </w:r>
    </w:p>
    <w:p w14:paraId="0B831DF8">
      <w:pPr>
        <w:bidi w:val="0"/>
        <w:rPr>
          <w:rFonts w:hint="default"/>
          <w:color w:val="auto"/>
          <w:lang w:val="en-US" w:eastAsia="zh-CN"/>
        </w:rPr>
      </w:pPr>
      <w:r>
        <w:rPr>
          <w:rFonts w:hint="eastAsia" w:ascii="Times New Roman" w:eastAsia="宋体"/>
          <w:color w:val="auto"/>
          <w:lang w:val="en-US" w:eastAsia="zh-CN"/>
        </w:rPr>
        <w:t>⑧</w:t>
      </w:r>
      <w:r>
        <w:rPr>
          <w:rFonts w:hint="default"/>
          <w:color w:val="auto"/>
          <w:lang w:val="en-US" w:eastAsia="zh-CN"/>
        </w:rPr>
        <w:t>初压严禁使用轮胎压路机，以确保面层横向平整度。复压的后期采用钢轮或胶轮压路机进行碾压</w:t>
      </w:r>
      <w:r>
        <w:rPr>
          <w:rFonts w:hint="eastAsia" w:ascii="Times New Roman" w:eastAsia="宋体"/>
          <w:color w:val="auto"/>
          <w:lang w:val="en-US" w:eastAsia="zh-CN"/>
        </w:rPr>
        <w:t>，</w:t>
      </w:r>
      <w:r>
        <w:rPr>
          <w:rFonts w:hint="default"/>
          <w:color w:val="auto"/>
          <w:lang w:val="en-US" w:eastAsia="zh-CN"/>
        </w:rPr>
        <w:t>但遍数不易太多。碾压采用套压的方式，按</w:t>
      </w:r>
      <w:r>
        <w:rPr>
          <w:rFonts w:hint="eastAsia" w:ascii="Times New Roman" w:eastAsia="宋体"/>
          <w:color w:val="auto"/>
          <w:lang w:val="en-US" w:eastAsia="zh-CN"/>
        </w:rPr>
        <w:t>“</w:t>
      </w:r>
      <w:r>
        <w:rPr>
          <w:rFonts w:hint="default"/>
          <w:color w:val="auto"/>
          <w:lang w:val="en-US" w:eastAsia="zh-CN"/>
        </w:rPr>
        <w:t>紧跟、均匀</w:t>
      </w:r>
      <w:r>
        <w:rPr>
          <w:rFonts w:hint="eastAsia" w:ascii="Times New Roman" w:eastAsia="宋体"/>
          <w:color w:val="auto"/>
          <w:lang w:val="en-US" w:eastAsia="zh-CN"/>
        </w:rPr>
        <w:t>”</w:t>
      </w:r>
      <w:r>
        <w:rPr>
          <w:rFonts w:hint="default"/>
          <w:color w:val="auto"/>
          <w:lang w:val="en-US" w:eastAsia="zh-CN"/>
        </w:rPr>
        <w:t>的原则进行</w:t>
      </w:r>
      <w:r>
        <w:rPr>
          <w:rFonts w:hint="eastAsia" w:ascii="Times New Roman" w:eastAsia="宋体"/>
          <w:color w:val="auto"/>
          <w:lang w:val="en-US" w:eastAsia="zh-CN"/>
        </w:rPr>
        <w:t>，</w:t>
      </w:r>
      <w:r>
        <w:rPr>
          <w:rFonts w:hint="default"/>
          <w:color w:val="auto"/>
          <w:lang w:val="en-US" w:eastAsia="zh-CN"/>
        </w:rPr>
        <w:t>对松铺厚度、碾压顺序、碾压遍数、碾压速度及碾压温度应设专岗检查。</w:t>
      </w:r>
    </w:p>
    <w:p w14:paraId="4FF6EC3E">
      <w:pPr>
        <w:bidi w:val="0"/>
        <w:rPr>
          <w:rFonts w:hint="default"/>
          <w:color w:val="auto"/>
          <w:lang w:val="en-US" w:eastAsia="zh-CN"/>
        </w:rPr>
      </w:pPr>
      <w:r>
        <w:rPr>
          <w:rFonts w:hint="eastAsia" w:ascii="宋体" w:hAnsi="宋体" w:eastAsia="宋体" w:cs="宋体"/>
          <w:color w:val="auto"/>
          <w:lang w:val="en-US" w:eastAsia="zh-CN"/>
        </w:rPr>
        <w:t>⑨</w:t>
      </w:r>
      <w:r>
        <w:rPr>
          <w:rFonts w:hint="default"/>
          <w:color w:val="auto"/>
          <w:lang w:val="en-US" w:eastAsia="zh-CN"/>
        </w:rPr>
        <w:t>压实完成12</w:t>
      </w:r>
      <w:r>
        <w:rPr>
          <w:rFonts w:hint="eastAsia" w:ascii="Times New Roman" w:eastAsia="宋体"/>
          <w:color w:val="auto"/>
          <w:lang w:val="en-US" w:eastAsia="zh-CN"/>
        </w:rPr>
        <w:t>h</w:t>
      </w:r>
      <w:r>
        <w:rPr>
          <w:rFonts w:hint="default"/>
          <w:color w:val="auto"/>
          <w:lang w:val="en-US" w:eastAsia="zh-CN"/>
        </w:rPr>
        <w:t>后</w:t>
      </w:r>
      <w:r>
        <w:rPr>
          <w:rFonts w:hint="eastAsia" w:ascii="Times New Roman" w:eastAsia="宋体"/>
          <w:color w:val="auto"/>
          <w:lang w:val="en-US" w:eastAsia="zh-CN"/>
        </w:rPr>
        <w:t>，</w:t>
      </w:r>
      <w:r>
        <w:rPr>
          <w:rFonts w:hint="default"/>
          <w:color w:val="auto"/>
          <w:lang w:val="en-US" w:eastAsia="zh-CN"/>
        </w:rPr>
        <w:t>方能允许施工车辆通行。</w:t>
      </w:r>
    </w:p>
    <w:p w14:paraId="6418E970">
      <w:pPr>
        <w:pStyle w:val="4"/>
        <w:bidi w:val="0"/>
        <w:rPr>
          <w:rFonts w:hint="default"/>
          <w:color w:val="auto"/>
          <w:lang w:val="en-US" w:eastAsia="zh-CN"/>
        </w:rPr>
      </w:pPr>
      <w:bookmarkStart w:id="80" w:name="_Toc28846"/>
      <w:bookmarkStart w:id="81" w:name="_Toc24029"/>
      <w:r>
        <w:rPr>
          <w:rFonts w:hint="eastAsia"/>
          <w:color w:val="auto"/>
          <w:lang w:val="en-US" w:eastAsia="zh-CN"/>
        </w:rPr>
        <w:t xml:space="preserve">2.6.2 </w:t>
      </w:r>
      <w:r>
        <w:rPr>
          <w:rFonts w:hint="default"/>
          <w:color w:val="auto"/>
          <w:lang w:val="en-US" w:eastAsia="zh-CN"/>
        </w:rPr>
        <w:t>施工交通安全管理</w:t>
      </w:r>
      <w:bookmarkEnd w:id="80"/>
      <w:bookmarkEnd w:id="81"/>
    </w:p>
    <w:p w14:paraId="42D2E7B7">
      <w:pPr>
        <w:rPr>
          <w:rFonts w:hint="default"/>
          <w:color w:val="auto"/>
          <w:lang w:val="en-US" w:eastAsia="zh-CN"/>
        </w:rPr>
      </w:pPr>
      <w:r>
        <w:rPr>
          <w:rFonts w:hint="default"/>
          <w:color w:val="auto"/>
          <w:lang w:val="en-US" w:eastAsia="zh-CN"/>
        </w:rPr>
        <w:t>1</w:t>
      </w:r>
      <w:r>
        <w:rPr>
          <w:rFonts w:hint="eastAsia" w:ascii="Times New Roman" w:eastAsia="宋体"/>
          <w:color w:val="auto"/>
          <w:lang w:val="en-US" w:eastAsia="zh-CN"/>
        </w:rPr>
        <w:t xml:space="preserve">. </w:t>
      </w:r>
      <w:r>
        <w:rPr>
          <w:rFonts w:hint="default"/>
          <w:color w:val="auto"/>
          <w:lang w:val="en-US" w:eastAsia="zh-CN"/>
        </w:rPr>
        <w:t>优化施工方案，精心设计、精心施工。施工方案、工艺必须经过专家论证可行，使用的机具必须经过权威部门检验标定合格，使用材料必须经过试验后可用。</w:t>
      </w:r>
    </w:p>
    <w:p w14:paraId="37890494">
      <w:pPr>
        <w:rPr>
          <w:rFonts w:hint="default"/>
          <w:color w:val="auto"/>
          <w:lang w:val="en-US" w:eastAsia="zh-CN"/>
        </w:rPr>
      </w:pPr>
      <w:r>
        <w:rPr>
          <w:rFonts w:hint="default"/>
          <w:color w:val="auto"/>
          <w:lang w:val="en-US" w:eastAsia="zh-CN"/>
        </w:rPr>
        <w:t>2</w:t>
      </w:r>
      <w:r>
        <w:rPr>
          <w:rFonts w:hint="eastAsia" w:ascii="Times New Roman" w:eastAsia="宋体"/>
          <w:color w:val="auto"/>
          <w:lang w:val="en-US" w:eastAsia="zh-CN"/>
        </w:rPr>
        <w:t xml:space="preserve">. </w:t>
      </w:r>
      <w:r>
        <w:rPr>
          <w:rFonts w:hint="default"/>
          <w:color w:val="auto"/>
          <w:lang w:val="en-US" w:eastAsia="zh-CN"/>
        </w:rPr>
        <w:t>建立健全安全保证体系，全面落实岗位责任制。施工作业人员严格实行上岗前安全培训。提高全员安全责任意识进行安全技术交底。</w:t>
      </w:r>
    </w:p>
    <w:p w14:paraId="7FD6F146">
      <w:pPr>
        <w:rPr>
          <w:rFonts w:hint="default"/>
          <w:color w:val="auto"/>
          <w:lang w:val="en-US" w:eastAsia="zh-CN"/>
        </w:rPr>
      </w:pPr>
      <w:r>
        <w:rPr>
          <w:rFonts w:hint="default"/>
          <w:color w:val="auto"/>
          <w:lang w:val="en-US" w:eastAsia="zh-CN"/>
        </w:rPr>
        <w:t>3</w:t>
      </w:r>
      <w:r>
        <w:rPr>
          <w:rFonts w:hint="eastAsia" w:ascii="Times New Roman" w:eastAsia="宋体"/>
          <w:color w:val="auto"/>
          <w:lang w:val="en-US" w:eastAsia="zh-CN"/>
        </w:rPr>
        <w:t xml:space="preserve">. </w:t>
      </w:r>
      <w:r>
        <w:rPr>
          <w:rFonts w:hint="default"/>
          <w:color w:val="auto"/>
          <w:lang w:val="en-US" w:eastAsia="zh-CN"/>
        </w:rPr>
        <w:t>严格操作规范和施工技术规范严格劳动纪律，做到责任明确、令行禁止。</w:t>
      </w:r>
    </w:p>
    <w:p w14:paraId="74871839">
      <w:pPr>
        <w:rPr>
          <w:rFonts w:hint="default"/>
          <w:color w:val="auto"/>
          <w:lang w:val="en-US" w:eastAsia="zh-CN"/>
        </w:rPr>
      </w:pPr>
      <w:r>
        <w:rPr>
          <w:rFonts w:hint="default"/>
          <w:color w:val="auto"/>
          <w:lang w:val="en-US" w:eastAsia="zh-CN"/>
        </w:rPr>
        <w:t>4</w:t>
      </w:r>
      <w:r>
        <w:rPr>
          <w:rFonts w:hint="eastAsia" w:ascii="Times New Roman" w:eastAsia="宋体"/>
          <w:color w:val="auto"/>
          <w:lang w:val="en-US" w:eastAsia="zh-CN"/>
        </w:rPr>
        <w:t xml:space="preserve">. </w:t>
      </w:r>
      <w:r>
        <w:rPr>
          <w:rFonts w:hint="default"/>
          <w:color w:val="auto"/>
          <w:lang w:val="en-US" w:eastAsia="zh-CN"/>
        </w:rPr>
        <w:t>建立应急预警制。主动与当地路政管理部门和交警建立联系制度，及时掌握交通信息。并签订相关责任制度，明确相关各方面职责，如发生紧急情况时，交通管理有关人员能够在最短时间出现在施工现场。以保证交通安全畅通，保证工程的顺利实施。</w:t>
      </w:r>
    </w:p>
    <w:p w14:paraId="0CA06E63">
      <w:pPr>
        <w:rPr>
          <w:rFonts w:hint="default"/>
          <w:color w:val="auto"/>
          <w:lang w:val="en-US" w:eastAsia="zh-CN"/>
        </w:rPr>
      </w:pPr>
      <w:r>
        <w:rPr>
          <w:rFonts w:hint="default"/>
          <w:color w:val="auto"/>
          <w:lang w:val="en-US" w:eastAsia="zh-CN"/>
        </w:rPr>
        <w:t>5</w:t>
      </w:r>
      <w:r>
        <w:rPr>
          <w:rFonts w:hint="eastAsia" w:ascii="Times New Roman" w:eastAsia="宋体"/>
          <w:color w:val="auto"/>
          <w:lang w:val="en-US" w:eastAsia="zh-CN"/>
        </w:rPr>
        <w:t xml:space="preserve">. </w:t>
      </w:r>
      <w:r>
        <w:rPr>
          <w:rFonts w:hint="default"/>
          <w:color w:val="auto"/>
          <w:lang w:val="en-US" w:eastAsia="zh-CN"/>
        </w:rPr>
        <w:t>施工现场应设专职交通协管员，负责维护现场交通秩序。</w:t>
      </w:r>
    </w:p>
    <w:p w14:paraId="13700664">
      <w:pPr>
        <w:rPr>
          <w:rFonts w:hint="default"/>
          <w:color w:val="auto"/>
          <w:lang w:val="en-US" w:eastAsia="zh-CN"/>
        </w:rPr>
      </w:pPr>
      <w:r>
        <w:rPr>
          <w:rFonts w:hint="default"/>
          <w:color w:val="auto"/>
          <w:lang w:val="en-US" w:eastAsia="zh-CN"/>
        </w:rPr>
        <w:t>6</w:t>
      </w:r>
      <w:r>
        <w:rPr>
          <w:rFonts w:hint="eastAsia" w:ascii="Times New Roman" w:eastAsia="宋体"/>
          <w:color w:val="auto"/>
          <w:lang w:val="en-US" w:eastAsia="zh-CN"/>
        </w:rPr>
        <w:t xml:space="preserve">. </w:t>
      </w:r>
      <w:r>
        <w:rPr>
          <w:rFonts w:hint="default"/>
          <w:color w:val="auto"/>
          <w:lang w:val="en-US" w:eastAsia="zh-CN"/>
        </w:rPr>
        <w:t>交通协管员应经过培训，掌握交通法规和如何快速、有效地指挥交通，能应付突发的交通情况。</w:t>
      </w:r>
    </w:p>
    <w:p w14:paraId="2E96D503">
      <w:pPr>
        <w:rPr>
          <w:rFonts w:hint="default"/>
          <w:color w:val="auto"/>
          <w:lang w:val="en-US" w:eastAsia="zh-CN"/>
        </w:rPr>
      </w:pPr>
      <w:r>
        <w:rPr>
          <w:rFonts w:hint="default"/>
          <w:color w:val="auto"/>
          <w:lang w:val="en-US" w:eastAsia="zh-CN"/>
        </w:rPr>
        <w:t>7</w:t>
      </w:r>
      <w:r>
        <w:rPr>
          <w:rFonts w:hint="eastAsia" w:ascii="Times New Roman" w:eastAsia="宋体"/>
          <w:color w:val="auto"/>
          <w:lang w:val="en-US" w:eastAsia="zh-CN"/>
        </w:rPr>
        <w:t xml:space="preserve">. </w:t>
      </w:r>
      <w:r>
        <w:rPr>
          <w:rFonts w:hint="default"/>
          <w:color w:val="auto"/>
          <w:lang w:val="en-US" w:eastAsia="zh-CN"/>
        </w:rPr>
        <w:t>设立专职安全员负责监督现场的安全管理，并及时维护设置的交通安全管理设施。</w:t>
      </w:r>
    </w:p>
    <w:p w14:paraId="642114FA">
      <w:pPr>
        <w:rPr>
          <w:rFonts w:hint="default"/>
          <w:color w:val="auto"/>
          <w:lang w:val="en-US" w:eastAsia="zh-CN"/>
        </w:rPr>
      </w:pPr>
      <w:r>
        <w:rPr>
          <w:rFonts w:hint="default"/>
          <w:color w:val="auto"/>
          <w:lang w:val="en-US" w:eastAsia="zh-CN"/>
        </w:rPr>
        <w:t>8</w:t>
      </w:r>
      <w:r>
        <w:rPr>
          <w:rFonts w:hint="eastAsia" w:ascii="Times New Roman" w:eastAsia="宋体"/>
          <w:color w:val="auto"/>
          <w:lang w:val="en-US" w:eastAsia="zh-CN"/>
        </w:rPr>
        <w:t xml:space="preserve">. </w:t>
      </w:r>
      <w:r>
        <w:rPr>
          <w:rFonts w:hint="default"/>
          <w:color w:val="auto"/>
          <w:lang w:val="en-US" w:eastAsia="zh-CN"/>
        </w:rPr>
        <w:t>全体施工人员上路前应进行施工安全教育，从思想上重视施工安全；施工作业时，施工人员应身着黄色反光背心；注重安全作业，不跨域作业区，严禁进入交通安全设施外的未封闭道路上流动。</w:t>
      </w:r>
    </w:p>
    <w:p w14:paraId="01F3F0E4">
      <w:pPr>
        <w:rPr>
          <w:rFonts w:hint="default"/>
          <w:color w:val="auto"/>
          <w:lang w:val="en-US" w:eastAsia="zh-CN"/>
        </w:rPr>
      </w:pPr>
      <w:r>
        <w:rPr>
          <w:rFonts w:hint="default"/>
          <w:color w:val="auto"/>
          <w:lang w:val="en-US" w:eastAsia="zh-CN"/>
        </w:rPr>
        <w:t>9</w:t>
      </w:r>
      <w:r>
        <w:rPr>
          <w:rFonts w:hint="eastAsia" w:ascii="Times New Roman" w:eastAsia="宋体"/>
          <w:color w:val="auto"/>
          <w:lang w:val="en-US" w:eastAsia="zh-CN"/>
        </w:rPr>
        <w:t xml:space="preserve">. </w:t>
      </w:r>
      <w:r>
        <w:rPr>
          <w:rFonts w:hint="default"/>
          <w:color w:val="auto"/>
          <w:lang w:val="en-US" w:eastAsia="zh-CN"/>
        </w:rPr>
        <w:t>施工机械在施工区内应按规定地点有序停放，车辆除作业时不得停在作业区，进出施工区域时应服从专职交通协管员管理，不得擅自进出；避免施工车辆任何一部位进入未封闭道路，造成危险。</w:t>
      </w:r>
    </w:p>
    <w:p w14:paraId="48E9816C">
      <w:pPr>
        <w:pStyle w:val="4"/>
        <w:bidi w:val="0"/>
        <w:rPr>
          <w:rFonts w:hint="default"/>
          <w:color w:val="auto"/>
          <w:lang w:val="en-US" w:eastAsia="zh-CN"/>
        </w:rPr>
      </w:pPr>
      <w:bookmarkStart w:id="82" w:name="_Toc9593"/>
      <w:r>
        <w:rPr>
          <w:rFonts w:hint="default"/>
          <w:color w:val="auto"/>
          <w:lang w:val="en-US" w:eastAsia="zh-CN"/>
        </w:rPr>
        <w:t>2.6.3</w:t>
      </w:r>
      <w:r>
        <w:rPr>
          <w:rFonts w:hint="eastAsia"/>
          <w:color w:val="auto"/>
          <w:lang w:val="en-US" w:eastAsia="zh-CN"/>
        </w:rPr>
        <w:t xml:space="preserve"> </w:t>
      </w:r>
      <w:r>
        <w:rPr>
          <w:rFonts w:hint="default"/>
          <w:color w:val="auto"/>
          <w:lang w:val="en-US" w:eastAsia="zh-CN"/>
        </w:rPr>
        <w:t>施工安全措施计划</w:t>
      </w:r>
      <w:bookmarkEnd w:id="82"/>
    </w:p>
    <w:p w14:paraId="2DED74CC">
      <w:pPr>
        <w:bidi w:val="0"/>
        <w:rPr>
          <w:rFonts w:hint="default"/>
          <w:color w:val="auto"/>
          <w:lang w:val="en-US" w:eastAsia="zh-CN"/>
        </w:rPr>
      </w:pPr>
      <w:r>
        <w:rPr>
          <w:rFonts w:hint="default"/>
          <w:color w:val="auto"/>
          <w:lang w:val="en-US" w:eastAsia="zh-CN"/>
        </w:rPr>
        <w:t>（一）安全的管理措施</w:t>
      </w:r>
    </w:p>
    <w:p w14:paraId="373956BE">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电源从建设单位配电室引出，接入施工现场总配电箱中，在现场分设主干线、分路供电、分柜控制，在每个施工段里，均设有为小型施工机械供电的电源箱。施工现场总箱、开关箱、设备负荷末端处设置两级漏电保护器，并具有分级保护的功能，防止发生意外伤害事故。</w:t>
      </w:r>
    </w:p>
    <w:p w14:paraId="3067CF5F">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现场电源电缆埋入地下50cm深，线路采用三相五线制，并进行保护接零，所有保护线末端均做重复接地。</w:t>
      </w:r>
    </w:p>
    <w:p w14:paraId="40333361">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施工现场实行分级配电，动力配电箱与照明配电箱分别设置。分配电箱与开关箱距离不超过30</w:t>
      </w:r>
      <w:r>
        <w:rPr>
          <w:rFonts w:hint="eastAsia"/>
          <w:color w:val="auto"/>
          <w:lang w:val="en-US" w:eastAsia="zh-CN"/>
        </w:rPr>
        <w:t>m</w:t>
      </w:r>
      <w:r>
        <w:rPr>
          <w:rFonts w:hint="default"/>
          <w:color w:val="auto"/>
          <w:lang w:val="en-US" w:eastAsia="zh-CN"/>
        </w:rPr>
        <w:t>，开关箱与所控设备之间水平距离不超过3</w:t>
      </w:r>
      <w:r>
        <w:rPr>
          <w:rFonts w:hint="eastAsia"/>
          <w:color w:val="auto"/>
          <w:lang w:val="en-US" w:eastAsia="zh-CN"/>
        </w:rPr>
        <w:t>m</w:t>
      </w:r>
      <w:r>
        <w:rPr>
          <w:rFonts w:hint="default"/>
          <w:color w:val="auto"/>
          <w:lang w:val="en-US" w:eastAsia="zh-CN"/>
        </w:rPr>
        <w:t>。</w:t>
      </w:r>
    </w:p>
    <w:p w14:paraId="794FAD2F">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施工现场安装的配电箱要端正、牢固，移动电箱要装在固定的支架上，固定配电箱距地1.8</w:t>
      </w:r>
      <w:r>
        <w:rPr>
          <w:rFonts w:hint="eastAsia"/>
          <w:color w:val="auto"/>
          <w:lang w:val="en-US" w:eastAsia="zh-CN"/>
        </w:rPr>
        <w:t>m</w:t>
      </w:r>
      <w:r>
        <w:rPr>
          <w:rFonts w:hint="default"/>
          <w:color w:val="auto"/>
          <w:lang w:val="en-US" w:eastAsia="zh-CN"/>
        </w:rPr>
        <w:t>，移动配电箱距地1.6</w:t>
      </w:r>
      <w:r>
        <w:rPr>
          <w:rFonts w:hint="eastAsia"/>
          <w:color w:val="auto"/>
          <w:lang w:val="en-US" w:eastAsia="zh-CN"/>
        </w:rPr>
        <w:t>m</w:t>
      </w:r>
      <w:r>
        <w:rPr>
          <w:rFonts w:hint="default"/>
          <w:color w:val="auto"/>
          <w:lang w:val="en-US" w:eastAsia="zh-CN"/>
        </w:rPr>
        <w:t>。</w:t>
      </w:r>
    </w:p>
    <w:p w14:paraId="5EBDF34D">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开关箱内设一机一闸，每台用电设备有自己的开关箱。</w:t>
      </w:r>
    </w:p>
    <w:p w14:paraId="752766E9">
      <w:pPr>
        <w:bidi w:val="0"/>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配电箱内的各种电器，应按规定紧固在安装板上，箱外架空线及箱内线采用绝缘导线，绑扎成束，并固定在板上。</w:t>
      </w:r>
    </w:p>
    <w:p w14:paraId="3E16C2EA">
      <w:pPr>
        <w:bidi w:val="0"/>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机械所配的电缆线、线号不低于电机规定，临时用电完毕后收线归库。</w:t>
      </w:r>
    </w:p>
    <w:p w14:paraId="30BC22D9">
      <w:pPr>
        <w:bidi w:val="0"/>
        <w:rPr>
          <w:rFonts w:hint="default"/>
          <w:color w:val="auto"/>
          <w:lang w:val="en-US" w:eastAsia="zh-CN"/>
        </w:rPr>
      </w:pPr>
      <w:r>
        <w:rPr>
          <w:rFonts w:hint="default"/>
          <w:color w:val="auto"/>
          <w:lang w:val="en-US" w:eastAsia="zh-CN"/>
        </w:rPr>
        <w:t>8</w:t>
      </w:r>
      <w:r>
        <w:rPr>
          <w:rFonts w:hint="eastAsia"/>
          <w:color w:val="auto"/>
          <w:lang w:val="en-US" w:eastAsia="zh-CN"/>
        </w:rPr>
        <w:t xml:space="preserve">. </w:t>
      </w:r>
      <w:r>
        <w:rPr>
          <w:rFonts w:hint="default"/>
          <w:color w:val="auto"/>
          <w:lang w:val="en-US" w:eastAsia="zh-CN"/>
        </w:rPr>
        <w:t>各工种交叉施工时，各分项工程就采用专用箱，不许蜘蛛网式用电。</w:t>
      </w:r>
    </w:p>
    <w:p w14:paraId="4A095CEB">
      <w:pPr>
        <w:bidi w:val="0"/>
        <w:rPr>
          <w:rFonts w:hint="default"/>
          <w:color w:val="auto"/>
          <w:lang w:val="en-US" w:eastAsia="zh-CN"/>
        </w:rPr>
      </w:pPr>
      <w:r>
        <w:rPr>
          <w:rFonts w:hint="default"/>
          <w:color w:val="auto"/>
          <w:lang w:val="en-US" w:eastAsia="zh-CN"/>
        </w:rPr>
        <w:t>9</w:t>
      </w:r>
      <w:r>
        <w:rPr>
          <w:rFonts w:hint="eastAsia"/>
          <w:color w:val="auto"/>
          <w:lang w:val="en-US" w:eastAsia="zh-CN"/>
        </w:rPr>
        <w:t xml:space="preserve">. </w:t>
      </w:r>
      <w:r>
        <w:rPr>
          <w:rFonts w:hint="default"/>
          <w:color w:val="auto"/>
          <w:lang w:val="en-US" w:eastAsia="zh-CN"/>
        </w:rPr>
        <w:t>现场用电由专业电工负责架线，线路通过脚手架时，电线加绝缘套管，不许电线与任何金属物体直接接触，接好线路后方可使用。严格执行三相五线制架设线路，不得随意乱接电线，闸刀装箱加锁，夜间作业照明线路，不使用时必须断电，配电箱内设漏电保护器。</w:t>
      </w:r>
    </w:p>
    <w:p w14:paraId="694B993C">
      <w:pPr>
        <w:bidi w:val="0"/>
        <w:rPr>
          <w:rFonts w:hint="default"/>
          <w:color w:val="auto"/>
          <w:lang w:val="en-US" w:eastAsia="zh-CN"/>
        </w:rPr>
      </w:pPr>
      <w:r>
        <w:rPr>
          <w:rFonts w:hint="default"/>
          <w:color w:val="auto"/>
          <w:lang w:val="en-US" w:eastAsia="zh-CN"/>
        </w:rPr>
        <w:t>（二）施工现场消防安全管理措施：</w:t>
      </w:r>
    </w:p>
    <w:p w14:paraId="7D6940E3">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现场建立防火责任制，在组织施工时落实安全用火要求，实施防火措施，明确责任，落实到人。</w:t>
      </w:r>
    </w:p>
    <w:p w14:paraId="67973E79">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在施工过程中实施安全消防交底制度，形成书面文字。</w:t>
      </w:r>
    </w:p>
    <w:p w14:paraId="730DC10A">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在进行现场平面布置时，施工干道兼做消防通道，宽度不小于3.5</w:t>
      </w:r>
      <w:r>
        <w:rPr>
          <w:rFonts w:hint="eastAsia"/>
          <w:color w:val="auto"/>
          <w:lang w:val="en-US" w:eastAsia="zh-CN"/>
        </w:rPr>
        <w:t>m</w:t>
      </w:r>
      <w:r>
        <w:rPr>
          <w:rFonts w:hint="default"/>
          <w:color w:val="auto"/>
          <w:lang w:val="en-US" w:eastAsia="zh-CN"/>
        </w:rPr>
        <w:t>，道路不准堆放材料。</w:t>
      </w:r>
    </w:p>
    <w:p w14:paraId="11EA2B40">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在本工程平面布置范围内的临时设施、仓库、材料堆放场地要有足够的灭火工具和设备，对消防器材有专人管理，定期检查。库房易燃易爆品要设置库房保管。</w:t>
      </w:r>
    </w:p>
    <w:p w14:paraId="50515BD1">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注意工程施工不同的施工阶段的防火要求，特别是后期装修阶段，对材料、电气焊要加强管理。</w:t>
      </w:r>
    </w:p>
    <w:p w14:paraId="4B1FC467">
      <w:pPr>
        <w:bidi w:val="0"/>
        <w:rPr>
          <w:rFonts w:hint="default"/>
          <w:color w:val="auto"/>
          <w:lang w:val="en-US" w:eastAsia="zh-CN"/>
        </w:rPr>
      </w:pPr>
      <w:r>
        <w:rPr>
          <w:rFonts w:hint="default"/>
          <w:color w:val="auto"/>
          <w:lang w:val="en-US" w:eastAsia="zh-CN"/>
        </w:rPr>
        <w:t>（三）施工现场机械设备安全管理措施</w:t>
      </w:r>
    </w:p>
    <w:p w14:paraId="47AA8B01">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现场机械设备的安全必须符合有关验收标准。</w:t>
      </w:r>
    </w:p>
    <w:p w14:paraId="1B16B251">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现场机械设备的使用操作必须符合有关操作规程。</w:t>
      </w:r>
    </w:p>
    <w:p w14:paraId="48E3D7F3">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机械设备操作人员必须持证上岗。</w:t>
      </w:r>
    </w:p>
    <w:p w14:paraId="6AE17F9B">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经常注意现场机械设备检查、维修、养护，严禁机械带病作业，超期限作业。</w:t>
      </w:r>
    </w:p>
    <w:p w14:paraId="2B096D82">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对现场机械操作人员施工前，要进行书面安全技术交底。对使用各种机械及小型电动工具的人员，先培训，再操作，有专人现场指导，对违章作业的人，立即停止并严肃批评。</w:t>
      </w:r>
    </w:p>
    <w:p w14:paraId="582BAA05">
      <w:pPr>
        <w:bidi w:val="0"/>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每周由项目经理组织有关施工人员对现场机械安全措施的落实情况进行检查。</w:t>
      </w:r>
    </w:p>
    <w:p w14:paraId="5510DF79">
      <w:pPr>
        <w:pStyle w:val="4"/>
        <w:bidi w:val="0"/>
        <w:rPr>
          <w:rFonts w:hint="default"/>
          <w:color w:val="auto"/>
          <w:lang w:val="en-US" w:eastAsia="zh-CN"/>
        </w:rPr>
      </w:pPr>
      <w:bookmarkStart w:id="83" w:name="_Toc23763"/>
      <w:r>
        <w:rPr>
          <w:rFonts w:hint="default"/>
          <w:color w:val="auto"/>
          <w:lang w:val="en-US" w:eastAsia="zh-CN"/>
        </w:rPr>
        <w:t>2.6.</w:t>
      </w:r>
      <w:r>
        <w:rPr>
          <w:rFonts w:hint="eastAsia"/>
          <w:color w:val="auto"/>
          <w:lang w:val="en-US" w:eastAsia="zh-CN"/>
        </w:rPr>
        <w:t xml:space="preserve">4 </w:t>
      </w:r>
      <w:r>
        <w:rPr>
          <w:rFonts w:hint="default"/>
          <w:color w:val="auto"/>
          <w:lang w:val="en-US" w:eastAsia="zh-CN"/>
        </w:rPr>
        <w:t>项目组织管理机构</w:t>
      </w:r>
      <w:bookmarkEnd w:id="83"/>
    </w:p>
    <w:p w14:paraId="2308C6BF">
      <w:pPr>
        <w:bidi w:val="0"/>
        <w:rPr>
          <w:rFonts w:hint="default"/>
          <w:color w:val="auto"/>
          <w:lang w:val="en-US" w:eastAsia="zh-CN"/>
        </w:rPr>
      </w:pPr>
      <w:r>
        <w:rPr>
          <w:rFonts w:hint="default"/>
          <w:color w:val="auto"/>
          <w:lang w:val="en-US" w:eastAsia="zh-CN"/>
        </w:rPr>
        <w:t>（一）项目管理组织机构</w:t>
      </w:r>
    </w:p>
    <w:p w14:paraId="6FAA89AF">
      <w:pPr>
        <w:bidi w:val="0"/>
        <w:rPr>
          <w:rFonts w:hint="default"/>
          <w:color w:val="auto"/>
          <w:lang w:val="en-US" w:eastAsia="zh-CN"/>
        </w:rPr>
      </w:pPr>
      <w:r>
        <w:rPr>
          <w:rFonts w:hint="default"/>
          <w:color w:val="auto"/>
          <w:lang w:val="en-US" w:eastAsia="zh-CN"/>
        </w:rPr>
        <w:t>针对本工程的特点，组建了一套管理精干和具有先进施工经验的项目管理班子，并实行项目经理责任制，由项目经理、项目技术负责人、各专业施工员、专职质检员、试验员、安全员等组成管理班子。</w:t>
      </w:r>
    </w:p>
    <w:p w14:paraId="0A35850F">
      <w:pPr>
        <w:bidi w:val="0"/>
        <w:rPr>
          <w:rFonts w:hint="default"/>
          <w:color w:val="auto"/>
          <w:lang w:val="en-US" w:eastAsia="zh-CN"/>
        </w:rPr>
      </w:pPr>
      <w:r>
        <w:rPr>
          <w:rFonts w:hint="default"/>
          <w:color w:val="auto"/>
          <w:lang w:val="en-US" w:eastAsia="zh-CN"/>
        </w:rPr>
        <w:t>（二）各岗位主要职责</w:t>
      </w:r>
    </w:p>
    <w:p w14:paraId="76B17443">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项目经理</w:t>
      </w:r>
    </w:p>
    <w:p w14:paraId="7B9695C8">
      <w:pPr>
        <w:bidi w:val="0"/>
        <w:rPr>
          <w:rFonts w:hint="default"/>
          <w:color w:val="auto"/>
          <w:lang w:val="en-US" w:eastAsia="zh-CN"/>
        </w:rPr>
      </w:pPr>
      <w:r>
        <w:rPr>
          <w:rFonts w:hint="default"/>
          <w:color w:val="auto"/>
          <w:lang w:val="en-US" w:eastAsia="zh-CN"/>
        </w:rPr>
        <w:t>（1）全面负责组织工程项目的施工，主管工程技术部、安全质量部、计划财务部、综合办公室、中心试验室，对项目全权负责。</w:t>
      </w:r>
    </w:p>
    <w:p w14:paraId="5773AD0E">
      <w:pPr>
        <w:bidi w:val="0"/>
        <w:rPr>
          <w:rFonts w:hint="default"/>
          <w:color w:val="auto"/>
          <w:lang w:val="en-US" w:eastAsia="zh-CN"/>
        </w:rPr>
      </w:pPr>
      <w:r>
        <w:rPr>
          <w:rFonts w:hint="default"/>
          <w:color w:val="auto"/>
          <w:lang w:val="en-US" w:eastAsia="zh-CN"/>
        </w:rPr>
        <w:t>（2）制定项目管理目标和创优规划，建立完整的管理体系，保证既定目标的实现。</w:t>
      </w:r>
    </w:p>
    <w:p w14:paraId="27553810">
      <w:pPr>
        <w:bidi w:val="0"/>
        <w:rPr>
          <w:rFonts w:hint="default"/>
          <w:color w:val="auto"/>
          <w:lang w:val="en-US" w:eastAsia="zh-CN"/>
        </w:rPr>
      </w:pPr>
      <w:r>
        <w:rPr>
          <w:rFonts w:hint="default"/>
          <w:color w:val="auto"/>
          <w:lang w:val="en-US" w:eastAsia="zh-CN"/>
        </w:rPr>
        <w:t>（3）组建精干高效的项目管理班子和施工项目队，搞好项目机构的设置、人员选调及职责分工。</w:t>
      </w:r>
    </w:p>
    <w:p w14:paraId="65554BC6">
      <w:pPr>
        <w:bidi w:val="0"/>
        <w:rPr>
          <w:rFonts w:hint="default"/>
          <w:color w:val="auto"/>
          <w:lang w:val="en-US" w:eastAsia="zh-CN"/>
        </w:rPr>
      </w:pPr>
      <w:r>
        <w:rPr>
          <w:rFonts w:hint="default"/>
          <w:color w:val="auto"/>
          <w:lang w:val="en-US" w:eastAsia="zh-CN"/>
        </w:rPr>
        <w:t>（4）建立严格的经济责任制，强化管理、推动科技进步，搞好成本控制，提高综合经济效益。</w:t>
      </w:r>
    </w:p>
    <w:p w14:paraId="1B89002F">
      <w:pPr>
        <w:bidi w:val="0"/>
        <w:rPr>
          <w:rFonts w:hint="default"/>
          <w:color w:val="auto"/>
          <w:lang w:val="en-US" w:eastAsia="zh-CN"/>
        </w:rPr>
      </w:pPr>
      <w:r>
        <w:rPr>
          <w:rFonts w:hint="default"/>
          <w:color w:val="auto"/>
          <w:lang w:val="en-US" w:eastAsia="zh-CN"/>
        </w:rPr>
        <w:t>（5）沟通项目内外联系渠道，及时妥善处理好内外关系。</w:t>
      </w:r>
    </w:p>
    <w:p w14:paraId="41F2DA23">
      <w:pPr>
        <w:bidi w:val="0"/>
        <w:rPr>
          <w:rFonts w:hint="default"/>
          <w:color w:val="auto"/>
          <w:lang w:val="en-US" w:eastAsia="zh-CN"/>
        </w:rPr>
      </w:pPr>
      <w:r>
        <w:rPr>
          <w:rFonts w:hint="default"/>
          <w:color w:val="auto"/>
          <w:lang w:val="en-US" w:eastAsia="zh-CN"/>
        </w:rPr>
        <w:t>（6）接受建设单位、监理单位及上级业务部门的监督指导，及时向建设单位汇报工作。</w:t>
      </w:r>
    </w:p>
    <w:p w14:paraId="750FBFB6">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项目副经理</w:t>
      </w:r>
    </w:p>
    <w:p w14:paraId="513D27E4">
      <w:pPr>
        <w:bidi w:val="0"/>
        <w:rPr>
          <w:rFonts w:hint="default"/>
          <w:color w:val="auto"/>
          <w:lang w:val="en-US" w:eastAsia="zh-CN"/>
        </w:rPr>
      </w:pPr>
      <w:r>
        <w:rPr>
          <w:rFonts w:hint="default"/>
          <w:color w:val="auto"/>
          <w:lang w:val="en-US" w:eastAsia="zh-CN"/>
        </w:rPr>
        <w:t>（1）配合项目经理，具体组织工程项目的施工，主管工程管理部、安全质量部、物资设备部、对项目经理负责。</w:t>
      </w:r>
    </w:p>
    <w:p w14:paraId="56689E54">
      <w:pPr>
        <w:bidi w:val="0"/>
        <w:rPr>
          <w:rFonts w:hint="default"/>
          <w:color w:val="auto"/>
          <w:lang w:val="en-US" w:eastAsia="zh-CN"/>
        </w:rPr>
      </w:pPr>
      <w:r>
        <w:rPr>
          <w:rFonts w:hint="default"/>
          <w:color w:val="auto"/>
          <w:lang w:val="en-US" w:eastAsia="zh-CN"/>
        </w:rPr>
        <w:t>（2）协助项目经理协调与建设、设计、监理的关系，保证工程进度、质量、安全、成本控制目标的实现。</w:t>
      </w:r>
    </w:p>
    <w:p w14:paraId="3D372703">
      <w:pPr>
        <w:bidi w:val="0"/>
        <w:rPr>
          <w:rFonts w:hint="default"/>
          <w:color w:val="auto"/>
          <w:lang w:val="en-US" w:eastAsia="zh-CN"/>
        </w:rPr>
      </w:pPr>
      <w:r>
        <w:rPr>
          <w:rFonts w:hint="default"/>
          <w:color w:val="auto"/>
          <w:lang w:val="en-US" w:eastAsia="zh-CN"/>
        </w:rPr>
        <w:t>（3）负责协调组织工程项目施工，保证施工正常进行。</w:t>
      </w:r>
    </w:p>
    <w:p w14:paraId="60A69D0A">
      <w:pPr>
        <w:bidi w:val="0"/>
        <w:rPr>
          <w:rFonts w:hint="default"/>
          <w:color w:val="auto"/>
          <w:lang w:val="en-US" w:eastAsia="zh-CN"/>
        </w:rPr>
      </w:pPr>
      <w:r>
        <w:rPr>
          <w:rFonts w:hint="default"/>
          <w:color w:val="auto"/>
          <w:lang w:val="en-US" w:eastAsia="zh-CN"/>
        </w:rPr>
        <w:t>（4）科学组织施工，及时组织编制进度计划安排及资源调配方案，组织参与提出合理化建议与设计变更等重要决策。</w:t>
      </w:r>
    </w:p>
    <w:p w14:paraId="0C884AE8">
      <w:pPr>
        <w:bidi w:val="0"/>
        <w:rPr>
          <w:rFonts w:hint="default"/>
          <w:color w:val="auto"/>
          <w:lang w:val="en-US" w:eastAsia="zh-CN"/>
        </w:rPr>
      </w:pPr>
      <w:r>
        <w:rPr>
          <w:rFonts w:hint="default"/>
          <w:color w:val="auto"/>
          <w:lang w:val="en-US" w:eastAsia="zh-CN"/>
        </w:rPr>
        <w:t>（5）负责组织推广应用新技术、新工艺、新设备、新材料，保证工程进度，节约工程成本。</w:t>
      </w:r>
    </w:p>
    <w:p w14:paraId="08C57008">
      <w:pPr>
        <w:bidi w:val="0"/>
        <w:rPr>
          <w:rFonts w:hint="default"/>
          <w:color w:val="auto"/>
          <w:lang w:val="en-US" w:eastAsia="zh-CN"/>
        </w:rPr>
      </w:pPr>
      <w:r>
        <w:rPr>
          <w:rFonts w:hint="default"/>
          <w:color w:val="auto"/>
          <w:lang w:val="en-US" w:eastAsia="zh-CN"/>
        </w:rPr>
        <w:t>（6）负责组织有关部门制定项目环保规划、措施，定期环保工作检查，确保环保工作落到实处。</w:t>
      </w:r>
    </w:p>
    <w:p w14:paraId="6225BA87">
      <w:pPr>
        <w:bidi w:val="0"/>
        <w:rPr>
          <w:rFonts w:hint="default"/>
          <w:color w:val="auto"/>
          <w:lang w:val="en-US" w:eastAsia="zh-CN"/>
        </w:rPr>
      </w:pPr>
      <w:r>
        <w:rPr>
          <w:rFonts w:hint="default"/>
          <w:color w:val="auto"/>
          <w:lang w:val="en-US" w:eastAsia="zh-CN"/>
        </w:rPr>
        <w:t>（7）负责施工现场环境保护、文明施工、综合治理等工作，严格执行当地建筑施工方面的有关规章制度。</w:t>
      </w:r>
    </w:p>
    <w:p w14:paraId="0B07FC3F">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项目技术负责人</w:t>
      </w:r>
    </w:p>
    <w:p w14:paraId="4F71E21D">
      <w:pPr>
        <w:bidi w:val="0"/>
        <w:rPr>
          <w:rFonts w:hint="default"/>
          <w:color w:val="auto"/>
          <w:lang w:val="en-US" w:eastAsia="zh-CN"/>
        </w:rPr>
      </w:pPr>
      <w:r>
        <w:rPr>
          <w:rFonts w:hint="default"/>
          <w:color w:val="auto"/>
          <w:lang w:val="en-US" w:eastAsia="zh-CN"/>
        </w:rPr>
        <w:t>（1）负责项目技术工作，主管工程管理部、安全质量部，对工程项目进度、质量负责。</w:t>
      </w:r>
    </w:p>
    <w:p w14:paraId="5704047F">
      <w:pPr>
        <w:bidi w:val="0"/>
        <w:rPr>
          <w:rFonts w:hint="default"/>
          <w:color w:val="auto"/>
          <w:lang w:val="en-US" w:eastAsia="zh-CN"/>
        </w:rPr>
      </w:pPr>
      <w:r>
        <w:rPr>
          <w:rFonts w:hint="default"/>
          <w:color w:val="auto"/>
          <w:lang w:val="en-US" w:eastAsia="zh-CN"/>
        </w:rPr>
        <w:t>（2）负责有关施工技术规范和质量验收标准的有效实施。</w:t>
      </w:r>
    </w:p>
    <w:p w14:paraId="34C7C4AC">
      <w:pPr>
        <w:bidi w:val="0"/>
        <w:rPr>
          <w:rFonts w:hint="default"/>
          <w:color w:val="auto"/>
          <w:lang w:val="en-US" w:eastAsia="zh-CN"/>
        </w:rPr>
      </w:pPr>
      <w:r>
        <w:rPr>
          <w:rFonts w:hint="default"/>
          <w:color w:val="auto"/>
          <w:lang w:val="en-US" w:eastAsia="zh-CN"/>
        </w:rPr>
        <w:t>（3）主持编制实施性施工组织设计，并随时检查、监督和落实。</w:t>
      </w:r>
    </w:p>
    <w:p w14:paraId="5A79F151">
      <w:pPr>
        <w:bidi w:val="0"/>
        <w:rPr>
          <w:rFonts w:hint="default"/>
          <w:color w:val="auto"/>
          <w:lang w:val="en-US" w:eastAsia="zh-CN"/>
        </w:rPr>
      </w:pPr>
      <w:r>
        <w:rPr>
          <w:rFonts w:hint="default"/>
          <w:color w:val="auto"/>
          <w:lang w:val="en-US" w:eastAsia="zh-CN"/>
        </w:rPr>
        <w:t>（4）协助项目经理协调与建设、设计、监理的关系，保证工程进度、质量、安全、成本控制目标的实现。</w:t>
      </w:r>
    </w:p>
    <w:p w14:paraId="27668239">
      <w:pPr>
        <w:bidi w:val="0"/>
        <w:rPr>
          <w:rFonts w:hint="default"/>
          <w:color w:val="auto"/>
          <w:lang w:val="en-US" w:eastAsia="zh-CN"/>
        </w:rPr>
      </w:pPr>
      <w:r>
        <w:rPr>
          <w:rFonts w:hint="default"/>
          <w:color w:val="auto"/>
          <w:lang w:val="en-US" w:eastAsia="zh-CN"/>
        </w:rPr>
        <w:t>（5）组织制定质量保证措施，掌握质量现状，对施工中存在的质量问题组织有关人员攻关、分析原因，制定整改措施和处理方案，并责成有关人员限期改进。</w:t>
      </w:r>
    </w:p>
    <w:p w14:paraId="06628C09">
      <w:pPr>
        <w:bidi w:val="0"/>
        <w:rPr>
          <w:rFonts w:hint="default"/>
          <w:color w:val="auto"/>
          <w:lang w:val="en-US" w:eastAsia="zh-CN"/>
        </w:rPr>
      </w:pPr>
      <w:r>
        <w:rPr>
          <w:rFonts w:hint="default"/>
          <w:color w:val="auto"/>
          <w:lang w:val="en-US" w:eastAsia="zh-CN"/>
        </w:rPr>
        <w:t>（6）组织定期工程质量检查和质量评定，指导有关人员进行QC小组攻关活动和创优活动，搞好现场质量控制。</w:t>
      </w:r>
    </w:p>
    <w:p w14:paraId="5BC3BED1">
      <w:pPr>
        <w:bidi w:val="0"/>
        <w:rPr>
          <w:rFonts w:hint="default"/>
          <w:color w:val="auto"/>
          <w:lang w:val="en-US" w:eastAsia="zh-CN"/>
        </w:rPr>
      </w:pPr>
      <w:r>
        <w:rPr>
          <w:rFonts w:hint="default"/>
          <w:color w:val="auto"/>
          <w:lang w:val="en-US" w:eastAsia="zh-CN"/>
        </w:rPr>
        <w:t>（7）根据现场实际情况，优化施工方案，协助项目经理制定保证工程成本不突破报价的主要措施并组织落实。</w:t>
      </w:r>
    </w:p>
    <w:p w14:paraId="019CBF05">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施工员</w:t>
      </w:r>
    </w:p>
    <w:p w14:paraId="4BE98B4B">
      <w:pPr>
        <w:bidi w:val="0"/>
        <w:rPr>
          <w:rFonts w:hint="default"/>
          <w:color w:val="auto"/>
          <w:lang w:val="en-US" w:eastAsia="zh-CN"/>
        </w:rPr>
      </w:pPr>
      <w:r>
        <w:rPr>
          <w:rFonts w:hint="default"/>
          <w:color w:val="auto"/>
          <w:lang w:val="en-US" w:eastAsia="zh-CN"/>
        </w:rPr>
        <w:t>（1）贯彻实施设计图、施工组织设计及质量策划的要求。</w:t>
      </w:r>
    </w:p>
    <w:p w14:paraId="7EDA6CBD">
      <w:pPr>
        <w:bidi w:val="0"/>
        <w:rPr>
          <w:rFonts w:hint="default"/>
          <w:color w:val="auto"/>
          <w:lang w:val="en-US" w:eastAsia="zh-CN"/>
        </w:rPr>
      </w:pPr>
      <w:r>
        <w:rPr>
          <w:rFonts w:hint="default"/>
          <w:color w:val="auto"/>
          <w:lang w:val="en-US" w:eastAsia="zh-CN"/>
        </w:rPr>
        <w:t>（2）编制作业指导书、施工技术交底文件，并认真实施。</w:t>
      </w:r>
    </w:p>
    <w:p w14:paraId="5DFA6F28">
      <w:pPr>
        <w:bidi w:val="0"/>
        <w:rPr>
          <w:rFonts w:hint="default"/>
          <w:color w:val="auto"/>
          <w:lang w:val="en-US" w:eastAsia="zh-CN"/>
        </w:rPr>
      </w:pPr>
      <w:r>
        <w:rPr>
          <w:rFonts w:hint="default"/>
          <w:color w:val="auto"/>
          <w:lang w:val="en-US" w:eastAsia="zh-CN"/>
        </w:rPr>
        <w:t>（3）保证施工过程处于受控状态，满足规定与合同要求。</w:t>
      </w:r>
    </w:p>
    <w:p w14:paraId="15DF476F">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质检员</w:t>
      </w:r>
    </w:p>
    <w:p w14:paraId="183DE7D1">
      <w:pPr>
        <w:bidi w:val="0"/>
        <w:rPr>
          <w:rFonts w:hint="default"/>
          <w:color w:val="auto"/>
          <w:lang w:val="en-US" w:eastAsia="zh-CN"/>
        </w:rPr>
      </w:pPr>
      <w:r>
        <w:rPr>
          <w:rFonts w:hint="default"/>
          <w:color w:val="auto"/>
          <w:lang w:val="en-US" w:eastAsia="zh-CN"/>
        </w:rPr>
        <w:t>（1）认真贯彻有关保证质量的制度和措施。</w:t>
      </w:r>
    </w:p>
    <w:p w14:paraId="34DCA223">
      <w:pPr>
        <w:bidi w:val="0"/>
        <w:rPr>
          <w:rFonts w:hint="default"/>
          <w:color w:val="auto"/>
          <w:lang w:val="en-US" w:eastAsia="zh-CN"/>
        </w:rPr>
      </w:pPr>
      <w:r>
        <w:rPr>
          <w:rFonts w:hint="default"/>
          <w:color w:val="auto"/>
          <w:lang w:val="en-US" w:eastAsia="zh-CN"/>
        </w:rPr>
        <w:t>（2）严格按照国家质量政策、规范、标准、图集和组织进行质量检查监督。</w:t>
      </w:r>
    </w:p>
    <w:p w14:paraId="6B45BE6B">
      <w:pPr>
        <w:bidi w:val="0"/>
        <w:rPr>
          <w:rFonts w:hint="default"/>
          <w:color w:val="auto"/>
          <w:lang w:val="en-US" w:eastAsia="zh-CN"/>
        </w:rPr>
      </w:pPr>
      <w:r>
        <w:rPr>
          <w:rFonts w:hint="default"/>
          <w:color w:val="auto"/>
          <w:lang w:val="en-US" w:eastAsia="zh-CN"/>
        </w:rPr>
        <w:t>（3）深入工地把好每道工序的质量关，把质量通病消灭在施工过程中，不合格的分项，不能进行下道工序。</w:t>
      </w:r>
    </w:p>
    <w:p w14:paraId="4E40884A">
      <w:pPr>
        <w:bidi w:val="0"/>
        <w:rPr>
          <w:rFonts w:hint="default"/>
          <w:color w:val="auto"/>
          <w:lang w:val="en-US" w:eastAsia="zh-CN"/>
        </w:rPr>
      </w:pPr>
      <w:r>
        <w:rPr>
          <w:rFonts w:hint="default"/>
          <w:color w:val="auto"/>
          <w:lang w:val="en-US" w:eastAsia="zh-CN"/>
        </w:rPr>
        <w:t>（4）负责进行分部、分项工程质量评定。</w:t>
      </w:r>
    </w:p>
    <w:p w14:paraId="3B8AE73B">
      <w:pPr>
        <w:bidi w:val="0"/>
        <w:rPr>
          <w:rFonts w:hint="default"/>
          <w:color w:val="auto"/>
          <w:lang w:val="en-US" w:eastAsia="zh-CN"/>
        </w:rPr>
      </w:pPr>
      <w:r>
        <w:rPr>
          <w:rFonts w:hint="default"/>
          <w:color w:val="auto"/>
          <w:lang w:val="en-US" w:eastAsia="zh-CN"/>
        </w:rPr>
        <w:t>（5）参加隐检验收、结构验收、单位工程验收和工程质量回访。</w:t>
      </w:r>
    </w:p>
    <w:p w14:paraId="4C48521B">
      <w:pPr>
        <w:bidi w:val="0"/>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试验员</w:t>
      </w:r>
    </w:p>
    <w:p w14:paraId="759E2535">
      <w:pPr>
        <w:bidi w:val="0"/>
        <w:rPr>
          <w:rFonts w:hint="default"/>
          <w:color w:val="auto"/>
          <w:lang w:val="en-US" w:eastAsia="zh-CN"/>
        </w:rPr>
      </w:pPr>
      <w:r>
        <w:rPr>
          <w:rFonts w:hint="default"/>
          <w:color w:val="auto"/>
          <w:lang w:val="en-US" w:eastAsia="zh-CN"/>
        </w:rPr>
        <w:t>（1）对混凝土、砂浆配合比的可靠性实施负责。</w:t>
      </w:r>
    </w:p>
    <w:p w14:paraId="039B06BD">
      <w:pPr>
        <w:bidi w:val="0"/>
        <w:rPr>
          <w:rFonts w:hint="default"/>
          <w:color w:val="auto"/>
          <w:lang w:val="en-US" w:eastAsia="zh-CN"/>
        </w:rPr>
      </w:pPr>
      <w:r>
        <w:rPr>
          <w:rFonts w:hint="default"/>
          <w:color w:val="auto"/>
          <w:lang w:val="en-US" w:eastAsia="zh-CN"/>
        </w:rPr>
        <w:t>（2）按规定做好各项材料试验及现场试验，如达不到指定和设计要求，试验员必须立即向技术负责人及项目经理报告，不得拖延。</w:t>
      </w:r>
    </w:p>
    <w:p w14:paraId="613BABDD">
      <w:pPr>
        <w:bidi w:val="0"/>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材料主管、材料员</w:t>
      </w:r>
    </w:p>
    <w:p w14:paraId="27A0F6A6">
      <w:pPr>
        <w:bidi w:val="0"/>
        <w:rPr>
          <w:rFonts w:hint="default"/>
          <w:color w:val="auto"/>
          <w:lang w:val="en-US" w:eastAsia="zh-CN"/>
        </w:rPr>
      </w:pPr>
      <w:r>
        <w:rPr>
          <w:rFonts w:hint="default"/>
          <w:color w:val="auto"/>
          <w:lang w:val="en-US" w:eastAsia="zh-CN"/>
        </w:rPr>
        <w:t>（1）对所采购的材料、产品、器材、构件的质量负责。</w:t>
      </w:r>
    </w:p>
    <w:p w14:paraId="6C3B82E3">
      <w:pPr>
        <w:bidi w:val="0"/>
        <w:rPr>
          <w:rFonts w:hint="default"/>
          <w:color w:val="auto"/>
          <w:lang w:val="en-US" w:eastAsia="zh-CN"/>
        </w:rPr>
      </w:pPr>
      <w:r>
        <w:rPr>
          <w:rFonts w:hint="default"/>
          <w:color w:val="auto"/>
          <w:lang w:val="en-US" w:eastAsia="zh-CN"/>
        </w:rPr>
        <w:t>（2）进货时按合同及质量要求与样品对照验收。</w:t>
      </w:r>
    </w:p>
    <w:p w14:paraId="152895F6">
      <w:pPr>
        <w:bidi w:val="0"/>
        <w:rPr>
          <w:rFonts w:hint="default"/>
          <w:color w:val="auto"/>
          <w:lang w:val="en-US" w:eastAsia="zh-CN"/>
        </w:rPr>
      </w:pPr>
      <w:r>
        <w:rPr>
          <w:rFonts w:hint="default"/>
          <w:color w:val="auto"/>
          <w:lang w:val="en-US" w:eastAsia="zh-CN"/>
        </w:rPr>
        <w:t>（3）及时提供可靠的、齐全的材质证明和产品合格证，做到材质证明随料进场。</w:t>
      </w:r>
    </w:p>
    <w:p w14:paraId="57C13ACD">
      <w:pPr>
        <w:bidi w:val="0"/>
        <w:rPr>
          <w:rFonts w:hint="default"/>
          <w:color w:val="auto"/>
          <w:lang w:val="en-US" w:eastAsia="zh-CN"/>
        </w:rPr>
      </w:pPr>
      <w:r>
        <w:rPr>
          <w:rFonts w:hint="default"/>
          <w:color w:val="auto"/>
          <w:lang w:val="en-US" w:eastAsia="zh-CN"/>
        </w:rPr>
        <w:t>8</w:t>
      </w:r>
      <w:r>
        <w:rPr>
          <w:rFonts w:hint="eastAsia"/>
          <w:color w:val="auto"/>
          <w:lang w:val="en-US" w:eastAsia="zh-CN"/>
        </w:rPr>
        <w:t xml:space="preserve">. </w:t>
      </w:r>
      <w:r>
        <w:rPr>
          <w:rFonts w:hint="default"/>
          <w:color w:val="auto"/>
          <w:lang w:val="en-US" w:eastAsia="zh-CN"/>
        </w:rPr>
        <w:t>安全员</w:t>
      </w:r>
    </w:p>
    <w:p w14:paraId="1090AE0D">
      <w:pPr>
        <w:bidi w:val="0"/>
        <w:rPr>
          <w:rFonts w:hint="default"/>
          <w:color w:val="auto"/>
          <w:lang w:val="en-US" w:eastAsia="zh-CN"/>
        </w:rPr>
      </w:pPr>
      <w:r>
        <w:rPr>
          <w:rFonts w:hint="default"/>
          <w:color w:val="auto"/>
          <w:lang w:val="en-US" w:eastAsia="zh-CN"/>
        </w:rPr>
        <w:t>根据部颁标准（安全管理、脚手架、施工用电、施工机具、文明施工、场容场貌、生活卫生、防火安全）规定逐项落实，定期检查，立案备查。</w:t>
      </w:r>
    </w:p>
    <w:p w14:paraId="2CFAEE1A">
      <w:pPr>
        <w:pStyle w:val="4"/>
        <w:bidi w:val="0"/>
        <w:rPr>
          <w:rFonts w:hint="default"/>
          <w:color w:val="auto"/>
          <w:lang w:val="en-US" w:eastAsia="zh-CN"/>
        </w:rPr>
      </w:pPr>
      <w:bookmarkStart w:id="84" w:name="_Toc19649"/>
      <w:r>
        <w:rPr>
          <w:rFonts w:hint="default"/>
          <w:color w:val="auto"/>
          <w:lang w:val="en-US" w:eastAsia="zh-CN"/>
        </w:rPr>
        <w:t>2.6.</w:t>
      </w:r>
      <w:r>
        <w:rPr>
          <w:rFonts w:hint="eastAsia"/>
          <w:color w:val="auto"/>
          <w:lang w:val="en-US" w:eastAsia="zh-CN"/>
        </w:rPr>
        <w:t xml:space="preserve">5 </w:t>
      </w:r>
      <w:r>
        <w:rPr>
          <w:rFonts w:hint="default"/>
          <w:color w:val="auto"/>
          <w:lang w:val="en-US" w:eastAsia="zh-CN"/>
        </w:rPr>
        <w:t>应急措施</w:t>
      </w:r>
      <w:bookmarkEnd w:id="84"/>
    </w:p>
    <w:p w14:paraId="59C8C99D">
      <w:pPr>
        <w:bidi w:val="0"/>
        <w:rPr>
          <w:rFonts w:hint="default"/>
          <w:color w:val="auto"/>
          <w:lang w:val="en-US" w:eastAsia="zh-CN"/>
        </w:rPr>
      </w:pPr>
      <w:r>
        <w:rPr>
          <w:rFonts w:hint="default"/>
          <w:color w:val="auto"/>
          <w:lang w:val="en-US" w:eastAsia="zh-CN"/>
        </w:rPr>
        <w:t>（一）建立应急小组</w:t>
      </w:r>
    </w:p>
    <w:p w14:paraId="6ED630F7">
      <w:pPr>
        <w:bidi w:val="0"/>
        <w:rPr>
          <w:rFonts w:hint="default"/>
          <w:color w:val="auto"/>
          <w:lang w:val="en-US" w:eastAsia="zh-CN"/>
        </w:rPr>
      </w:pPr>
      <w:r>
        <w:rPr>
          <w:rFonts w:hint="default"/>
          <w:color w:val="auto"/>
          <w:lang w:val="en-US" w:eastAsia="zh-CN"/>
        </w:rPr>
        <w:t>项目建立以项目经理为组长的应急救援指挥小组。</w:t>
      </w:r>
    </w:p>
    <w:p w14:paraId="0F4E924C">
      <w:pPr>
        <w:bidi w:val="0"/>
        <w:rPr>
          <w:rFonts w:hint="default"/>
          <w:color w:val="auto"/>
          <w:lang w:val="en-US" w:eastAsia="zh-CN"/>
        </w:rPr>
      </w:pPr>
      <w:r>
        <w:rPr>
          <w:rFonts w:hint="default"/>
          <w:color w:val="auto"/>
          <w:lang w:val="en-US" w:eastAsia="zh-CN"/>
        </w:rPr>
        <w:t>（二）应急处理措施</w:t>
      </w:r>
    </w:p>
    <w:p w14:paraId="3996BFF0">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报告：通过电话报告</w:t>
      </w:r>
      <w:r>
        <w:rPr>
          <w:rFonts w:hint="eastAsia"/>
          <w:color w:val="auto"/>
          <w:lang w:val="en-US" w:eastAsia="zh-CN"/>
        </w:rPr>
        <w:t>“</w:t>
      </w:r>
      <w:r>
        <w:rPr>
          <w:rFonts w:hint="default"/>
          <w:color w:val="auto"/>
          <w:lang w:val="en-US" w:eastAsia="zh-CN"/>
        </w:rPr>
        <w:t>在哪里</w:t>
      </w:r>
      <w:r>
        <w:rPr>
          <w:rFonts w:hint="eastAsia"/>
          <w:color w:val="auto"/>
          <w:lang w:val="en-US" w:eastAsia="zh-CN"/>
        </w:rPr>
        <w:t>”</w:t>
      </w:r>
      <w:r>
        <w:rPr>
          <w:rFonts w:hint="default"/>
          <w:color w:val="auto"/>
          <w:lang w:val="en-US" w:eastAsia="zh-CN"/>
        </w:rPr>
        <w:t>、</w:t>
      </w:r>
      <w:r>
        <w:rPr>
          <w:rFonts w:hint="eastAsia"/>
          <w:color w:val="auto"/>
          <w:lang w:val="en-US" w:eastAsia="zh-CN"/>
        </w:rPr>
        <w:t>“</w:t>
      </w:r>
      <w:r>
        <w:rPr>
          <w:rFonts w:hint="default"/>
          <w:color w:val="auto"/>
          <w:lang w:val="en-US" w:eastAsia="zh-CN"/>
        </w:rPr>
        <w:t>什么事</w:t>
      </w:r>
      <w:r>
        <w:rPr>
          <w:rFonts w:hint="eastAsia"/>
          <w:color w:val="auto"/>
          <w:lang w:val="en-US" w:eastAsia="zh-CN"/>
        </w:rPr>
        <w:t>”</w:t>
      </w:r>
      <w:r>
        <w:rPr>
          <w:rFonts w:hint="default"/>
          <w:color w:val="auto"/>
          <w:lang w:val="en-US" w:eastAsia="zh-CN"/>
        </w:rPr>
        <w:t>、</w:t>
      </w:r>
      <w:r>
        <w:rPr>
          <w:rFonts w:hint="eastAsia"/>
          <w:color w:val="auto"/>
          <w:lang w:val="en-US" w:eastAsia="zh-CN"/>
        </w:rPr>
        <w:t>“</w:t>
      </w:r>
      <w:r>
        <w:rPr>
          <w:rFonts w:hint="default"/>
          <w:color w:val="auto"/>
          <w:lang w:val="en-US" w:eastAsia="zh-CN"/>
        </w:rPr>
        <w:t>具体情况</w:t>
      </w:r>
      <w:r>
        <w:rPr>
          <w:rFonts w:hint="eastAsia"/>
          <w:color w:val="auto"/>
          <w:lang w:val="en-US" w:eastAsia="zh-CN"/>
        </w:rPr>
        <w:t>”</w:t>
      </w:r>
      <w:r>
        <w:rPr>
          <w:rFonts w:hint="default"/>
          <w:color w:val="auto"/>
          <w:lang w:val="en-US" w:eastAsia="zh-CN"/>
        </w:rPr>
        <w:t>，简单明了的重复两次。紧急电话受话人处理电话的原则</w:t>
      </w:r>
      <w:r>
        <w:rPr>
          <w:rFonts w:hint="eastAsia"/>
          <w:color w:val="auto"/>
          <w:lang w:val="en-US" w:eastAsia="zh-CN"/>
        </w:rPr>
        <w:t>，</w:t>
      </w:r>
      <w:r>
        <w:rPr>
          <w:rFonts w:hint="default"/>
          <w:color w:val="auto"/>
          <w:lang w:val="en-US" w:eastAsia="zh-CN"/>
        </w:rPr>
        <w:t>由电话知道发生了什么紧急事态</w:t>
      </w:r>
      <w:r>
        <w:rPr>
          <w:rFonts w:hint="eastAsia"/>
          <w:color w:val="auto"/>
          <w:lang w:val="en-US" w:eastAsia="zh-CN"/>
        </w:rPr>
        <w:t>，</w:t>
      </w:r>
      <w:r>
        <w:rPr>
          <w:rFonts w:hint="default"/>
          <w:color w:val="auto"/>
          <w:lang w:val="en-US" w:eastAsia="zh-CN"/>
        </w:rPr>
        <w:t>通过电话向报告人问清灾害现场</w:t>
      </w:r>
      <w:r>
        <w:rPr>
          <w:rFonts w:hint="eastAsia"/>
          <w:color w:val="auto"/>
          <w:lang w:val="en-US" w:eastAsia="zh-CN"/>
        </w:rPr>
        <w:t>，</w:t>
      </w:r>
      <w:r>
        <w:rPr>
          <w:rFonts w:hint="default"/>
          <w:color w:val="auto"/>
          <w:lang w:val="en-US" w:eastAsia="zh-CN"/>
        </w:rPr>
        <w:t>通过电话或其他方式向相关领导报告灾情。</w:t>
      </w:r>
    </w:p>
    <w:p w14:paraId="7F2F43D2">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报告程序：事故发现者立即向管理人员或项目经理报告事故发生情况。</w:t>
      </w:r>
    </w:p>
    <w:p w14:paraId="451F9BFC">
      <w:pPr>
        <w:bidi w:val="0"/>
        <w:rPr>
          <w:rFonts w:hint="default"/>
          <w:color w:val="auto"/>
          <w:lang w:val="en-US" w:eastAsia="zh-CN"/>
        </w:rPr>
      </w:pPr>
      <w:r>
        <w:rPr>
          <w:rFonts w:hint="default"/>
          <w:color w:val="auto"/>
          <w:lang w:val="en-US" w:eastAsia="zh-CN"/>
        </w:rPr>
        <w:t>（三）启动应急预案</w:t>
      </w:r>
    </w:p>
    <w:p w14:paraId="7CDB5823">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现场发生交通事故及堵车应急措施</w:t>
      </w:r>
    </w:p>
    <w:p w14:paraId="6950E531">
      <w:pPr>
        <w:bidi w:val="0"/>
        <w:rPr>
          <w:rFonts w:hint="default"/>
          <w:color w:val="auto"/>
          <w:lang w:val="en-US" w:eastAsia="zh-CN"/>
        </w:rPr>
      </w:pPr>
      <w:r>
        <w:rPr>
          <w:rFonts w:hint="eastAsia"/>
          <w:color w:val="auto"/>
          <w:lang w:val="en-US" w:eastAsia="zh-CN"/>
        </w:rPr>
        <w:t>（1）</w:t>
      </w:r>
      <w:r>
        <w:rPr>
          <w:rFonts w:hint="default"/>
          <w:color w:val="auto"/>
          <w:lang w:val="en-US" w:eastAsia="zh-CN"/>
        </w:rPr>
        <w:t>车辆疏导</w:t>
      </w:r>
      <w:r>
        <w:rPr>
          <w:rFonts w:hint="eastAsia"/>
          <w:color w:val="auto"/>
          <w:lang w:val="en-US" w:eastAsia="zh-CN"/>
        </w:rPr>
        <w:t>：</w:t>
      </w:r>
      <w:r>
        <w:rPr>
          <w:rFonts w:hint="default"/>
          <w:color w:val="auto"/>
          <w:lang w:val="en-US" w:eastAsia="zh-CN"/>
        </w:rPr>
        <w:t>由于施工原因造成交通事故后立即向交警及路政等单位汇报，并告知现场人员维护交通，配合交警、路政人员进行疏导，必要时开通应急通道。</w:t>
      </w:r>
    </w:p>
    <w:p w14:paraId="7AFED9BF">
      <w:pPr>
        <w:bidi w:val="0"/>
        <w:rPr>
          <w:rFonts w:hint="default"/>
          <w:color w:val="auto"/>
          <w:lang w:val="en-US" w:eastAsia="zh-CN"/>
        </w:rPr>
      </w:pPr>
      <w:r>
        <w:rPr>
          <w:rFonts w:hint="eastAsia"/>
          <w:color w:val="auto"/>
          <w:lang w:val="en-US" w:eastAsia="zh-CN"/>
        </w:rPr>
        <w:t>（2）</w:t>
      </w:r>
      <w:r>
        <w:rPr>
          <w:rFonts w:hint="default"/>
          <w:color w:val="auto"/>
          <w:lang w:val="en-US" w:eastAsia="zh-CN"/>
        </w:rPr>
        <w:t>事故救援</w:t>
      </w:r>
      <w:r>
        <w:rPr>
          <w:rFonts w:hint="eastAsia"/>
          <w:color w:val="auto"/>
          <w:lang w:val="en-US" w:eastAsia="zh-CN"/>
        </w:rPr>
        <w:t>：</w:t>
      </w:r>
      <w:r>
        <w:rPr>
          <w:rFonts w:hint="default"/>
          <w:color w:val="auto"/>
          <w:lang w:val="en-US" w:eastAsia="zh-CN"/>
        </w:rPr>
        <w:t>事故救援车辆行驶至事故区域后迅速将事故车辆脱离事故区域，恢复正常通行。</w:t>
      </w:r>
    </w:p>
    <w:p w14:paraId="204ECEB1">
      <w:pPr>
        <w:bidi w:val="0"/>
        <w:rPr>
          <w:rFonts w:hint="default"/>
          <w:color w:val="auto"/>
          <w:lang w:val="en-US" w:eastAsia="zh-CN"/>
        </w:rPr>
      </w:pPr>
      <w:r>
        <w:rPr>
          <w:rFonts w:hint="eastAsia"/>
          <w:color w:val="auto"/>
          <w:lang w:val="en-US" w:eastAsia="zh-CN"/>
        </w:rPr>
        <w:t>（3）</w:t>
      </w:r>
      <w:r>
        <w:rPr>
          <w:rFonts w:hint="default"/>
          <w:color w:val="auto"/>
          <w:lang w:val="en-US" w:eastAsia="zh-CN"/>
        </w:rPr>
        <w:t>交通分流：如果在施工期间发生由于施工原因的堵车，短时间可以疏导交通的，不进行车辆分流。如果堵车长度较长，且交通事故的处理无法短时间解决，项目部则迅速通知交警、路政等单位，配合交警对通行车辆进行分流。</w:t>
      </w:r>
    </w:p>
    <w:p w14:paraId="0A2A9F53">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恶劣天气应急措施</w:t>
      </w:r>
    </w:p>
    <w:p w14:paraId="026C2115">
      <w:pPr>
        <w:bidi w:val="0"/>
        <w:rPr>
          <w:rFonts w:hint="default"/>
          <w:color w:val="auto"/>
          <w:lang w:val="en-US" w:eastAsia="zh-CN"/>
        </w:rPr>
      </w:pPr>
      <w:r>
        <w:rPr>
          <w:rFonts w:hint="default"/>
          <w:color w:val="auto"/>
          <w:lang w:val="en-US" w:eastAsia="zh-CN"/>
        </w:rPr>
        <w:t>主要针对大风、大雾天气的应急措施。</w:t>
      </w:r>
    </w:p>
    <w:p w14:paraId="78F8BEB8">
      <w:pPr>
        <w:bidi w:val="0"/>
        <w:rPr>
          <w:rFonts w:hint="default"/>
          <w:color w:val="auto"/>
          <w:lang w:val="en-US" w:eastAsia="zh-CN"/>
        </w:rPr>
      </w:pPr>
      <w:r>
        <w:rPr>
          <w:rFonts w:hint="eastAsia"/>
          <w:color w:val="auto"/>
          <w:lang w:val="en-US" w:eastAsia="zh-CN"/>
        </w:rPr>
        <w:t>（1）</w:t>
      </w:r>
      <w:r>
        <w:rPr>
          <w:rFonts w:hint="default"/>
          <w:color w:val="auto"/>
          <w:lang w:val="en-US" w:eastAsia="zh-CN"/>
        </w:rPr>
        <w:t>大风、大雾等恶劣天气停止作业。</w:t>
      </w:r>
    </w:p>
    <w:p w14:paraId="132BA7CA">
      <w:pPr>
        <w:bidi w:val="0"/>
        <w:rPr>
          <w:rFonts w:hint="default"/>
          <w:color w:val="auto"/>
          <w:lang w:val="en-US" w:eastAsia="zh-CN"/>
        </w:rPr>
      </w:pPr>
      <w:r>
        <w:rPr>
          <w:rFonts w:hint="eastAsia"/>
          <w:color w:val="auto"/>
          <w:lang w:val="en-US" w:eastAsia="zh-CN"/>
        </w:rPr>
        <w:t>（2）</w:t>
      </w:r>
      <w:r>
        <w:rPr>
          <w:rFonts w:hint="default"/>
          <w:color w:val="auto"/>
          <w:lang w:val="en-US" w:eastAsia="zh-CN"/>
        </w:rPr>
        <w:t>大风天气做好维护设施的固定工作，提前安排人员做好巡查工作。</w:t>
      </w:r>
    </w:p>
    <w:p w14:paraId="389F3EB3">
      <w:pPr>
        <w:bidi w:val="0"/>
        <w:rPr>
          <w:rFonts w:hint="default"/>
          <w:color w:val="auto"/>
          <w:lang w:val="en-US" w:eastAsia="zh-CN"/>
        </w:rPr>
      </w:pPr>
      <w:r>
        <w:rPr>
          <w:rFonts w:hint="eastAsia"/>
          <w:color w:val="auto"/>
          <w:lang w:val="en-US" w:eastAsia="zh-CN"/>
        </w:rPr>
        <w:t>（3）</w:t>
      </w:r>
      <w:r>
        <w:rPr>
          <w:rFonts w:hint="default"/>
          <w:color w:val="auto"/>
          <w:lang w:val="en-US" w:eastAsia="zh-CN"/>
        </w:rPr>
        <w:t>大雾天气，考虑设置警示灯，在警告区设置红蓝太阳能爆闪等，提高雾天警示效果。</w:t>
      </w:r>
    </w:p>
    <w:p w14:paraId="39517384">
      <w:pPr>
        <w:bidi w:val="0"/>
        <w:rPr>
          <w:rFonts w:hint="default"/>
          <w:color w:val="auto"/>
          <w:lang w:val="en-US" w:eastAsia="zh-CN"/>
        </w:rPr>
      </w:pPr>
      <w:r>
        <w:rPr>
          <w:rFonts w:hint="eastAsia"/>
          <w:color w:val="auto"/>
          <w:lang w:val="en-US" w:eastAsia="zh-CN"/>
        </w:rPr>
        <w:t>（4）</w:t>
      </w:r>
      <w:r>
        <w:rPr>
          <w:rFonts w:hint="default"/>
          <w:color w:val="auto"/>
          <w:lang w:val="en-US" w:eastAsia="zh-CN"/>
        </w:rPr>
        <w:t>及时与路政、交警部门联系，按要求做好配合工作。</w:t>
      </w:r>
    </w:p>
    <w:p w14:paraId="5A6CF53C">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特殊时段进行交通管制时的应急措施。</w:t>
      </w:r>
    </w:p>
    <w:p w14:paraId="7A652B77">
      <w:pPr>
        <w:bidi w:val="0"/>
        <w:rPr>
          <w:rFonts w:hint="default"/>
          <w:color w:val="auto"/>
          <w:lang w:val="en-US" w:eastAsia="zh-CN"/>
        </w:rPr>
      </w:pPr>
      <w:r>
        <w:rPr>
          <w:rFonts w:hint="eastAsia"/>
          <w:color w:val="auto"/>
          <w:lang w:val="en-US" w:eastAsia="zh-CN"/>
        </w:rPr>
        <w:t>（1）</w:t>
      </w:r>
      <w:r>
        <w:rPr>
          <w:rFonts w:hint="default"/>
          <w:color w:val="auto"/>
          <w:lang w:val="en-US" w:eastAsia="zh-CN"/>
        </w:rPr>
        <w:t>在部分特殊时段，交通道路管理部门在施工范围内的道路进行交通管制，作为作业区域内的施工单位，必须安排人员实时对路况进行监控，一旦发现路况有异常情况，第一时间内迅速向交管部门进行反映。</w:t>
      </w:r>
    </w:p>
    <w:p w14:paraId="02AE5CA6">
      <w:pPr>
        <w:bidi w:val="0"/>
        <w:rPr>
          <w:rFonts w:hint="default"/>
          <w:color w:val="auto"/>
          <w:lang w:val="en-US" w:eastAsia="zh-CN"/>
        </w:rPr>
      </w:pPr>
      <w:r>
        <w:rPr>
          <w:rFonts w:hint="eastAsia"/>
          <w:color w:val="auto"/>
          <w:lang w:val="en-US" w:eastAsia="zh-CN"/>
        </w:rPr>
        <w:t>（2）</w:t>
      </w:r>
      <w:r>
        <w:rPr>
          <w:rFonts w:hint="default"/>
          <w:color w:val="auto"/>
          <w:lang w:val="en-US" w:eastAsia="zh-CN"/>
        </w:rPr>
        <w:t>项目部派遣专人配合协助交通道路管理部门进行交通管制协调道路畅通工作，部分相关路段涉及车辆分流的，项目部可派遣人员配合管理。</w:t>
      </w:r>
    </w:p>
    <w:p w14:paraId="3FF82E3E">
      <w:pPr>
        <w:bidi w:val="0"/>
        <w:rPr>
          <w:rFonts w:hint="default"/>
          <w:color w:val="auto"/>
          <w:lang w:val="en-US" w:eastAsia="zh-CN"/>
        </w:rPr>
      </w:pPr>
      <w:r>
        <w:rPr>
          <w:rFonts w:hint="eastAsia"/>
          <w:color w:val="auto"/>
          <w:lang w:val="en-US" w:eastAsia="zh-CN"/>
        </w:rPr>
        <w:t>（3）</w:t>
      </w:r>
      <w:r>
        <w:rPr>
          <w:rFonts w:hint="default"/>
          <w:color w:val="auto"/>
          <w:lang w:val="en-US" w:eastAsia="zh-CN"/>
        </w:rPr>
        <w:t>在交通管制期间，项目部可根据交管部门的需求，提供一定的协助管理临时措施。</w:t>
      </w:r>
    </w:p>
    <w:p w14:paraId="543C02D4">
      <w:pPr>
        <w:bidi w:val="0"/>
        <w:rPr>
          <w:rFonts w:hint="default"/>
          <w:color w:val="auto"/>
          <w:lang w:val="en-US" w:eastAsia="zh-CN"/>
        </w:rPr>
      </w:pPr>
      <w:r>
        <w:rPr>
          <w:rFonts w:hint="default"/>
          <w:color w:val="auto"/>
          <w:lang w:val="en-US" w:eastAsia="zh-CN"/>
        </w:rPr>
        <w:t>（四）应急响应</w:t>
      </w:r>
    </w:p>
    <w:p w14:paraId="79DFDDC4">
      <w:pPr>
        <w:bidi w:val="0"/>
        <w:rPr>
          <w:rFonts w:hint="default"/>
          <w:color w:val="auto"/>
          <w:lang w:val="en-US" w:eastAsia="zh-CN"/>
        </w:rPr>
      </w:pPr>
      <w:r>
        <w:rPr>
          <w:rFonts w:hint="default"/>
          <w:color w:val="auto"/>
          <w:lang w:val="en-US" w:eastAsia="zh-CN"/>
        </w:rPr>
        <w:t>安全事故发生后，施工现场必须第一时间报告项目经理部办公室由办公室报告项目经理</w:t>
      </w:r>
      <w:r>
        <w:rPr>
          <w:rFonts w:hint="eastAsia"/>
          <w:color w:val="auto"/>
          <w:lang w:val="en-US" w:eastAsia="zh-CN"/>
        </w:rPr>
        <w:t>（</w:t>
      </w:r>
      <w:r>
        <w:rPr>
          <w:rFonts w:hint="default"/>
          <w:color w:val="auto"/>
          <w:lang w:val="en-US" w:eastAsia="zh-CN"/>
        </w:rPr>
        <w:t>应急领导小组组长</w:t>
      </w:r>
      <w:r>
        <w:rPr>
          <w:rFonts w:hint="eastAsia"/>
          <w:color w:val="auto"/>
          <w:lang w:val="en-US" w:eastAsia="zh-CN"/>
        </w:rPr>
        <w:t>）</w:t>
      </w:r>
      <w:r>
        <w:rPr>
          <w:rFonts w:hint="default"/>
          <w:color w:val="auto"/>
          <w:lang w:val="en-US" w:eastAsia="zh-CN"/>
        </w:rPr>
        <w:t>。项目经理在详细了解事故准确位置、性质、人员伤亡及其它有关情况后，立即启动应急预案统一指挥所有的人员、车辆、设备、物资等实施紧急抢救。同时立即将事故详细情况报告总监办、业主及公安机关、交警大队等当地有关部门，报告时限不得超过1</w:t>
      </w:r>
      <w:r>
        <w:rPr>
          <w:rFonts w:hint="eastAsia"/>
          <w:color w:val="auto"/>
          <w:lang w:val="en-US" w:eastAsia="zh-CN"/>
        </w:rPr>
        <w:t>h</w:t>
      </w:r>
      <w:r>
        <w:rPr>
          <w:rFonts w:hint="default"/>
          <w:color w:val="auto"/>
          <w:lang w:val="en-US" w:eastAsia="zh-CN"/>
        </w:rPr>
        <w:t>。事故处置根据事故大小情况来确定。如事故特别小，可由项目经理部直接进行处理;如事故较大，项目经理部处理不了，则由项目经理部向交通主管部门请示，请求启动交通主管部门的应急预案，实施紧急救援。</w:t>
      </w:r>
    </w:p>
    <w:p w14:paraId="7833E53F">
      <w:pPr>
        <w:rPr>
          <w:rFonts w:hint="default"/>
          <w:color w:val="auto"/>
          <w:lang w:val="en-US" w:eastAsia="zh-CN"/>
        </w:rPr>
      </w:pPr>
      <w:r>
        <w:rPr>
          <w:rFonts w:hint="default"/>
          <w:color w:val="auto"/>
          <w:lang w:val="en-US" w:eastAsia="zh-CN"/>
        </w:rPr>
        <w:br w:type="page"/>
      </w:r>
    </w:p>
    <w:p w14:paraId="123BE2DC">
      <w:pPr>
        <w:pStyle w:val="2"/>
        <w:numPr>
          <w:ilvl w:val="0"/>
          <w:numId w:val="2"/>
        </w:numPr>
        <w:bidi w:val="0"/>
        <w:ind w:left="0" w:leftChars="0" w:firstLine="0" w:firstLineChars="0"/>
        <w:rPr>
          <w:rFonts w:hint="default"/>
          <w:color w:val="auto"/>
          <w:lang w:val="en-US" w:eastAsia="zh-CN"/>
        </w:rPr>
      </w:pPr>
      <w:bookmarkStart w:id="85" w:name="_Toc3187"/>
      <w:bookmarkStart w:id="86" w:name="_Toc13685"/>
      <w:r>
        <w:rPr>
          <w:rFonts w:hint="default"/>
          <w:color w:val="auto"/>
          <w:lang w:val="en-US" w:eastAsia="zh-CN"/>
        </w:rPr>
        <w:t>危险有害因素辨识</w:t>
      </w:r>
      <w:bookmarkEnd w:id="85"/>
      <w:bookmarkEnd w:id="86"/>
    </w:p>
    <w:p w14:paraId="1D7A1DC2">
      <w:pPr>
        <w:rPr>
          <w:rFonts w:hint="default"/>
          <w:color w:val="auto"/>
          <w:lang w:val="en-US" w:eastAsia="zh-CN"/>
        </w:rPr>
      </w:pPr>
      <w:r>
        <w:rPr>
          <w:rFonts w:hint="default"/>
          <w:color w:val="auto"/>
          <w:lang w:val="en-US" w:eastAsia="zh-CN"/>
        </w:rPr>
        <w:t>危险因素是指能对人造成伤亡或对物造成突发性损坏的因素；有害因素是指能影响人的身体健康，导致疾病，或对物造成慢性损坏的因素。危险、有害因素辨识和分析是安全评</w:t>
      </w:r>
      <w:r>
        <w:rPr>
          <w:rFonts w:hint="eastAsia"/>
          <w:color w:val="auto"/>
          <w:lang w:val="en-US" w:eastAsia="zh-CN"/>
        </w:rPr>
        <w:t>估</w:t>
      </w:r>
      <w:r>
        <w:rPr>
          <w:rFonts w:hint="default"/>
          <w:color w:val="auto"/>
          <w:lang w:val="en-US" w:eastAsia="zh-CN"/>
        </w:rPr>
        <w:t>的基础。</w:t>
      </w:r>
    </w:p>
    <w:p w14:paraId="7C786288">
      <w:pPr>
        <w:rPr>
          <w:rFonts w:hint="default"/>
          <w:color w:val="auto"/>
          <w:lang w:val="en-US" w:eastAsia="zh-CN"/>
        </w:rPr>
      </w:pPr>
      <w:r>
        <w:rPr>
          <w:rFonts w:hint="default"/>
          <w:color w:val="auto"/>
          <w:lang w:val="en-US" w:eastAsia="zh-CN"/>
        </w:rPr>
        <w:t>针对</w:t>
      </w:r>
      <w:r>
        <w:rPr>
          <w:rFonts w:hint="eastAsia"/>
          <w:color w:val="auto"/>
          <w:lang w:val="en-US" w:eastAsia="zh-CN"/>
        </w:rPr>
        <w:t>本</w:t>
      </w:r>
      <w:r>
        <w:rPr>
          <w:rFonts w:hint="default"/>
          <w:color w:val="auto"/>
          <w:lang w:val="en-US" w:eastAsia="zh-CN"/>
        </w:rPr>
        <w:t>工程施工方案，结合现场实际情况，本工程的危险有害因素辨识与分析分为两个阶段：施工安全生产管理阶段危险有害因素辨识与分析、施工阶段危险有害因素辨识与分析。</w:t>
      </w:r>
    </w:p>
    <w:p w14:paraId="4DA6B7F4">
      <w:pPr>
        <w:pStyle w:val="3"/>
        <w:bidi w:val="0"/>
        <w:rPr>
          <w:rFonts w:hint="default"/>
          <w:color w:val="auto"/>
          <w:lang w:val="en-US" w:eastAsia="zh-CN"/>
        </w:rPr>
      </w:pPr>
      <w:bookmarkStart w:id="87" w:name="_Toc8850"/>
      <w:bookmarkStart w:id="88" w:name="_Toc14295"/>
      <w:bookmarkStart w:id="89" w:name="_Toc647"/>
      <w:r>
        <w:rPr>
          <w:rFonts w:hint="default"/>
          <w:color w:val="auto"/>
          <w:lang w:val="en-US" w:eastAsia="zh-CN"/>
        </w:rPr>
        <w:t>3.1 安全管理危险有害因素辨识与分析</w:t>
      </w:r>
      <w:bookmarkEnd w:id="87"/>
      <w:bookmarkEnd w:id="88"/>
      <w:bookmarkEnd w:id="89"/>
    </w:p>
    <w:p w14:paraId="6B27A2DA">
      <w:pPr>
        <w:rPr>
          <w:rFonts w:hint="default"/>
          <w:color w:val="auto"/>
          <w:lang w:val="en-US" w:eastAsia="zh-CN"/>
        </w:rPr>
      </w:pPr>
      <w:r>
        <w:rPr>
          <w:rFonts w:hint="default"/>
          <w:color w:val="auto"/>
          <w:lang w:val="en-US" w:eastAsia="zh-CN"/>
        </w:rPr>
        <w:t>人的不安全行为和物的不安全状态，是造成绝大部分事故的两个潜在的不安全因素，通常称事故隐患。事故潜在的不安全因素是造成人的伤害、物的损失事故的先决条件，各种人身伤害事故均离不开物与人这两个因素。人身伤害事故就是人与物之间产生的一种意外现象。在人与物两个因素中人的因素是最根本的，因为物的不安全状态的背后，实质上还是隐含着人的因素。分析大量事故的原因可以得知，单纯由于物的原因的不安全状态或者单纯由于人的不安全行为导致的事故情况并不多，几乎都是由多种原因交织而形成的，总的说是由人的不安全因素和物的不安全状态以及管理的缺陷等多方面原因结合而形成的。</w:t>
      </w:r>
    </w:p>
    <w:p w14:paraId="3F5A2EF4">
      <w:pPr>
        <w:pStyle w:val="4"/>
        <w:bidi w:val="0"/>
        <w:rPr>
          <w:rFonts w:hint="default"/>
          <w:color w:val="auto"/>
          <w:lang w:val="en-US" w:eastAsia="zh-CN"/>
        </w:rPr>
      </w:pPr>
      <w:bookmarkStart w:id="90" w:name="_Toc13180"/>
      <w:bookmarkStart w:id="91" w:name="_Toc22129"/>
      <w:bookmarkStart w:id="92" w:name="_Toc9513"/>
      <w:r>
        <w:rPr>
          <w:rFonts w:hint="default"/>
          <w:color w:val="auto"/>
          <w:lang w:val="en-US" w:eastAsia="zh-CN"/>
        </w:rPr>
        <w:t>3.1.1 人员的安全管理危险性分析</w:t>
      </w:r>
      <w:bookmarkEnd w:id="90"/>
      <w:bookmarkEnd w:id="91"/>
      <w:bookmarkEnd w:id="92"/>
    </w:p>
    <w:p w14:paraId="40230AA5">
      <w:pPr>
        <w:rPr>
          <w:rFonts w:hint="default"/>
          <w:color w:val="auto"/>
          <w:lang w:val="en-US" w:eastAsia="zh-CN"/>
        </w:rPr>
      </w:pPr>
      <w:r>
        <w:rPr>
          <w:rFonts w:hint="default"/>
          <w:color w:val="auto"/>
          <w:lang w:val="en-US" w:eastAsia="zh-CN"/>
        </w:rPr>
        <w:t>施工现场作业是人、物、环境的直接交叉点，在施工工程中起着主导作用。直接从事施工操作的人，随时随地活动于危险状态的威胁和伤害，随时受到自身行为和危险状态的威胁和伤害。人为的因素导致事故占80%以上。人的行为是可控又是难控的，人员的安全管理是安全生产管理的重点和难点。</w:t>
      </w:r>
    </w:p>
    <w:p w14:paraId="16A68285">
      <w:pPr>
        <w:numPr>
          <w:ilvl w:val="0"/>
          <w:numId w:val="0"/>
        </w:numPr>
        <w:ind w:firstLine="560" w:firstLineChars="200"/>
        <w:rPr>
          <w:rFonts w:hint="default"/>
          <w:color w:val="auto"/>
          <w:lang w:val="en-US" w:eastAsia="zh-CN"/>
        </w:rPr>
      </w:pPr>
      <w:r>
        <w:rPr>
          <w:rFonts w:hint="eastAsia" w:cs="Times New Roman"/>
          <w:color w:val="auto"/>
          <w:kern w:val="2"/>
          <w:sz w:val="28"/>
          <w:szCs w:val="24"/>
          <w:lang w:val="en-US" w:eastAsia="zh-CN" w:bidi="ar-SA"/>
        </w:rPr>
        <w:t>1</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人的不安全因素</w:t>
      </w:r>
    </w:p>
    <w:p w14:paraId="082DCBDB">
      <w:pPr>
        <w:rPr>
          <w:rFonts w:hint="default"/>
          <w:color w:val="auto"/>
          <w:lang w:val="en-US" w:eastAsia="zh-CN"/>
        </w:rPr>
      </w:pPr>
      <w:r>
        <w:rPr>
          <w:rFonts w:hint="eastAsia"/>
          <w:color w:val="auto"/>
          <w:lang w:val="en-US" w:eastAsia="zh-CN"/>
        </w:rPr>
        <w:t>（</w:t>
      </w:r>
      <w:r>
        <w:rPr>
          <w:rFonts w:hint="default"/>
          <w:color w:val="auto"/>
          <w:lang w:val="en-US" w:eastAsia="zh-CN"/>
        </w:rPr>
        <w:t>1）生理上的不安全因素</w:t>
      </w:r>
    </w:p>
    <w:p w14:paraId="6C6AC4E6">
      <w:pPr>
        <w:rPr>
          <w:rFonts w:hint="default"/>
          <w:color w:val="auto"/>
          <w:lang w:val="en-US" w:eastAsia="zh-CN"/>
        </w:rPr>
      </w:pPr>
      <w:r>
        <w:rPr>
          <w:rFonts w:hint="default"/>
          <w:color w:val="auto"/>
          <w:lang w:val="en-US" w:eastAsia="zh-CN"/>
        </w:rPr>
        <w:t>包括不适合作业岗位要求的疾病，年龄，体能，疲劳和洒醉或刚睡过觉，感觉朦胧，视觉、听觉等感觉器官不适应作业岗位要求的等因素。</w:t>
      </w:r>
    </w:p>
    <w:p w14:paraId="57F3149A">
      <w:pPr>
        <w:rPr>
          <w:rFonts w:hint="default"/>
          <w:color w:val="auto"/>
          <w:lang w:val="en-US" w:eastAsia="zh-CN"/>
        </w:rPr>
      </w:pPr>
      <w:r>
        <w:rPr>
          <w:rFonts w:hint="eastAsia"/>
          <w:color w:val="auto"/>
          <w:lang w:val="en-US" w:eastAsia="zh-CN"/>
        </w:rPr>
        <w:t>（</w:t>
      </w:r>
      <w:r>
        <w:rPr>
          <w:rFonts w:hint="default"/>
          <w:color w:val="auto"/>
          <w:lang w:val="en-US" w:eastAsia="zh-CN"/>
        </w:rPr>
        <w:t>2）心理上不安全因素</w:t>
      </w:r>
    </w:p>
    <w:p w14:paraId="7954C23B">
      <w:pPr>
        <w:rPr>
          <w:rFonts w:hint="default"/>
          <w:color w:val="auto"/>
          <w:lang w:val="en-US" w:eastAsia="zh-CN"/>
        </w:rPr>
      </w:pPr>
      <w:r>
        <w:rPr>
          <w:rFonts w:hint="default"/>
          <w:color w:val="auto"/>
          <w:lang w:val="en-US" w:eastAsia="zh-CN"/>
        </w:rPr>
        <w:t>指人在心理上具有影响安全的性格、气质、和情绪（如急躁、懒散、粗心等）</w:t>
      </w:r>
    </w:p>
    <w:p w14:paraId="6E421102">
      <w:pPr>
        <w:rPr>
          <w:rFonts w:hint="default"/>
          <w:color w:val="auto"/>
          <w:lang w:val="en-US" w:eastAsia="zh-CN"/>
        </w:rPr>
      </w:pPr>
      <w:r>
        <w:rPr>
          <w:rFonts w:hint="eastAsia"/>
          <w:color w:val="auto"/>
          <w:lang w:val="en-US" w:eastAsia="zh-CN"/>
        </w:rPr>
        <w:t>（</w:t>
      </w:r>
      <w:r>
        <w:rPr>
          <w:rFonts w:hint="default"/>
          <w:color w:val="auto"/>
          <w:lang w:val="en-US" w:eastAsia="zh-CN"/>
        </w:rPr>
        <w:t>3）能力上的不安全因素</w:t>
      </w:r>
    </w:p>
    <w:p w14:paraId="6A6092CD">
      <w:pPr>
        <w:rPr>
          <w:rFonts w:hint="default"/>
          <w:color w:val="auto"/>
          <w:lang w:val="en-US" w:eastAsia="zh-CN"/>
        </w:rPr>
      </w:pPr>
      <w:r>
        <w:rPr>
          <w:rFonts w:hint="default"/>
          <w:color w:val="auto"/>
          <w:lang w:val="en-US" w:eastAsia="zh-CN"/>
        </w:rPr>
        <w:t>包括知识技能、应变能力、资格等不能适应工作环境和作业岗位要求的影响因素。</w:t>
      </w:r>
    </w:p>
    <w:p w14:paraId="23816B53">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人的不安全行为</w:t>
      </w:r>
    </w:p>
    <w:p w14:paraId="2F212873">
      <w:pPr>
        <w:rPr>
          <w:rFonts w:hint="default"/>
          <w:color w:val="auto"/>
          <w:lang w:val="en-US" w:eastAsia="zh-CN"/>
        </w:rPr>
      </w:pPr>
      <w:r>
        <w:rPr>
          <w:rFonts w:hint="eastAsia"/>
          <w:color w:val="auto"/>
          <w:lang w:val="en-US" w:eastAsia="zh-CN"/>
        </w:rPr>
        <w:t>（</w:t>
      </w:r>
      <w:r>
        <w:rPr>
          <w:rFonts w:hint="default"/>
          <w:color w:val="auto"/>
          <w:lang w:val="en-US" w:eastAsia="zh-CN"/>
        </w:rPr>
        <w:t>1）产生不安全行为的主要原因</w:t>
      </w:r>
    </w:p>
    <w:p w14:paraId="1577E8B5">
      <w:pPr>
        <w:rPr>
          <w:rFonts w:hint="default"/>
          <w:color w:val="auto"/>
          <w:lang w:val="en-US" w:eastAsia="zh-CN"/>
        </w:rPr>
      </w:pPr>
      <w:r>
        <w:rPr>
          <w:rFonts w:hint="default"/>
          <w:color w:val="auto"/>
          <w:lang w:val="en-US" w:eastAsia="zh-CN"/>
        </w:rPr>
        <w:t>主要有工作上的原因，发及系统、组织上的原因，思想上责任性的原因。</w:t>
      </w:r>
    </w:p>
    <w:p w14:paraId="2FF21C48">
      <w:pPr>
        <w:rPr>
          <w:rFonts w:hint="default"/>
          <w:color w:val="auto"/>
          <w:lang w:val="en-US" w:eastAsia="zh-CN"/>
        </w:rPr>
      </w:pPr>
      <w:r>
        <w:rPr>
          <w:rFonts w:hint="eastAsia"/>
          <w:color w:val="auto"/>
          <w:lang w:val="en-US" w:eastAsia="zh-CN"/>
        </w:rPr>
        <w:t>（</w:t>
      </w:r>
      <w:r>
        <w:rPr>
          <w:rFonts w:hint="default"/>
          <w:color w:val="auto"/>
          <w:lang w:val="en-US" w:eastAsia="zh-CN"/>
        </w:rPr>
        <w:t>2）主要工作上的原因</w:t>
      </w:r>
    </w:p>
    <w:p w14:paraId="4CBD6739">
      <w:pPr>
        <w:rPr>
          <w:rFonts w:hint="default"/>
          <w:color w:val="auto"/>
          <w:lang w:val="en-US" w:eastAsia="zh-CN"/>
        </w:rPr>
      </w:pPr>
      <w:r>
        <w:rPr>
          <w:rFonts w:hint="default"/>
          <w:color w:val="auto"/>
          <w:lang w:val="en-US" w:eastAsia="zh-CN"/>
        </w:rPr>
        <w:t>主要有作业速度不适应、工作知识的不足或工作方法不适当，技能不熟练或经验不充分，工作不当，但又不听或不注意管理提示</w:t>
      </w:r>
    </w:p>
    <w:p w14:paraId="6520B9D4">
      <w:pPr>
        <w:rPr>
          <w:rFonts w:hint="default"/>
          <w:color w:val="auto"/>
          <w:lang w:val="en-US" w:eastAsia="zh-CN"/>
        </w:rPr>
      </w:pPr>
      <w:r>
        <w:rPr>
          <w:rFonts w:hint="eastAsia"/>
          <w:color w:val="auto"/>
          <w:lang w:val="en-US" w:eastAsia="zh-CN"/>
        </w:rPr>
        <w:t>（</w:t>
      </w:r>
      <w:r>
        <w:rPr>
          <w:rFonts w:hint="default"/>
          <w:color w:val="auto"/>
          <w:lang w:val="en-US" w:eastAsia="zh-CN"/>
        </w:rPr>
        <w:t>3）不安全行为在施工现场的表现</w:t>
      </w:r>
    </w:p>
    <w:p w14:paraId="72694C80">
      <w:pPr>
        <w:rPr>
          <w:rFonts w:hint="default"/>
          <w:color w:val="auto"/>
          <w:lang w:val="en-US" w:eastAsia="zh-CN"/>
        </w:rPr>
      </w:pPr>
      <w:r>
        <w:rPr>
          <w:rFonts w:hint="default"/>
          <w:color w:val="auto"/>
          <w:lang w:val="en-US" w:eastAsia="zh-CN"/>
        </w:rPr>
        <w:t>1）不安全装束</w:t>
      </w:r>
    </w:p>
    <w:p w14:paraId="63F212F4">
      <w:pPr>
        <w:rPr>
          <w:rFonts w:hint="default"/>
          <w:color w:val="auto"/>
          <w:lang w:val="en-US" w:eastAsia="zh-CN"/>
        </w:rPr>
      </w:pPr>
      <w:r>
        <w:rPr>
          <w:rFonts w:hint="default"/>
          <w:color w:val="auto"/>
          <w:lang w:val="en-US" w:eastAsia="zh-CN"/>
        </w:rPr>
        <w:t>2）物体存放不当</w:t>
      </w:r>
    </w:p>
    <w:p w14:paraId="797DF750">
      <w:pPr>
        <w:rPr>
          <w:rFonts w:hint="default"/>
          <w:color w:val="auto"/>
          <w:lang w:val="en-US" w:eastAsia="zh-CN"/>
        </w:rPr>
      </w:pPr>
      <w:r>
        <w:rPr>
          <w:rFonts w:hint="default"/>
          <w:color w:val="auto"/>
          <w:lang w:val="en-US" w:eastAsia="zh-CN"/>
        </w:rPr>
        <w:t>3）造成安全装置失效</w:t>
      </w:r>
    </w:p>
    <w:p w14:paraId="0D7BB032">
      <w:pPr>
        <w:rPr>
          <w:rFonts w:hint="default"/>
          <w:color w:val="auto"/>
          <w:lang w:val="en-US" w:eastAsia="zh-CN"/>
        </w:rPr>
      </w:pPr>
      <w:r>
        <w:rPr>
          <w:rFonts w:hint="default"/>
          <w:color w:val="auto"/>
          <w:lang w:val="en-US" w:eastAsia="zh-CN"/>
        </w:rPr>
        <w:t>4）冒险进入危险场所</w:t>
      </w:r>
    </w:p>
    <w:p w14:paraId="12DBFE71">
      <w:pPr>
        <w:rPr>
          <w:rFonts w:hint="default"/>
          <w:color w:val="auto"/>
          <w:lang w:val="en-US" w:eastAsia="zh-CN"/>
        </w:rPr>
      </w:pPr>
      <w:r>
        <w:rPr>
          <w:rFonts w:hint="default"/>
          <w:color w:val="auto"/>
          <w:lang w:val="en-US" w:eastAsia="zh-CN"/>
        </w:rPr>
        <w:t>5）徒手代替工具操作</w:t>
      </w:r>
    </w:p>
    <w:p w14:paraId="038A0B81">
      <w:pPr>
        <w:rPr>
          <w:rFonts w:hint="default"/>
          <w:color w:val="auto"/>
          <w:lang w:val="en-US" w:eastAsia="zh-CN"/>
        </w:rPr>
      </w:pPr>
      <w:r>
        <w:rPr>
          <w:rFonts w:hint="default"/>
          <w:color w:val="auto"/>
          <w:lang w:val="en-US" w:eastAsia="zh-CN"/>
        </w:rPr>
        <w:t>6）有分散注意力行为</w:t>
      </w:r>
    </w:p>
    <w:p w14:paraId="6DA08CE7">
      <w:pPr>
        <w:rPr>
          <w:rFonts w:hint="default"/>
          <w:color w:val="auto"/>
          <w:lang w:val="en-US" w:eastAsia="zh-CN"/>
        </w:rPr>
      </w:pPr>
      <w:r>
        <w:rPr>
          <w:rFonts w:hint="default"/>
          <w:color w:val="auto"/>
          <w:lang w:val="en-US" w:eastAsia="zh-CN"/>
        </w:rPr>
        <w:t>7）操作失误、忽视安全、忽视警告</w:t>
      </w:r>
    </w:p>
    <w:p w14:paraId="57A5E108">
      <w:pPr>
        <w:rPr>
          <w:rFonts w:hint="default"/>
          <w:color w:val="auto"/>
          <w:lang w:val="en-US" w:eastAsia="zh-CN"/>
        </w:rPr>
      </w:pPr>
      <w:r>
        <w:rPr>
          <w:rFonts w:hint="default"/>
          <w:color w:val="auto"/>
          <w:lang w:val="en-US" w:eastAsia="zh-CN"/>
        </w:rPr>
        <w:t>8）对易燃易爆等危险品处理错误</w:t>
      </w:r>
    </w:p>
    <w:p w14:paraId="6D943A69">
      <w:pPr>
        <w:rPr>
          <w:rFonts w:hint="default"/>
          <w:color w:val="auto"/>
          <w:lang w:val="en-US" w:eastAsia="zh-CN"/>
        </w:rPr>
      </w:pPr>
      <w:r>
        <w:rPr>
          <w:rFonts w:hint="default"/>
          <w:color w:val="auto"/>
          <w:lang w:val="en-US" w:eastAsia="zh-CN"/>
        </w:rPr>
        <w:t>9）使用不安全设备</w:t>
      </w:r>
    </w:p>
    <w:p w14:paraId="461382AA">
      <w:pPr>
        <w:rPr>
          <w:rFonts w:hint="default"/>
          <w:color w:val="auto"/>
          <w:lang w:val="en-US" w:eastAsia="zh-CN"/>
        </w:rPr>
      </w:pPr>
      <w:r>
        <w:rPr>
          <w:rFonts w:hint="default"/>
          <w:color w:val="auto"/>
          <w:lang w:val="en-US" w:eastAsia="zh-CN"/>
        </w:rPr>
        <w:t>10）攀爬不安全位置</w:t>
      </w:r>
    </w:p>
    <w:p w14:paraId="7068FCFC">
      <w:pPr>
        <w:rPr>
          <w:rFonts w:hint="default"/>
          <w:color w:val="auto"/>
          <w:lang w:val="en-US" w:eastAsia="zh-CN"/>
        </w:rPr>
      </w:pPr>
      <w:r>
        <w:rPr>
          <w:rFonts w:hint="default"/>
          <w:color w:val="auto"/>
          <w:lang w:val="en-US" w:eastAsia="zh-CN"/>
        </w:rPr>
        <w:t>11）在起吊物下作业、停留</w:t>
      </w:r>
    </w:p>
    <w:p w14:paraId="2A628049">
      <w:pPr>
        <w:rPr>
          <w:rFonts w:hint="default"/>
          <w:color w:val="auto"/>
          <w:lang w:val="en-US" w:eastAsia="zh-CN"/>
        </w:rPr>
      </w:pPr>
      <w:r>
        <w:rPr>
          <w:rFonts w:hint="default"/>
          <w:color w:val="auto"/>
          <w:lang w:val="en-US" w:eastAsia="zh-CN"/>
        </w:rPr>
        <w:t>12）没有正确使用个人防护用品、用具</w:t>
      </w:r>
    </w:p>
    <w:p w14:paraId="0F1DA0BC">
      <w:pPr>
        <w:rPr>
          <w:rFonts w:hint="default"/>
          <w:color w:val="auto"/>
          <w:lang w:val="en-US" w:eastAsia="zh-CN"/>
        </w:rPr>
      </w:pPr>
      <w:r>
        <w:rPr>
          <w:rFonts w:hint="default"/>
          <w:color w:val="auto"/>
          <w:lang w:val="en-US" w:eastAsia="zh-CN"/>
        </w:rPr>
        <w:t>13）在机器运转时进行检查、维修、保养等工作</w:t>
      </w:r>
    </w:p>
    <w:p w14:paraId="196811D9">
      <w:pPr>
        <w:pStyle w:val="4"/>
        <w:bidi w:val="0"/>
        <w:rPr>
          <w:rFonts w:hint="default"/>
          <w:color w:val="auto"/>
          <w:lang w:val="en-US" w:eastAsia="zh-CN"/>
        </w:rPr>
      </w:pPr>
      <w:bookmarkStart w:id="93" w:name="_Toc20014"/>
      <w:bookmarkStart w:id="94" w:name="_Toc16438"/>
      <w:bookmarkStart w:id="95" w:name="_Toc10368"/>
      <w:r>
        <w:rPr>
          <w:rFonts w:hint="default"/>
          <w:color w:val="auto"/>
          <w:lang w:val="en-US" w:eastAsia="zh-CN"/>
        </w:rPr>
        <w:t>3.1.2 设备设施的的安全管理危险性分析</w:t>
      </w:r>
      <w:bookmarkEnd w:id="93"/>
      <w:bookmarkEnd w:id="94"/>
      <w:bookmarkEnd w:id="95"/>
    </w:p>
    <w:p w14:paraId="266809F1">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物的不安全状态的内容</w:t>
      </w:r>
    </w:p>
    <w:p w14:paraId="0D16742B">
      <w:pPr>
        <w:rPr>
          <w:rFonts w:hint="default"/>
          <w:color w:val="auto"/>
          <w:lang w:val="en-US" w:eastAsia="zh-CN"/>
        </w:rPr>
      </w:pPr>
      <w:r>
        <w:rPr>
          <w:rFonts w:hint="eastAsia"/>
          <w:color w:val="auto"/>
          <w:lang w:val="en-US" w:eastAsia="zh-CN"/>
        </w:rPr>
        <w:t>（</w:t>
      </w:r>
      <w:r>
        <w:rPr>
          <w:rFonts w:hint="default"/>
          <w:color w:val="auto"/>
          <w:lang w:val="en-US" w:eastAsia="zh-CN"/>
        </w:rPr>
        <w:t>1）安全防护方面的缺陷</w:t>
      </w:r>
    </w:p>
    <w:p w14:paraId="558D66B3">
      <w:pPr>
        <w:rPr>
          <w:rFonts w:hint="default"/>
          <w:color w:val="auto"/>
          <w:lang w:val="en-US" w:eastAsia="zh-CN"/>
        </w:rPr>
      </w:pPr>
      <w:r>
        <w:rPr>
          <w:rFonts w:hint="eastAsia"/>
          <w:color w:val="auto"/>
          <w:lang w:val="en-US" w:eastAsia="zh-CN"/>
        </w:rPr>
        <w:t>（</w:t>
      </w:r>
      <w:r>
        <w:rPr>
          <w:rFonts w:hint="default"/>
          <w:color w:val="auto"/>
          <w:lang w:val="en-US" w:eastAsia="zh-CN"/>
        </w:rPr>
        <w:t>2）作业方法导致的物的不安全状态</w:t>
      </w:r>
    </w:p>
    <w:p w14:paraId="2A282658">
      <w:pPr>
        <w:rPr>
          <w:rFonts w:hint="default"/>
          <w:color w:val="auto"/>
          <w:lang w:val="en-US" w:eastAsia="zh-CN"/>
        </w:rPr>
      </w:pPr>
      <w:r>
        <w:rPr>
          <w:rFonts w:hint="eastAsia"/>
          <w:color w:val="auto"/>
          <w:lang w:val="en-US" w:eastAsia="zh-CN"/>
        </w:rPr>
        <w:t>（</w:t>
      </w:r>
      <w:r>
        <w:rPr>
          <w:rFonts w:hint="default"/>
          <w:color w:val="auto"/>
          <w:lang w:val="en-US" w:eastAsia="zh-CN"/>
        </w:rPr>
        <w:t>3）外部的和自然界的不安全状态</w:t>
      </w:r>
    </w:p>
    <w:p w14:paraId="3ACB09C2">
      <w:pPr>
        <w:rPr>
          <w:rFonts w:hint="default"/>
          <w:color w:val="auto"/>
          <w:lang w:val="en-US" w:eastAsia="zh-CN"/>
        </w:rPr>
      </w:pPr>
      <w:r>
        <w:rPr>
          <w:rFonts w:hint="eastAsia"/>
          <w:color w:val="auto"/>
          <w:lang w:val="en-US" w:eastAsia="zh-CN"/>
        </w:rPr>
        <w:t>（</w:t>
      </w:r>
      <w:r>
        <w:rPr>
          <w:rFonts w:hint="default"/>
          <w:color w:val="auto"/>
          <w:lang w:val="en-US" w:eastAsia="zh-CN"/>
        </w:rPr>
        <w:t>4）作业环境场所的缺陷</w:t>
      </w:r>
    </w:p>
    <w:p w14:paraId="6EC14185">
      <w:pPr>
        <w:rPr>
          <w:rFonts w:hint="default"/>
          <w:color w:val="auto"/>
          <w:lang w:val="en-US" w:eastAsia="zh-CN"/>
        </w:rPr>
      </w:pPr>
      <w:r>
        <w:rPr>
          <w:rFonts w:hint="eastAsia"/>
          <w:color w:val="auto"/>
          <w:lang w:val="en-US" w:eastAsia="zh-CN"/>
        </w:rPr>
        <w:t>（</w:t>
      </w:r>
      <w:r>
        <w:rPr>
          <w:rFonts w:hint="default"/>
          <w:color w:val="auto"/>
          <w:lang w:val="en-US" w:eastAsia="zh-CN"/>
        </w:rPr>
        <w:t>5）保护器具信号、标志和个体防护用品的缺陷</w:t>
      </w:r>
    </w:p>
    <w:p w14:paraId="6B4AEB13">
      <w:pPr>
        <w:rPr>
          <w:rFonts w:hint="default"/>
          <w:color w:val="auto"/>
          <w:lang w:val="en-US" w:eastAsia="zh-CN"/>
        </w:rPr>
      </w:pPr>
      <w:r>
        <w:rPr>
          <w:rFonts w:hint="eastAsia"/>
          <w:color w:val="auto"/>
          <w:lang w:val="en-US" w:eastAsia="zh-CN"/>
        </w:rPr>
        <w:t>（</w:t>
      </w:r>
      <w:r>
        <w:rPr>
          <w:rFonts w:hint="default"/>
          <w:color w:val="auto"/>
          <w:lang w:val="en-US" w:eastAsia="zh-CN"/>
        </w:rPr>
        <w:t>6）物的放置方法的缺陷</w:t>
      </w:r>
    </w:p>
    <w:p w14:paraId="45A5EFB8">
      <w:pPr>
        <w:rPr>
          <w:rFonts w:hint="default"/>
          <w:color w:val="auto"/>
          <w:lang w:val="en-US" w:eastAsia="zh-CN"/>
        </w:rPr>
      </w:pPr>
      <w:r>
        <w:rPr>
          <w:rFonts w:hint="eastAsia"/>
          <w:color w:val="auto"/>
          <w:lang w:val="en-US" w:eastAsia="zh-CN"/>
        </w:rPr>
        <w:t>（</w:t>
      </w:r>
      <w:r>
        <w:rPr>
          <w:rFonts w:hint="default"/>
          <w:color w:val="auto"/>
          <w:lang w:val="en-US" w:eastAsia="zh-CN"/>
        </w:rPr>
        <w:t>7）物（包括机器、设备、工具、物质等）本身存在的缺陷</w:t>
      </w:r>
    </w:p>
    <w:p w14:paraId="7CC829EF">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物的不安全状态的类型</w:t>
      </w:r>
    </w:p>
    <w:p w14:paraId="4AA54C00">
      <w:pPr>
        <w:rPr>
          <w:rFonts w:hint="default"/>
          <w:color w:val="auto"/>
          <w:lang w:val="en-US" w:eastAsia="zh-CN"/>
        </w:rPr>
      </w:pPr>
      <w:r>
        <w:rPr>
          <w:rFonts w:hint="eastAsia"/>
          <w:color w:val="auto"/>
          <w:lang w:val="en-US" w:eastAsia="zh-CN"/>
        </w:rPr>
        <w:t>（</w:t>
      </w:r>
      <w:r>
        <w:rPr>
          <w:rFonts w:hint="default"/>
          <w:color w:val="auto"/>
          <w:lang w:val="en-US" w:eastAsia="zh-CN"/>
        </w:rPr>
        <w:t>1）防护等装置缺乏或有防护装置但存在缺陷</w:t>
      </w:r>
    </w:p>
    <w:p w14:paraId="71A48A85">
      <w:pPr>
        <w:rPr>
          <w:rFonts w:hint="default"/>
          <w:color w:val="auto"/>
          <w:lang w:val="en-US" w:eastAsia="zh-CN"/>
        </w:rPr>
      </w:pPr>
      <w:r>
        <w:rPr>
          <w:rFonts w:hint="eastAsia"/>
          <w:color w:val="auto"/>
          <w:lang w:val="en-US" w:eastAsia="zh-CN"/>
        </w:rPr>
        <w:t>（</w:t>
      </w:r>
      <w:r>
        <w:rPr>
          <w:rFonts w:hint="default"/>
          <w:color w:val="auto"/>
          <w:lang w:val="en-US" w:eastAsia="zh-CN"/>
        </w:rPr>
        <w:t>2）设备、设施、工具、附件有缺陷</w:t>
      </w:r>
    </w:p>
    <w:p w14:paraId="11EE7A8F">
      <w:pPr>
        <w:rPr>
          <w:rFonts w:hint="default"/>
          <w:color w:val="auto"/>
          <w:lang w:val="en-US" w:eastAsia="zh-CN"/>
        </w:rPr>
      </w:pPr>
      <w:r>
        <w:rPr>
          <w:rFonts w:hint="eastAsia"/>
          <w:color w:val="auto"/>
          <w:lang w:val="en-US" w:eastAsia="zh-CN"/>
        </w:rPr>
        <w:t>（</w:t>
      </w:r>
      <w:r>
        <w:rPr>
          <w:rFonts w:hint="default"/>
          <w:color w:val="auto"/>
          <w:lang w:val="en-US" w:eastAsia="zh-CN"/>
        </w:rPr>
        <w:t>3）个人防护用品用具缺少或有防护用品但存在缺陷</w:t>
      </w:r>
    </w:p>
    <w:p w14:paraId="6490B845">
      <w:pPr>
        <w:rPr>
          <w:rFonts w:hint="default"/>
          <w:color w:val="auto"/>
          <w:lang w:val="en-US" w:eastAsia="zh-CN"/>
        </w:rPr>
      </w:pPr>
      <w:r>
        <w:rPr>
          <w:rFonts w:hint="eastAsia"/>
          <w:color w:val="auto"/>
          <w:lang w:val="en-US" w:eastAsia="zh-CN"/>
        </w:rPr>
        <w:t>（</w:t>
      </w:r>
      <w:r>
        <w:rPr>
          <w:rFonts w:hint="default"/>
          <w:color w:val="auto"/>
          <w:lang w:val="en-US" w:eastAsia="zh-CN"/>
        </w:rPr>
        <w:t>4）生产（施工）场地环境不良</w:t>
      </w:r>
    </w:p>
    <w:p w14:paraId="74C7D86E">
      <w:pPr>
        <w:pStyle w:val="4"/>
        <w:bidi w:val="0"/>
        <w:rPr>
          <w:rFonts w:hint="default"/>
          <w:color w:val="auto"/>
          <w:lang w:val="en-US" w:eastAsia="zh-CN"/>
        </w:rPr>
      </w:pPr>
      <w:bookmarkStart w:id="96" w:name="_Toc14381"/>
      <w:bookmarkStart w:id="97" w:name="_Toc21301"/>
      <w:bookmarkStart w:id="98" w:name="_Toc29924"/>
      <w:r>
        <w:rPr>
          <w:rFonts w:hint="default"/>
          <w:color w:val="auto"/>
          <w:lang w:val="en-US" w:eastAsia="zh-CN"/>
        </w:rPr>
        <w:t>3.1.3 安全管理危险性分析</w:t>
      </w:r>
      <w:bookmarkEnd w:id="96"/>
      <w:bookmarkEnd w:id="97"/>
      <w:bookmarkEnd w:id="98"/>
    </w:p>
    <w:p w14:paraId="784CD8A1">
      <w:pPr>
        <w:rPr>
          <w:rFonts w:hint="default"/>
          <w:color w:val="auto"/>
          <w:lang w:val="en-US" w:eastAsia="zh-CN"/>
        </w:rPr>
      </w:pPr>
      <w:r>
        <w:rPr>
          <w:rFonts w:hint="default"/>
          <w:color w:val="auto"/>
          <w:lang w:val="en-US" w:eastAsia="zh-CN"/>
        </w:rPr>
        <w:t>施工现场不安全因素还存在有组织管理工作上的不安全因素，通常称为组织管理上的缺陷，它也是事故潜在的不安全因素，作为间接的原因共有以下方面：</w:t>
      </w:r>
    </w:p>
    <w:p w14:paraId="19EAAE67">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 xml:space="preserve"> </w:t>
      </w:r>
      <w:r>
        <w:rPr>
          <w:rFonts w:hint="default"/>
          <w:color w:val="auto"/>
          <w:lang w:val="en-US" w:eastAsia="zh-CN"/>
        </w:rPr>
        <w:t>技术上的缺陷</w:t>
      </w:r>
    </w:p>
    <w:p w14:paraId="6A6CEA1C">
      <w:pPr>
        <w:rPr>
          <w:rFonts w:hint="default"/>
          <w:color w:val="auto"/>
          <w:lang w:val="en-US" w:eastAsia="zh-CN"/>
        </w:rPr>
      </w:pPr>
      <w:r>
        <w:rPr>
          <w:rFonts w:hint="default"/>
          <w:color w:val="auto"/>
          <w:lang w:val="en-US" w:eastAsia="zh-CN"/>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教育上的缺陷</w:t>
      </w:r>
    </w:p>
    <w:p w14:paraId="3002FFEC">
      <w:pPr>
        <w:rPr>
          <w:rFonts w:hint="default"/>
          <w:color w:val="auto"/>
          <w:lang w:val="en-US" w:eastAsia="zh-CN"/>
        </w:rPr>
      </w:pPr>
      <w:r>
        <w:rPr>
          <w:rFonts w:hint="default"/>
          <w:color w:val="auto"/>
          <w:lang w:val="en-US" w:eastAsia="zh-CN"/>
        </w:rPr>
        <w:t>3</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管理工作上的缺陷</w:t>
      </w:r>
    </w:p>
    <w:p w14:paraId="1F6EB8E5">
      <w:pPr>
        <w:rPr>
          <w:rFonts w:hint="default"/>
          <w:color w:val="auto"/>
          <w:lang w:val="en-US" w:eastAsia="zh-CN"/>
        </w:rPr>
      </w:pPr>
      <w:r>
        <w:rPr>
          <w:rFonts w:hint="default"/>
          <w:color w:val="auto"/>
          <w:lang w:val="en-US" w:eastAsia="zh-CN"/>
        </w:rPr>
        <w:t>4</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生理上的缺陷</w:t>
      </w:r>
    </w:p>
    <w:p w14:paraId="5AE0C084">
      <w:pPr>
        <w:rPr>
          <w:rFonts w:hint="default"/>
          <w:color w:val="auto"/>
          <w:lang w:val="en-US" w:eastAsia="zh-CN"/>
        </w:rPr>
      </w:pPr>
      <w:r>
        <w:rPr>
          <w:rFonts w:hint="default"/>
          <w:color w:val="auto"/>
          <w:lang w:val="en-US" w:eastAsia="zh-CN"/>
        </w:rPr>
        <w:t>5</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心理上的缺陷</w:t>
      </w:r>
    </w:p>
    <w:p w14:paraId="6D1EB936">
      <w:pPr>
        <w:rPr>
          <w:rFonts w:hint="default"/>
          <w:color w:val="auto"/>
          <w:lang w:val="en-US" w:eastAsia="zh-CN"/>
        </w:rPr>
      </w:pPr>
      <w:r>
        <w:rPr>
          <w:rFonts w:hint="default"/>
          <w:color w:val="auto"/>
          <w:lang w:val="en-US" w:eastAsia="zh-CN"/>
        </w:rPr>
        <w:t>6</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学校教育和社会、历史上的原因造成的缺陷</w:t>
      </w:r>
    </w:p>
    <w:p w14:paraId="1DD6E7D1">
      <w:pPr>
        <w:rPr>
          <w:rFonts w:hint="default"/>
          <w:color w:val="auto"/>
          <w:lang w:val="en-US" w:eastAsia="zh-CN"/>
        </w:rPr>
      </w:pPr>
      <w:r>
        <w:rPr>
          <w:rFonts w:hint="default"/>
          <w:color w:val="auto"/>
          <w:lang w:val="en-US" w:eastAsia="zh-CN"/>
        </w:rPr>
        <w:t>所以，工程施工现场安全管理人员应从</w:t>
      </w:r>
      <w:r>
        <w:rPr>
          <w:rFonts w:hint="eastAsia"/>
          <w:color w:val="auto"/>
          <w:lang w:val="en-US" w:eastAsia="zh-CN"/>
        </w:rPr>
        <w:t>“</w:t>
      </w:r>
      <w:r>
        <w:rPr>
          <w:rFonts w:hint="default"/>
          <w:color w:val="auto"/>
          <w:lang w:val="en-US" w:eastAsia="zh-CN"/>
        </w:rPr>
        <w:t>人</w:t>
      </w:r>
      <w:r>
        <w:rPr>
          <w:rFonts w:hint="eastAsia"/>
          <w:color w:val="auto"/>
          <w:lang w:val="en-US" w:eastAsia="zh-CN"/>
        </w:rPr>
        <w:t>”</w:t>
      </w:r>
      <w:r>
        <w:rPr>
          <w:rFonts w:hint="default"/>
          <w:color w:val="auto"/>
          <w:lang w:val="en-US" w:eastAsia="zh-CN"/>
        </w:rPr>
        <w:t>和</w:t>
      </w:r>
      <w:r>
        <w:rPr>
          <w:rFonts w:hint="eastAsia"/>
          <w:color w:val="auto"/>
          <w:lang w:val="en-US" w:eastAsia="zh-CN"/>
        </w:rPr>
        <w:t>“</w:t>
      </w:r>
      <w:r>
        <w:rPr>
          <w:rFonts w:hint="default"/>
          <w:color w:val="auto"/>
          <w:lang w:val="en-US" w:eastAsia="zh-CN"/>
        </w:rPr>
        <w:t>物</w:t>
      </w:r>
      <w:r>
        <w:rPr>
          <w:rFonts w:hint="eastAsia"/>
          <w:color w:val="auto"/>
          <w:lang w:val="en-US" w:eastAsia="zh-CN"/>
        </w:rPr>
        <w:t>”</w:t>
      </w:r>
      <w:r>
        <w:rPr>
          <w:rFonts w:hint="default"/>
          <w:color w:val="auto"/>
          <w:lang w:val="en-US" w:eastAsia="zh-CN"/>
        </w:rPr>
        <w:t>两个方面入手，在组织管理等方面加大工作力度，消除人和物的不安全因素以及管理上的缺陷，预防各类安全事故发生。</w:t>
      </w:r>
    </w:p>
    <w:p w14:paraId="257F642B">
      <w:pPr>
        <w:pStyle w:val="4"/>
        <w:bidi w:val="0"/>
        <w:rPr>
          <w:rFonts w:hint="default"/>
          <w:color w:val="auto"/>
          <w:lang w:val="en-US" w:eastAsia="zh-CN"/>
        </w:rPr>
      </w:pPr>
      <w:bookmarkStart w:id="99" w:name="_Toc19574"/>
      <w:bookmarkStart w:id="100" w:name="_Toc2379"/>
      <w:bookmarkStart w:id="101" w:name="_Toc22860"/>
      <w:r>
        <w:rPr>
          <w:rFonts w:hint="default"/>
          <w:color w:val="auto"/>
          <w:lang w:val="en-US" w:eastAsia="zh-CN"/>
        </w:rPr>
        <w:t>3.1.4 安全标志、照明设备防护设备设施危险有害因素分析</w:t>
      </w:r>
      <w:bookmarkEnd w:id="99"/>
      <w:bookmarkEnd w:id="100"/>
      <w:bookmarkEnd w:id="101"/>
    </w:p>
    <w:p w14:paraId="3899C658">
      <w:pPr>
        <w:rPr>
          <w:rFonts w:hint="default"/>
          <w:color w:val="auto"/>
          <w:lang w:val="en-US" w:eastAsia="zh-CN"/>
        </w:rPr>
      </w:pPr>
      <w:r>
        <w:rPr>
          <w:rFonts w:hint="default"/>
          <w:color w:val="auto"/>
          <w:lang w:val="en-US" w:eastAsia="zh-CN"/>
        </w:rPr>
        <w:t>在设计中应考虑交通信号、交通照明设备等配套设施，否则不仅会对公路安全使用造成威胁。同时还会经常发生交通安全事故，在交通事故中，由于安全保证措施不到位的案例很多。特别是在考虑其它因素时，容易忽略交通安全保证措施。导致路面塌陷而发生的交通事故。</w:t>
      </w:r>
    </w:p>
    <w:p w14:paraId="308475B1">
      <w:pPr>
        <w:pStyle w:val="3"/>
        <w:bidi w:val="0"/>
        <w:rPr>
          <w:rFonts w:hint="default"/>
          <w:color w:val="auto"/>
          <w:lang w:val="en-US" w:eastAsia="zh-CN"/>
        </w:rPr>
      </w:pPr>
      <w:bookmarkStart w:id="102" w:name="_Toc28834"/>
      <w:bookmarkStart w:id="103" w:name="_Toc8304"/>
      <w:bookmarkStart w:id="104" w:name="_Toc10475"/>
      <w:r>
        <w:rPr>
          <w:rFonts w:hint="default"/>
          <w:color w:val="auto"/>
          <w:lang w:val="en-US" w:eastAsia="zh-CN"/>
        </w:rPr>
        <w:t>3.2 项目施工过程危险有害因素辨识与分析</w:t>
      </w:r>
      <w:bookmarkEnd w:id="102"/>
      <w:bookmarkEnd w:id="103"/>
      <w:bookmarkEnd w:id="104"/>
    </w:p>
    <w:p w14:paraId="52DE4694">
      <w:pPr>
        <w:rPr>
          <w:rFonts w:hint="default"/>
          <w:color w:val="auto"/>
          <w:lang w:val="en-US" w:eastAsia="zh-CN"/>
        </w:rPr>
      </w:pPr>
      <w:r>
        <w:rPr>
          <w:rFonts w:hint="default"/>
          <w:color w:val="auto"/>
          <w:lang w:val="en-US" w:eastAsia="zh-CN"/>
        </w:rPr>
        <w:t>本工程施工过程中存在坍塌、触电、物体打击、车辆伤害、机械伤害、火灾、噪声、高低温和其他伤害等危险有害因素。现根据项目特点，从工程施工个要素对本工程分析如下：</w:t>
      </w:r>
    </w:p>
    <w:p w14:paraId="7B8A7450">
      <w:pPr>
        <w:pStyle w:val="4"/>
        <w:bidi w:val="0"/>
        <w:rPr>
          <w:rFonts w:hint="default"/>
          <w:color w:val="auto"/>
          <w:lang w:val="en-US" w:eastAsia="zh-CN"/>
        </w:rPr>
      </w:pPr>
      <w:bookmarkStart w:id="105" w:name="_Toc6528"/>
      <w:bookmarkStart w:id="106" w:name="_Toc26008"/>
      <w:bookmarkStart w:id="107" w:name="_Toc30459"/>
      <w:r>
        <w:rPr>
          <w:rFonts w:hint="default"/>
          <w:color w:val="auto"/>
          <w:lang w:val="en-US" w:eastAsia="zh-CN"/>
        </w:rPr>
        <w:t>3.2.1 坍塌</w:t>
      </w:r>
      <w:bookmarkEnd w:id="105"/>
      <w:bookmarkEnd w:id="106"/>
      <w:bookmarkEnd w:id="107"/>
    </w:p>
    <w:p w14:paraId="043E1F63">
      <w:pPr>
        <w:rPr>
          <w:rFonts w:hint="default"/>
          <w:color w:val="auto"/>
          <w:lang w:val="en-US" w:eastAsia="zh-CN"/>
        </w:rPr>
      </w:pPr>
      <w:r>
        <w:rPr>
          <w:rFonts w:hint="default"/>
          <w:color w:val="auto"/>
          <w:lang w:val="en-US" w:eastAsia="zh-CN"/>
        </w:rPr>
        <w:t>在施工过程中，危险作业中有：不良地质条件下的潜在危险性的土方、石方开挖</w:t>
      </w:r>
      <w:r>
        <w:rPr>
          <w:rFonts w:hint="eastAsia" w:ascii="Times New Roman" w:eastAsia="宋体"/>
          <w:color w:val="auto"/>
          <w:lang w:val="en-US" w:eastAsia="zh-CN"/>
        </w:rPr>
        <w:t>、</w:t>
      </w:r>
      <w:r>
        <w:rPr>
          <w:rFonts w:hint="default"/>
          <w:color w:val="auto"/>
          <w:lang w:val="en-US" w:eastAsia="zh-CN"/>
        </w:rPr>
        <w:t>滑坡处理</w:t>
      </w:r>
      <w:r>
        <w:rPr>
          <w:rFonts w:hint="eastAsia" w:ascii="Times New Roman" w:eastAsia="宋体"/>
          <w:color w:val="auto"/>
          <w:lang w:val="en-US" w:eastAsia="zh-CN"/>
        </w:rPr>
        <w:t>，</w:t>
      </w:r>
      <w:r>
        <w:rPr>
          <w:rFonts w:hint="default"/>
          <w:color w:val="auto"/>
          <w:lang w:val="en-US" w:eastAsia="zh-CN"/>
        </w:rPr>
        <w:t>都是容易引起坍塌事故。</w:t>
      </w:r>
    </w:p>
    <w:p w14:paraId="446C4406">
      <w:pPr>
        <w:rPr>
          <w:rFonts w:hint="default"/>
          <w:color w:val="auto"/>
          <w:lang w:val="en-US" w:eastAsia="zh-CN"/>
        </w:rPr>
      </w:pPr>
      <w:r>
        <w:rPr>
          <w:rFonts w:hint="default"/>
          <w:color w:val="auto"/>
          <w:lang w:val="en-US" w:eastAsia="zh-CN"/>
        </w:rPr>
        <w:t>坍塌的主要引发原因有：</w:t>
      </w:r>
    </w:p>
    <w:p w14:paraId="104ED92B">
      <w:pPr>
        <w:rPr>
          <w:rFonts w:hint="default"/>
          <w:color w:val="auto"/>
          <w:lang w:val="en-US" w:eastAsia="zh-CN"/>
        </w:rPr>
      </w:pPr>
      <w:r>
        <w:rPr>
          <w:rFonts w:hint="default"/>
          <w:color w:val="auto"/>
          <w:lang w:val="en-US" w:eastAsia="zh-CN"/>
        </w:rPr>
        <w:t>1</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基坑开挖过程中，未设防井壁坍塌安全设施，或防井壁坍塌安全设施设置不当；</w:t>
      </w:r>
    </w:p>
    <w:p w14:paraId="4DDFFC76">
      <w:pPr>
        <w:rPr>
          <w:rFonts w:hint="default"/>
          <w:color w:val="auto"/>
          <w:lang w:val="en-US" w:eastAsia="zh-CN"/>
        </w:rPr>
      </w:pPr>
      <w:r>
        <w:rPr>
          <w:rFonts w:hint="default"/>
          <w:color w:val="auto"/>
          <w:lang w:val="en-US" w:eastAsia="zh-CN"/>
        </w:rPr>
        <w:t>2</w:t>
      </w:r>
      <w:r>
        <w:rPr>
          <w:rFonts w:hint="default" w:ascii="Times New Roman" w:hAnsi="Times New Roman" w:eastAsia="宋体" w:cs="Times New Roman"/>
          <w:color w:val="auto"/>
          <w:kern w:val="2"/>
          <w:sz w:val="28"/>
          <w:szCs w:val="24"/>
          <w:lang w:val="en-US" w:eastAsia="zh-CN" w:bidi="ar-SA"/>
        </w:rPr>
        <w:t>.</w:t>
      </w:r>
      <w:r>
        <w:rPr>
          <w:rFonts w:hint="eastAsia" w:cs="Times New Roman"/>
          <w:color w:val="auto"/>
          <w:kern w:val="2"/>
          <w:sz w:val="28"/>
          <w:szCs w:val="24"/>
          <w:lang w:val="en-US" w:eastAsia="zh-CN" w:bidi="ar-SA"/>
        </w:rPr>
        <w:t xml:space="preserve"> </w:t>
      </w:r>
      <w:r>
        <w:rPr>
          <w:rFonts w:hint="default"/>
          <w:color w:val="auto"/>
          <w:lang w:val="en-US" w:eastAsia="zh-CN"/>
        </w:rPr>
        <w:t>施工过程中，由于施工作业不当、保护措施不到位以及暴雨洪水等自然因素，引发基坑坍塌。</w:t>
      </w:r>
    </w:p>
    <w:p w14:paraId="3CF63201">
      <w:pPr>
        <w:pStyle w:val="4"/>
        <w:bidi w:val="0"/>
        <w:rPr>
          <w:rFonts w:hint="default"/>
          <w:color w:val="auto"/>
          <w:lang w:val="en-US" w:eastAsia="zh-CN"/>
        </w:rPr>
      </w:pPr>
      <w:bookmarkStart w:id="108" w:name="_Toc29538"/>
      <w:bookmarkStart w:id="109" w:name="_Toc31666"/>
      <w:bookmarkStart w:id="110" w:name="_Toc20274"/>
      <w:r>
        <w:rPr>
          <w:rFonts w:hint="default"/>
          <w:color w:val="auto"/>
          <w:lang w:val="en-US" w:eastAsia="zh-CN"/>
        </w:rPr>
        <w:t>3.2.2 触电</w:t>
      </w:r>
      <w:bookmarkEnd w:id="108"/>
      <w:bookmarkEnd w:id="109"/>
      <w:bookmarkEnd w:id="110"/>
    </w:p>
    <w:p w14:paraId="4439B1C1">
      <w:pPr>
        <w:rPr>
          <w:rFonts w:hint="eastAsia"/>
          <w:color w:val="auto"/>
          <w:lang w:val="en-US" w:eastAsia="zh-CN"/>
        </w:rPr>
      </w:pPr>
      <w:r>
        <w:rPr>
          <w:rFonts w:hint="default"/>
          <w:color w:val="auto"/>
          <w:lang w:val="en-US" w:eastAsia="zh-CN"/>
        </w:rPr>
        <w:t>在施工现场</w:t>
      </w:r>
      <w:r>
        <w:rPr>
          <w:rFonts w:hint="eastAsia" w:ascii="Times New Roman" w:eastAsia="宋体"/>
          <w:color w:val="auto"/>
          <w:lang w:val="en-US" w:eastAsia="zh-CN"/>
        </w:rPr>
        <w:t>存在临时用电</w:t>
      </w:r>
      <w:r>
        <w:rPr>
          <w:rFonts w:hint="default"/>
          <w:color w:val="auto"/>
          <w:lang w:val="en-US" w:eastAsia="zh-CN"/>
        </w:rPr>
        <w:t>，临时用电存在以下危险性</w:t>
      </w:r>
      <w:r>
        <w:rPr>
          <w:rFonts w:hint="eastAsia" w:ascii="Times New Roman" w:eastAsia="宋体"/>
          <w:color w:val="auto"/>
          <w:lang w:val="en-US" w:eastAsia="zh-CN"/>
        </w:rPr>
        <w:t>：</w:t>
      </w:r>
    </w:p>
    <w:p w14:paraId="0A97554E">
      <w:pPr>
        <w:numPr>
          <w:ilvl w:val="0"/>
          <w:numId w:val="3"/>
        </w:numPr>
        <w:ind w:firstLine="560" w:firstLineChars="200"/>
        <w:rPr>
          <w:rFonts w:hint="default"/>
          <w:color w:val="auto"/>
          <w:lang w:val="en-US" w:eastAsia="zh-CN"/>
        </w:rPr>
      </w:pPr>
      <w:r>
        <w:rPr>
          <w:rFonts w:hint="default"/>
          <w:color w:val="auto"/>
          <w:lang w:val="en-US" w:eastAsia="zh-CN"/>
        </w:rPr>
        <w:t>电源不稳定</w:t>
      </w:r>
      <w:r>
        <w:rPr>
          <w:rFonts w:hint="eastAsia" w:ascii="Times New Roman" w:eastAsia="宋体"/>
          <w:color w:val="auto"/>
          <w:lang w:val="en-US" w:eastAsia="zh-CN"/>
        </w:rPr>
        <w:t>：</w:t>
      </w:r>
      <w:r>
        <w:rPr>
          <w:rFonts w:hint="default"/>
          <w:color w:val="auto"/>
          <w:lang w:val="en-US" w:eastAsia="zh-CN"/>
        </w:rPr>
        <w:t>施工现场通常使用临时电源，电压波动较大，可能引起设备损坏或人身伤害。</w:t>
      </w:r>
    </w:p>
    <w:p w14:paraId="63595DFF">
      <w:pPr>
        <w:numPr>
          <w:ilvl w:val="0"/>
          <w:numId w:val="3"/>
        </w:numPr>
        <w:ind w:firstLine="560" w:firstLineChars="200"/>
        <w:rPr>
          <w:rFonts w:hint="default"/>
          <w:color w:val="auto"/>
          <w:lang w:val="en-US" w:eastAsia="zh-CN"/>
        </w:rPr>
      </w:pPr>
      <w:r>
        <w:rPr>
          <w:rFonts w:hint="default"/>
          <w:color w:val="auto"/>
          <w:lang w:val="en-US" w:eastAsia="zh-CN"/>
        </w:rPr>
        <w:t>电线暴露在外</w:t>
      </w:r>
      <w:r>
        <w:rPr>
          <w:rFonts w:hint="eastAsia" w:ascii="Times New Roman" w:eastAsia="宋体"/>
          <w:color w:val="auto"/>
          <w:lang w:val="en-US" w:eastAsia="zh-CN"/>
        </w:rPr>
        <w:t>：</w:t>
      </w:r>
      <w:r>
        <w:rPr>
          <w:rFonts w:hint="default"/>
          <w:color w:val="auto"/>
          <w:lang w:val="en-US" w:eastAsia="zh-CN"/>
        </w:rPr>
        <w:t>由于施工现场的特殊性，电线往往没有固定的线槽或管道，容易被人和机械设备踩踏或制断。</w:t>
      </w:r>
    </w:p>
    <w:p w14:paraId="1A9CEF12">
      <w:pPr>
        <w:numPr>
          <w:ilvl w:val="0"/>
          <w:numId w:val="3"/>
        </w:numPr>
        <w:ind w:firstLine="560" w:firstLineChars="200"/>
        <w:rPr>
          <w:rFonts w:hint="default"/>
          <w:color w:val="auto"/>
          <w:lang w:val="en-US" w:eastAsia="zh-CN"/>
        </w:rPr>
      </w:pPr>
      <w:r>
        <w:rPr>
          <w:rFonts w:hint="default"/>
          <w:color w:val="auto"/>
          <w:lang w:val="en-US" w:eastAsia="zh-CN"/>
        </w:rPr>
        <w:t>潮湿环境</w:t>
      </w:r>
      <w:r>
        <w:rPr>
          <w:rFonts w:hint="eastAsia" w:ascii="Times New Roman" w:eastAsia="宋体"/>
          <w:color w:val="auto"/>
          <w:lang w:val="en-US" w:eastAsia="zh-CN"/>
        </w:rPr>
        <w:t>：</w:t>
      </w:r>
      <w:r>
        <w:rPr>
          <w:rFonts w:hint="default"/>
          <w:color w:val="auto"/>
          <w:lang w:val="en-US" w:eastAsia="zh-CN"/>
        </w:rPr>
        <w:t>施工现场通常处于露天或半露天环境中，容易受到雨水或水泥浆的侵蚀，增加电气事故的发生几率。</w:t>
      </w:r>
    </w:p>
    <w:p w14:paraId="7C63E97E">
      <w:pPr>
        <w:numPr>
          <w:ilvl w:val="0"/>
          <w:numId w:val="3"/>
        </w:numPr>
        <w:ind w:firstLine="560" w:firstLineChars="200"/>
        <w:rPr>
          <w:rFonts w:hint="default"/>
          <w:color w:val="auto"/>
          <w:lang w:val="en-US" w:eastAsia="zh-CN"/>
        </w:rPr>
      </w:pPr>
      <w:r>
        <w:rPr>
          <w:rFonts w:hint="default"/>
          <w:color w:val="auto"/>
          <w:lang w:val="en-US" w:eastAsia="zh-CN"/>
        </w:rPr>
        <w:t>未经专业人员检修</w:t>
      </w:r>
      <w:r>
        <w:rPr>
          <w:rFonts w:hint="eastAsia" w:ascii="Times New Roman" w:eastAsia="宋体"/>
          <w:color w:val="auto"/>
          <w:lang w:val="en-US" w:eastAsia="zh-CN"/>
        </w:rPr>
        <w:t>：</w:t>
      </w:r>
      <w:r>
        <w:rPr>
          <w:rFonts w:hint="default"/>
          <w:color w:val="auto"/>
          <w:lang w:val="en-US" w:eastAsia="zh-CN"/>
        </w:rPr>
        <w:t>施工现场临时用电通常由非专业人员进行安装和维修，存在安装不规范或维修不及时的风险。</w:t>
      </w:r>
    </w:p>
    <w:p w14:paraId="1FA2A3CD">
      <w:pPr>
        <w:rPr>
          <w:rFonts w:hint="default"/>
          <w:color w:val="auto"/>
          <w:lang w:val="en-US" w:eastAsia="zh-CN"/>
        </w:rPr>
      </w:pPr>
      <w:r>
        <w:rPr>
          <w:rFonts w:hint="default"/>
          <w:color w:val="auto"/>
          <w:lang w:val="en-US" w:eastAsia="zh-CN"/>
        </w:rPr>
        <w:t>电气伤害的表现形式主要有二种，电击和电灼伤。电击是电流通过人体使得器官功能受干扰或丧失，人体对电流最敏感的是心脏，当电流超过50mA时即可引起心脏胫孪、甚至于停止跳动导致死亡；电灼伤是电流通过人体触电部位产生强大的电流，瞬间产生的电弧热触电部位热灼伤、皮肤金属化，严重可肢体烧伤炭化。</w:t>
      </w:r>
    </w:p>
    <w:p w14:paraId="4425606C">
      <w:pPr>
        <w:rPr>
          <w:rFonts w:hint="default"/>
          <w:color w:val="auto"/>
          <w:lang w:val="en-US" w:eastAsia="zh-CN"/>
        </w:rPr>
      </w:pPr>
      <w:r>
        <w:rPr>
          <w:rFonts w:hint="default"/>
          <w:color w:val="auto"/>
          <w:lang w:val="en-US" w:eastAsia="zh-CN"/>
        </w:rPr>
        <w:t>本评估项目作业区</w:t>
      </w:r>
      <w:r>
        <w:rPr>
          <w:rFonts w:hint="eastAsia"/>
          <w:color w:val="auto"/>
          <w:lang w:val="en-US" w:eastAsia="zh-CN"/>
        </w:rPr>
        <w:t>若</w:t>
      </w:r>
      <w:r>
        <w:rPr>
          <w:rFonts w:hint="default"/>
          <w:color w:val="auto"/>
          <w:lang w:val="en-US" w:eastAsia="zh-CN"/>
        </w:rPr>
        <w:t>发生雷击可直接导致人员伤亡、设备设施和建构筑物损坏，并可间接引发火灾。</w:t>
      </w:r>
    </w:p>
    <w:p w14:paraId="7DFE2CB4">
      <w:pPr>
        <w:pStyle w:val="4"/>
        <w:bidi w:val="0"/>
        <w:rPr>
          <w:rFonts w:hint="default"/>
          <w:color w:val="auto"/>
          <w:lang w:val="en-US" w:eastAsia="zh-CN"/>
        </w:rPr>
      </w:pPr>
      <w:bookmarkStart w:id="111" w:name="_Toc28618"/>
      <w:bookmarkStart w:id="112" w:name="_Toc3048"/>
      <w:bookmarkStart w:id="113" w:name="_Toc2596"/>
      <w:r>
        <w:rPr>
          <w:rFonts w:hint="default"/>
          <w:color w:val="auto"/>
          <w:lang w:val="en-US" w:eastAsia="zh-CN"/>
        </w:rPr>
        <w:t>3.2.3 物体打击</w:t>
      </w:r>
      <w:bookmarkEnd w:id="111"/>
      <w:bookmarkEnd w:id="112"/>
      <w:bookmarkEnd w:id="113"/>
    </w:p>
    <w:p w14:paraId="34E67D3A">
      <w:pPr>
        <w:rPr>
          <w:rFonts w:hint="default"/>
          <w:color w:val="auto"/>
          <w:lang w:val="en-US" w:eastAsia="zh-CN"/>
        </w:rPr>
      </w:pPr>
      <w:r>
        <w:rPr>
          <w:rFonts w:hint="default"/>
          <w:color w:val="auto"/>
          <w:lang w:val="en-US" w:eastAsia="zh-CN"/>
        </w:rPr>
        <w:t>物体打击是指物体在重力或其他外力的作用下产生运动，打击人体造成人身伤亡事故，不包括因机械设备、车辆、起重机械、坍塌等引发的物体打击。</w:t>
      </w:r>
    </w:p>
    <w:p w14:paraId="707CA23D">
      <w:pPr>
        <w:rPr>
          <w:rFonts w:hint="default"/>
          <w:color w:val="auto"/>
          <w:lang w:val="en-US" w:eastAsia="zh-CN"/>
        </w:rPr>
      </w:pPr>
      <w:r>
        <w:rPr>
          <w:rFonts w:hint="default"/>
          <w:color w:val="auto"/>
          <w:lang w:val="en-US" w:eastAsia="zh-CN"/>
        </w:rPr>
        <w:t>施工现场物料堆放区</w:t>
      </w:r>
      <w:r>
        <w:rPr>
          <w:rFonts w:hint="eastAsia"/>
          <w:color w:val="auto"/>
          <w:lang w:val="en-US" w:eastAsia="zh-CN"/>
        </w:rPr>
        <w:t>（</w:t>
      </w:r>
      <w:r>
        <w:rPr>
          <w:rFonts w:hint="default"/>
          <w:color w:val="auto"/>
          <w:lang w:val="en-US" w:eastAsia="zh-CN"/>
        </w:rPr>
        <w:t>碎石</w:t>
      </w:r>
      <w:r>
        <w:rPr>
          <w:rFonts w:hint="eastAsia"/>
          <w:color w:val="auto"/>
          <w:lang w:val="en-US" w:eastAsia="zh-CN"/>
        </w:rPr>
        <w:t>）</w:t>
      </w:r>
      <w:r>
        <w:rPr>
          <w:rFonts w:hint="default"/>
          <w:color w:val="auto"/>
          <w:lang w:val="en-US" w:eastAsia="zh-CN"/>
        </w:rPr>
        <w:t>如果堆码不整齐或堆垛不牢固，可能会引起堆垛倒塌，导致物体打击事故的发生。</w:t>
      </w:r>
    </w:p>
    <w:p w14:paraId="3E4116FD">
      <w:pPr>
        <w:pStyle w:val="4"/>
        <w:bidi w:val="0"/>
        <w:rPr>
          <w:rFonts w:hint="default"/>
          <w:color w:val="auto"/>
          <w:lang w:val="en-US" w:eastAsia="zh-CN"/>
        </w:rPr>
      </w:pPr>
      <w:bookmarkStart w:id="114" w:name="_Toc12370"/>
      <w:bookmarkStart w:id="115" w:name="_Toc16158"/>
      <w:bookmarkStart w:id="116" w:name="_Toc24576"/>
      <w:r>
        <w:rPr>
          <w:rFonts w:hint="default"/>
          <w:color w:val="auto"/>
          <w:lang w:val="en-US" w:eastAsia="zh-CN"/>
        </w:rPr>
        <w:t>3.2.4 车辆伤害</w:t>
      </w:r>
      <w:bookmarkEnd w:id="114"/>
      <w:bookmarkEnd w:id="115"/>
      <w:bookmarkEnd w:id="116"/>
    </w:p>
    <w:p w14:paraId="4519BBAA">
      <w:pPr>
        <w:rPr>
          <w:rFonts w:hint="default"/>
          <w:color w:val="auto"/>
          <w:lang w:val="en-US" w:eastAsia="zh-CN"/>
        </w:rPr>
      </w:pPr>
      <w:r>
        <w:rPr>
          <w:rFonts w:hint="default"/>
          <w:color w:val="auto"/>
          <w:lang w:val="en-US" w:eastAsia="zh-CN"/>
        </w:rPr>
        <w:t>车辆伤害是指</w:t>
      </w:r>
      <w:r>
        <w:rPr>
          <w:rFonts w:hint="eastAsia"/>
          <w:color w:val="auto"/>
          <w:lang w:val="en-US" w:eastAsia="zh-CN"/>
        </w:rPr>
        <w:t>施工单位</w:t>
      </w:r>
      <w:r>
        <w:rPr>
          <w:rFonts w:hint="default"/>
          <w:color w:val="auto"/>
          <w:lang w:val="en-US" w:eastAsia="zh-CN"/>
        </w:rPr>
        <w:t>机动车辆在行驶中引起的人体坠落和物体倒塌、飞落、挤压伤亡事故，不包括起重设备提升、牵引车辆和车辆停驶时发生的事故。</w:t>
      </w:r>
    </w:p>
    <w:p w14:paraId="451F21CB">
      <w:pPr>
        <w:rPr>
          <w:rFonts w:hint="default"/>
          <w:color w:val="auto"/>
          <w:lang w:val="en-US" w:eastAsia="zh-CN"/>
        </w:rPr>
      </w:pPr>
      <w:r>
        <w:rPr>
          <w:rFonts w:hint="default"/>
          <w:color w:val="auto"/>
          <w:lang w:val="en-US" w:eastAsia="zh-CN"/>
        </w:rPr>
        <w:t>施工车辆在运行过程中可能会引起车辆伤害事故的发生，作业需运输物料，可能因违章驾驶、制动失效、超速行驶、视线不良等，容易造成车辆伤害。施工时因占道、材料掉落公路上等事件可能引发交通事故。公路行驶车辆发生车辆事故、故障造成施工人员设备设施破坏。</w:t>
      </w:r>
    </w:p>
    <w:p w14:paraId="54015F17">
      <w:pPr>
        <w:pStyle w:val="4"/>
        <w:bidi w:val="0"/>
        <w:rPr>
          <w:rFonts w:hint="default"/>
          <w:color w:val="auto"/>
          <w:lang w:val="en-US" w:eastAsia="zh-CN"/>
        </w:rPr>
      </w:pPr>
      <w:bookmarkStart w:id="117" w:name="_Toc8769"/>
      <w:bookmarkStart w:id="118" w:name="_Toc6050"/>
      <w:bookmarkStart w:id="119" w:name="_Toc28751"/>
      <w:r>
        <w:rPr>
          <w:rFonts w:hint="default"/>
          <w:color w:val="auto"/>
          <w:lang w:val="en-US" w:eastAsia="zh-CN"/>
        </w:rPr>
        <w:t>3.2.5 机械伤害</w:t>
      </w:r>
      <w:bookmarkEnd w:id="117"/>
      <w:bookmarkEnd w:id="118"/>
      <w:bookmarkEnd w:id="119"/>
    </w:p>
    <w:p w14:paraId="73516A07">
      <w:pPr>
        <w:rPr>
          <w:rFonts w:hint="default"/>
          <w:color w:val="auto"/>
          <w:lang w:val="en-US" w:eastAsia="zh-CN"/>
        </w:rPr>
      </w:pPr>
      <w:r>
        <w:rPr>
          <w:rFonts w:hint="default"/>
          <w:color w:val="auto"/>
          <w:lang w:val="en-US" w:eastAsia="zh-CN"/>
        </w:rPr>
        <w:t>机械伤害是指机械设备运动（静止）部件、工具、加工件直接与人体接触引起的夹击、碰撞、剪切、卷入、绞、碾、割、刺等伤害，不包括车辆、起重机械引起的机械伤害。</w:t>
      </w:r>
    </w:p>
    <w:p w14:paraId="554B07F1">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机械伤害发生的主要原因</w:t>
      </w:r>
    </w:p>
    <w:p w14:paraId="14220393">
      <w:pPr>
        <w:rPr>
          <w:rFonts w:hint="default"/>
          <w:color w:val="auto"/>
          <w:lang w:val="en-US" w:eastAsia="zh-CN"/>
        </w:rPr>
      </w:pPr>
      <w:r>
        <w:rPr>
          <w:rFonts w:hint="eastAsia"/>
          <w:color w:val="auto"/>
          <w:lang w:val="en-US" w:eastAsia="zh-CN"/>
        </w:rPr>
        <w:t>（</w:t>
      </w:r>
      <w:r>
        <w:rPr>
          <w:rFonts w:hint="default"/>
          <w:color w:val="auto"/>
          <w:lang w:val="en-US" w:eastAsia="zh-CN"/>
        </w:rPr>
        <w:t>1）机械设备的传动、转动部件无有效防护装置。</w:t>
      </w:r>
    </w:p>
    <w:p w14:paraId="71D8070C">
      <w:pPr>
        <w:rPr>
          <w:rFonts w:hint="default"/>
          <w:color w:val="auto"/>
          <w:lang w:val="en-US" w:eastAsia="zh-CN"/>
        </w:rPr>
      </w:pPr>
      <w:r>
        <w:rPr>
          <w:rFonts w:hint="eastAsia"/>
          <w:color w:val="auto"/>
          <w:lang w:val="en-US" w:eastAsia="zh-CN"/>
        </w:rPr>
        <w:t>（</w:t>
      </w:r>
      <w:r>
        <w:rPr>
          <w:rFonts w:hint="default"/>
          <w:color w:val="auto"/>
          <w:lang w:val="en-US" w:eastAsia="zh-CN"/>
        </w:rPr>
        <w:t>2）人员不小心触及到机械设备的静止危险部位。</w:t>
      </w:r>
    </w:p>
    <w:p w14:paraId="56A738E0">
      <w:pPr>
        <w:rPr>
          <w:rFonts w:hint="default"/>
          <w:color w:val="auto"/>
          <w:lang w:val="en-US" w:eastAsia="zh-CN"/>
        </w:rPr>
      </w:pPr>
      <w:r>
        <w:rPr>
          <w:rFonts w:hint="eastAsia"/>
          <w:color w:val="auto"/>
          <w:lang w:val="en-US" w:eastAsia="zh-CN"/>
        </w:rPr>
        <w:t>（</w:t>
      </w:r>
      <w:r>
        <w:rPr>
          <w:rFonts w:hint="default"/>
          <w:color w:val="auto"/>
          <w:lang w:val="en-US" w:eastAsia="zh-CN"/>
        </w:rPr>
        <w:t>3）操作人员未穿戴劳保用品或劳保用品穿戴不当：</w:t>
      </w:r>
    </w:p>
    <w:p w14:paraId="141FF95A">
      <w:pPr>
        <w:rPr>
          <w:rFonts w:hint="default"/>
          <w:color w:val="auto"/>
          <w:lang w:val="en-US" w:eastAsia="zh-CN"/>
        </w:rPr>
      </w:pPr>
      <w:r>
        <w:rPr>
          <w:rFonts w:hint="eastAsia"/>
          <w:color w:val="auto"/>
          <w:lang w:val="en-US" w:eastAsia="zh-CN"/>
        </w:rPr>
        <w:t>（</w:t>
      </w:r>
      <w:r>
        <w:rPr>
          <w:rFonts w:hint="default"/>
          <w:color w:val="auto"/>
          <w:lang w:val="en-US" w:eastAsia="zh-CN"/>
        </w:rPr>
        <w:t>4）违章作业。</w:t>
      </w:r>
    </w:p>
    <w:p w14:paraId="7E3F7553">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一些机械设备，作业人员容易接近设备，如果在设备有缺陷或作业人员发生误操作等特定条件下可以对作业人员造成挤压、碰撞、撞击、夹断、擦伤等机械伤害。</w:t>
      </w:r>
    </w:p>
    <w:p w14:paraId="1FACA756">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施工过程中存在较多金属部件、工具及加工件，加工及安装过程中，均存在机械伤害的可能。</w:t>
      </w:r>
    </w:p>
    <w:p w14:paraId="22323534">
      <w:pPr>
        <w:pStyle w:val="4"/>
        <w:bidi w:val="0"/>
        <w:rPr>
          <w:rFonts w:hint="default"/>
          <w:color w:val="auto"/>
          <w:lang w:val="en-US" w:eastAsia="zh-CN"/>
        </w:rPr>
      </w:pPr>
      <w:bookmarkStart w:id="120" w:name="_Toc30585"/>
      <w:bookmarkStart w:id="121" w:name="_Toc25274"/>
      <w:bookmarkStart w:id="122" w:name="_Toc12742"/>
      <w:r>
        <w:rPr>
          <w:rFonts w:hint="default"/>
          <w:color w:val="auto"/>
          <w:lang w:val="en-US" w:eastAsia="zh-CN"/>
        </w:rPr>
        <w:t>3.2.</w:t>
      </w:r>
      <w:r>
        <w:rPr>
          <w:rFonts w:hint="eastAsia"/>
          <w:color w:val="auto"/>
          <w:lang w:val="en-US" w:eastAsia="zh-CN"/>
        </w:rPr>
        <w:t>6</w:t>
      </w:r>
      <w:r>
        <w:rPr>
          <w:rFonts w:hint="default"/>
          <w:color w:val="auto"/>
          <w:lang w:val="en-US" w:eastAsia="zh-CN"/>
        </w:rPr>
        <w:t xml:space="preserve"> 火灾</w:t>
      </w:r>
      <w:bookmarkEnd w:id="120"/>
      <w:bookmarkEnd w:id="121"/>
      <w:bookmarkEnd w:id="122"/>
    </w:p>
    <w:p w14:paraId="5036769B">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工程机械在施工过程中可能因燃料泄漏、电路老化短路引起火灾，机械使用的柴油、各类润滑油、机油为丙类火灾危险物质。遇明火、电火花、静电、雷电等可点燃，酿成火灾或者车辆发生自燃。</w:t>
      </w:r>
    </w:p>
    <w:p w14:paraId="169A4E66">
      <w:pPr>
        <w:rPr>
          <w:rFonts w:hint="default"/>
          <w:color w:val="auto"/>
          <w:lang w:val="en-US" w:eastAsia="zh-CN"/>
        </w:rPr>
      </w:pPr>
      <w:r>
        <w:rPr>
          <w:rFonts w:hint="eastAsia"/>
          <w:color w:val="auto"/>
          <w:lang w:val="en-US" w:eastAsia="zh-CN"/>
        </w:rPr>
        <w:t xml:space="preserve">2. </w:t>
      </w:r>
      <w:r>
        <w:rPr>
          <w:rFonts w:hint="default"/>
          <w:color w:val="auto"/>
          <w:lang w:val="en-US" w:eastAsia="zh-CN"/>
        </w:rPr>
        <w:t>施工作业人员抽烟、其它用火引燃可燃物引起火灾事故。</w:t>
      </w:r>
    </w:p>
    <w:p w14:paraId="278446DC">
      <w:pPr>
        <w:rPr>
          <w:rFonts w:hint="default"/>
          <w:color w:val="auto"/>
          <w:lang w:val="en-US" w:eastAsia="zh-CN"/>
        </w:rPr>
      </w:pPr>
      <w:r>
        <w:rPr>
          <w:rFonts w:hint="eastAsia"/>
          <w:color w:val="auto"/>
          <w:lang w:val="en-US" w:eastAsia="zh-CN"/>
        </w:rPr>
        <w:t xml:space="preserve">3. </w:t>
      </w:r>
      <w:r>
        <w:rPr>
          <w:rFonts w:hint="default"/>
          <w:color w:val="auto"/>
          <w:lang w:val="en-US" w:eastAsia="zh-CN"/>
        </w:rPr>
        <w:t>运输车辆也可能因漏电、漏油或摩擦过热发生车辆火灾。</w:t>
      </w:r>
    </w:p>
    <w:p w14:paraId="406F8870">
      <w:pPr>
        <w:rPr>
          <w:rFonts w:hint="default"/>
          <w:color w:val="auto"/>
          <w:lang w:val="en-US" w:eastAsia="zh-CN"/>
        </w:rPr>
      </w:pPr>
      <w:r>
        <w:rPr>
          <w:rFonts w:hint="eastAsia"/>
          <w:color w:val="auto"/>
          <w:lang w:val="en-US" w:eastAsia="zh-CN"/>
        </w:rPr>
        <w:t xml:space="preserve">4. </w:t>
      </w:r>
      <w:r>
        <w:rPr>
          <w:rFonts w:hint="default"/>
          <w:color w:val="auto"/>
          <w:lang w:val="en-US" w:eastAsia="zh-CN"/>
        </w:rPr>
        <w:t>施工现场临时办公用房也可因用电不慎、短路、漏电和不安全用火引起火灾。</w:t>
      </w:r>
    </w:p>
    <w:p w14:paraId="5CBDFEC3">
      <w:pPr>
        <w:rPr>
          <w:rFonts w:hint="default"/>
          <w:color w:val="auto"/>
          <w:lang w:val="en-US" w:eastAsia="zh-CN"/>
        </w:rPr>
      </w:pPr>
      <w:r>
        <w:rPr>
          <w:rFonts w:hint="default"/>
          <w:color w:val="auto"/>
          <w:lang w:val="en-US" w:eastAsia="zh-CN"/>
        </w:rPr>
        <w:t>工程机械在施工过程中可能因燃料泄漏、电路老化短路引起火灾，本项目可能涉及</w:t>
      </w:r>
      <w:r>
        <w:rPr>
          <w:rFonts w:hint="default"/>
          <w:color w:val="auto"/>
          <w:spacing w:val="-6"/>
          <w:sz w:val="28"/>
          <w:lang w:val="en-US" w:eastAsia="zh-CN"/>
        </w:rPr>
        <w:t>使用电气焊，电气焊需要使用到氧气、乙炔、液化石油气等易燃易爆及氧化性物资钢瓶，如操作不当或发生泄漏，会导致发生火灾事</w:t>
      </w:r>
      <w:r>
        <w:rPr>
          <w:rFonts w:hint="default"/>
          <w:color w:val="auto"/>
          <w:lang w:val="en-US" w:eastAsia="zh-CN"/>
        </w:rPr>
        <w:t>故。</w:t>
      </w:r>
    </w:p>
    <w:p w14:paraId="084BD30C">
      <w:pPr>
        <w:pStyle w:val="4"/>
        <w:bidi w:val="0"/>
        <w:rPr>
          <w:rFonts w:hint="default"/>
          <w:color w:val="auto"/>
          <w:lang w:val="en-US" w:eastAsia="zh-CN"/>
        </w:rPr>
      </w:pPr>
      <w:bookmarkStart w:id="123" w:name="_Toc7696"/>
      <w:bookmarkStart w:id="124" w:name="_Toc29447"/>
      <w:bookmarkStart w:id="125" w:name="_Toc7250"/>
      <w:r>
        <w:rPr>
          <w:rFonts w:hint="default"/>
          <w:color w:val="auto"/>
          <w:lang w:val="en-US" w:eastAsia="zh-CN"/>
        </w:rPr>
        <w:t>3.2.</w:t>
      </w:r>
      <w:r>
        <w:rPr>
          <w:rFonts w:hint="eastAsia"/>
          <w:color w:val="auto"/>
          <w:lang w:val="en-US" w:eastAsia="zh-CN"/>
        </w:rPr>
        <w:t>7</w:t>
      </w:r>
      <w:r>
        <w:rPr>
          <w:rFonts w:hint="default"/>
          <w:color w:val="auto"/>
          <w:lang w:val="en-US" w:eastAsia="zh-CN"/>
        </w:rPr>
        <w:t xml:space="preserve"> 噪声</w:t>
      </w:r>
      <w:bookmarkEnd w:id="123"/>
      <w:bookmarkEnd w:id="124"/>
      <w:bookmarkEnd w:id="125"/>
    </w:p>
    <w:p w14:paraId="01D0EBF4">
      <w:pPr>
        <w:rPr>
          <w:rFonts w:hint="default"/>
          <w:color w:val="auto"/>
          <w:lang w:val="en-US" w:eastAsia="zh-CN"/>
        </w:rPr>
      </w:pPr>
      <w:r>
        <w:rPr>
          <w:rFonts w:hint="default"/>
          <w:color w:val="auto"/>
          <w:lang w:val="en-US" w:eastAsia="zh-CN"/>
        </w:rPr>
        <w:t>噪声源来自于机械，施工人员加工工件时，可能会受到机械加工带来的噪声影响。</w:t>
      </w:r>
    </w:p>
    <w:p w14:paraId="25C9F1AC">
      <w:pPr>
        <w:rPr>
          <w:rFonts w:hint="default"/>
          <w:color w:val="auto"/>
          <w:lang w:val="en-US" w:eastAsia="zh-CN"/>
        </w:rPr>
      </w:pPr>
      <w:r>
        <w:rPr>
          <w:rFonts w:hint="default"/>
          <w:color w:val="auto"/>
          <w:lang w:val="en-US" w:eastAsia="zh-CN"/>
        </w:rPr>
        <w:t>噪声对人体的危害是多方面的，对听觉系统会造成永久性的听觉损伤，形成噪声性耳聋，此外，噪声还会对机体的神经系统，心血管系统，消化系统等产生不良影响。</w:t>
      </w:r>
    </w:p>
    <w:p w14:paraId="40815C9A">
      <w:pPr>
        <w:pStyle w:val="4"/>
        <w:bidi w:val="0"/>
        <w:rPr>
          <w:rFonts w:hint="default"/>
          <w:color w:val="auto"/>
          <w:lang w:val="en-US" w:eastAsia="zh-CN"/>
        </w:rPr>
      </w:pPr>
      <w:bookmarkStart w:id="126" w:name="_Toc3993"/>
      <w:bookmarkStart w:id="127" w:name="_Toc22382"/>
      <w:bookmarkStart w:id="128" w:name="_Toc4553"/>
      <w:r>
        <w:rPr>
          <w:rFonts w:hint="default"/>
          <w:color w:val="auto"/>
          <w:lang w:val="en-US" w:eastAsia="zh-CN"/>
        </w:rPr>
        <w:t>3.2.</w:t>
      </w:r>
      <w:r>
        <w:rPr>
          <w:rFonts w:hint="eastAsia"/>
          <w:color w:val="auto"/>
          <w:lang w:val="en-US" w:eastAsia="zh-CN"/>
        </w:rPr>
        <w:t>8</w:t>
      </w:r>
      <w:r>
        <w:rPr>
          <w:rFonts w:hint="default"/>
          <w:color w:val="auto"/>
          <w:lang w:val="en-US" w:eastAsia="zh-CN"/>
        </w:rPr>
        <w:t xml:space="preserve"> 高、低温</w:t>
      </w:r>
      <w:bookmarkEnd w:id="126"/>
      <w:bookmarkEnd w:id="127"/>
      <w:bookmarkEnd w:id="128"/>
    </w:p>
    <w:p w14:paraId="57ADC2DE">
      <w:pPr>
        <w:rPr>
          <w:rFonts w:hint="default"/>
          <w:color w:val="auto"/>
          <w:lang w:val="en-US" w:eastAsia="zh-CN"/>
        </w:rPr>
      </w:pPr>
      <w:r>
        <w:rPr>
          <w:rFonts w:hint="default"/>
          <w:color w:val="auto"/>
          <w:lang w:val="en-US" w:eastAsia="zh-CN"/>
        </w:rPr>
        <w:t>施工为露天作业，有可能受气候影响，如出现高气温会造成人员中暑。低气温可能造成人员冻伤等事故。</w:t>
      </w:r>
    </w:p>
    <w:p w14:paraId="374E4CEF">
      <w:pPr>
        <w:pStyle w:val="4"/>
        <w:bidi w:val="0"/>
        <w:rPr>
          <w:rFonts w:hint="default"/>
          <w:color w:val="auto"/>
          <w:lang w:val="en-US" w:eastAsia="zh-CN"/>
        </w:rPr>
      </w:pPr>
      <w:bookmarkStart w:id="129" w:name="_Toc17275"/>
      <w:bookmarkStart w:id="130" w:name="_Toc32290"/>
      <w:bookmarkStart w:id="131" w:name="_Toc25761"/>
      <w:r>
        <w:rPr>
          <w:rFonts w:hint="default"/>
          <w:color w:val="auto"/>
          <w:lang w:val="en-US" w:eastAsia="zh-CN"/>
        </w:rPr>
        <w:t>3.2.</w:t>
      </w:r>
      <w:r>
        <w:rPr>
          <w:rFonts w:hint="eastAsia"/>
          <w:color w:val="auto"/>
          <w:lang w:val="en-US" w:eastAsia="zh-CN"/>
        </w:rPr>
        <w:t>9</w:t>
      </w:r>
      <w:r>
        <w:rPr>
          <w:rFonts w:hint="default"/>
          <w:color w:val="auto"/>
          <w:lang w:val="en-US" w:eastAsia="zh-CN"/>
        </w:rPr>
        <w:t xml:space="preserve"> 其它伤害</w:t>
      </w:r>
      <w:bookmarkEnd w:id="129"/>
      <w:bookmarkEnd w:id="130"/>
      <w:bookmarkEnd w:id="131"/>
    </w:p>
    <w:p w14:paraId="04731BDD">
      <w:pPr>
        <w:rPr>
          <w:rFonts w:hint="default"/>
          <w:color w:val="auto"/>
          <w:lang w:val="en-US" w:eastAsia="zh-CN"/>
        </w:rPr>
      </w:pPr>
      <w:r>
        <w:rPr>
          <w:rFonts w:hint="default"/>
          <w:color w:val="auto"/>
          <w:lang w:val="en-US" w:eastAsia="zh-CN"/>
        </w:rPr>
        <w:t>施工过程中，如出现暴雨</w:t>
      </w:r>
      <w:r>
        <w:rPr>
          <w:rFonts w:hint="eastAsia"/>
          <w:color w:val="auto"/>
          <w:lang w:val="en-US" w:eastAsia="zh-CN"/>
        </w:rPr>
        <w:t>、雷电</w:t>
      </w:r>
      <w:r>
        <w:rPr>
          <w:rFonts w:hint="default"/>
          <w:color w:val="auto"/>
          <w:lang w:val="en-US" w:eastAsia="zh-CN"/>
        </w:rPr>
        <w:t>，会影响人员作业</w:t>
      </w:r>
      <w:r>
        <w:rPr>
          <w:rFonts w:hint="eastAsia"/>
          <w:color w:val="auto"/>
          <w:lang w:val="en-US" w:eastAsia="zh-CN"/>
        </w:rPr>
        <w:t>安全</w:t>
      </w:r>
      <w:r>
        <w:rPr>
          <w:rFonts w:hint="default"/>
          <w:color w:val="auto"/>
          <w:lang w:val="en-US" w:eastAsia="zh-CN"/>
        </w:rPr>
        <w:t>，雨水</w:t>
      </w:r>
      <w:r>
        <w:rPr>
          <w:rFonts w:hint="eastAsia"/>
          <w:color w:val="auto"/>
          <w:lang w:val="en-US" w:eastAsia="zh-CN"/>
        </w:rPr>
        <w:t>会</w:t>
      </w:r>
      <w:r>
        <w:rPr>
          <w:rFonts w:hint="default"/>
          <w:color w:val="auto"/>
          <w:lang w:val="en-US" w:eastAsia="zh-CN"/>
        </w:rPr>
        <w:t>引起土壤滑坡。</w:t>
      </w:r>
    </w:p>
    <w:p w14:paraId="4CFFC1F4">
      <w:pPr>
        <w:rPr>
          <w:rFonts w:hint="default"/>
          <w:color w:val="auto"/>
          <w:lang w:val="en-US" w:eastAsia="zh-CN"/>
        </w:rPr>
      </w:pPr>
      <w:r>
        <w:rPr>
          <w:rFonts w:hint="default"/>
          <w:color w:val="auto"/>
          <w:lang w:val="en-US" w:eastAsia="zh-CN"/>
        </w:rPr>
        <w:br w:type="page"/>
      </w:r>
    </w:p>
    <w:p w14:paraId="3756F918">
      <w:pPr>
        <w:pStyle w:val="2"/>
        <w:numPr>
          <w:ilvl w:val="0"/>
          <w:numId w:val="2"/>
        </w:numPr>
        <w:bidi w:val="0"/>
        <w:ind w:left="0" w:leftChars="0" w:firstLine="0" w:firstLineChars="0"/>
        <w:rPr>
          <w:rFonts w:hint="default"/>
          <w:color w:val="auto"/>
          <w:lang w:val="en-US" w:eastAsia="zh-CN"/>
        </w:rPr>
      </w:pPr>
      <w:bookmarkStart w:id="132" w:name="_Toc9504"/>
      <w:bookmarkStart w:id="133" w:name="_Toc2430"/>
      <w:bookmarkStart w:id="134" w:name="_Toc4812"/>
      <w:r>
        <w:rPr>
          <w:rFonts w:hint="default"/>
          <w:color w:val="auto"/>
          <w:lang w:val="en-US" w:eastAsia="zh-CN"/>
        </w:rPr>
        <w:t>安全评估单元与评估方法</w:t>
      </w:r>
      <w:bookmarkEnd w:id="132"/>
      <w:bookmarkEnd w:id="133"/>
      <w:bookmarkEnd w:id="134"/>
    </w:p>
    <w:p w14:paraId="019D2C56">
      <w:pPr>
        <w:pStyle w:val="3"/>
        <w:bidi w:val="0"/>
        <w:rPr>
          <w:rFonts w:hint="default"/>
          <w:color w:val="auto"/>
          <w:lang w:val="en-US" w:eastAsia="zh-CN"/>
        </w:rPr>
      </w:pPr>
      <w:bookmarkStart w:id="135" w:name="_Toc21759"/>
      <w:bookmarkStart w:id="136" w:name="_Toc30961"/>
      <w:bookmarkStart w:id="137" w:name="_Toc30448"/>
      <w:r>
        <w:rPr>
          <w:rFonts w:hint="default"/>
          <w:color w:val="auto"/>
          <w:lang w:val="en-US" w:eastAsia="zh-CN"/>
        </w:rPr>
        <w:t>4.1 评估单元划分</w:t>
      </w:r>
      <w:bookmarkEnd w:id="135"/>
      <w:bookmarkEnd w:id="136"/>
      <w:bookmarkEnd w:id="137"/>
    </w:p>
    <w:p w14:paraId="531245B1">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根据本评估的目的，并结合实际情况，评估单元总体划分为一个单元，即</w:t>
      </w:r>
      <w:r>
        <w:rPr>
          <w:rFonts w:hint="eastAsia" w:cs="Times New Roman"/>
          <w:color w:val="auto"/>
          <w:lang w:val="en-US" w:eastAsia="zh-CN"/>
        </w:rPr>
        <w:t>艾坦途（宜春）物流有限公司</w:t>
      </w:r>
      <w:r>
        <w:rPr>
          <w:rFonts w:hint="default" w:ascii="Times New Roman" w:hAnsi="Times New Roman" w:eastAsia="宋体" w:cs="Times New Roman"/>
          <w:color w:val="auto"/>
          <w:lang w:val="en-US" w:eastAsia="zh-CN"/>
        </w:rPr>
        <w:t>平面交叉道口工程施工作业。</w:t>
      </w:r>
    </w:p>
    <w:p w14:paraId="411755B6">
      <w:pPr>
        <w:pStyle w:val="3"/>
        <w:bidi w:val="0"/>
        <w:rPr>
          <w:rFonts w:hint="default"/>
          <w:color w:val="auto"/>
          <w:lang w:val="en-US" w:eastAsia="zh-CN"/>
        </w:rPr>
      </w:pPr>
      <w:bookmarkStart w:id="138" w:name="_Toc8426"/>
      <w:bookmarkStart w:id="139" w:name="_Toc30798"/>
      <w:bookmarkStart w:id="140" w:name="_Toc28364"/>
      <w:r>
        <w:rPr>
          <w:rFonts w:hint="default"/>
          <w:color w:val="auto"/>
          <w:lang w:val="en-US" w:eastAsia="zh-CN"/>
        </w:rPr>
        <w:t>4.2 评估方法选择</w:t>
      </w:r>
      <w:bookmarkEnd w:id="138"/>
      <w:bookmarkEnd w:id="139"/>
      <w:bookmarkEnd w:id="140"/>
    </w:p>
    <w:p w14:paraId="609BED6F">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安全评估方法是对系统的危险性、有害性进行分析、评估的工具。目前</w:t>
      </w:r>
      <w:r>
        <w:rPr>
          <w:rFonts w:hint="eastAsia" w:ascii="Times New Roman" w:hAnsi="Times New Roman" w:eastAsia="宋体" w:cs="Times New Roman"/>
          <w:color w:val="auto"/>
          <w:lang w:val="en-US" w:eastAsia="zh-CN"/>
        </w:rPr>
        <w:t>已</w:t>
      </w:r>
      <w:r>
        <w:rPr>
          <w:rFonts w:hint="default" w:ascii="Times New Roman" w:hAnsi="Times New Roman" w:eastAsia="宋体" w:cs="Times New Roman"/>
          <w:color w:val="auto"/>
          <w:lang w:val="en-US" w:eastAsia="zh-CN"/>
        </w:rPr>
        <w:t>开发出数十种不同特点、适用范围和应用条件的评估方法，各种评估方法的原理、目标、应用条件、使用对象、工作量均不尽相同，各具特色。</w:t>
      </w:r>
    </w:p>
    <w:p w14:paraId="7C1C2D3D">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根据本工程的特点，结合对系统危险、有害因素的分析结果，评估选用预先危险性分析法和安全检查表法。</w:t>
      </w:r>
    </w:p>
    <w:p w14:paraId="54D162FA">
      <w:pPr>
        <w:pStyle w:val="3"/>
        <w:bidi w:val="0"/>
        <w:rPr>
          <w:rFonts w:hint="default"/>
          <w:color w:val="auto"/>
          <w:lang w:val="en-US" w:eastAsia="zh-CN"/>
        </w:rPr>
      </w:pPr>
      <w:bookmarkStart w:id="141" w:name="_Toc14929"/>
      <w:bookmarkStart w:id="142" w:name="_Toc23749"/>
      <w:bookmarkStart w:id="143" w:name="_Toc6535"/>
      <w:r>
        <w:rPr>
          <w:rFonts w:hint="default"/>
          <w:color w:val="auto"/>
          <w:lang w:val="en-US" w:eastAsia="zh-CN"/>
        </w:rPr>
        <w:t>4.3 评估方法介绍</w:t>
      </w:r>
      <w:bookmarkEnd w:id="141"/>
      <w:bookmarkEnd w:id="142"/>
      <w:bookmarkEnd w:id="143"/>
    </w:p>
    <w:p w14:paraId="15EC2D89">
      <w:pPr>
        <w:pStyle w:val="4"/>
        <w:bidi w:val="0"/>
        <w:rPr>
          <w:rFonts w:hint="default"/>
          <w:color w:val="auto"/>
          <w:lang w:val="en-US" w:eastAsia="zh-CN"/>
        </w:rPr>
      </w:pPr>
      <w:bookmarkStart w:id="144" w:name="_Toc20185"/>
      <w:bookmarkStart w:id="145" w:name="_Toc29647"/>
      <w:bookmarkStart w:id="146" w:name="_Toc7844"/>
      <w:r>
        <w:rPr>
          <w:rFonts w:hint="default"/>
          <w:color w:val="auto"/>
          <w:lang w:val="en-US" w:eastAsia="zh-CN"/>
        </w:rPr>
        <w:t>4.3.1 预先危险性分析</w:t>
      </w:r>
      <w:bookmarkEnd w:id="144"/>
      <w:bookmarkEnd w:id="145"/>
      <w:bookmarkEnd w:id="146"/>
    </w:p>
    <w:p w14:paraId="6CC8F98E">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预先危险分析法是一种起源于美国军用标准安全计划要求方法。主要用于对危险物质和装置的主要区域等进行分析，包括设计、施工和生产前，首先对系统中存在的危险性类别、出现条件、导致事故的后果进行分析，其目的是识别系统中的潜在危险，确定其危险等级，防止危险发展成事故。</w:t>
      </w:r>
    </w:p>
    <w:p w14:paraId="35667674">
      <w:pPr>
        <w:pStyle w:val="4"/>
        <w:bidi w:val="0"/>
        <w:rPr>
          <w:rFonts w:hint="default"/>
          <w:color w:val="auto"/>
          <w:lang w:val="en-US" w:eastAsia="zh-CN"/>
        </w:rPr>
      </w:pPr>
      <w:bookmarkStart w:id="147" w:name="_Toc16157"/>
      <w:bookmarkStart w:id="148" w:name="_Toc4746"/>
      <w:bookmarkStart w:id="149" w:name="_Toc15479"/>
      <w:r>
        <w:rPr>
          <w:rFonts w:hint="default"/>
          <w:color w:val="auto"/>
          <w:lang w:val="en-US" w:eastAsia="zh-CN"/>
        </w:rPr>
        <w:t>4.3.2 安全检查表分析</w:t>
      </w:r>
      <w:bookmarkEnd w:id="147"/>
      <w:bookmarkEnd w:id="148"/>
      <w:bookmarkEnd w:id="149"/>
    </w:p>
    <w:p w14:paraId="0AC6155B">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color w:val="auto"/>
          <w:lang w:val="en-US" w:eastAsia="zh-CN"/>
        </w:rPr>
      </w:pPr>
      <w:r>
        <w:rPr>
          <w:rFonts w:hint="default"/>
          <w:color w:val="auto"/>
          <w:lang w:val="en-US" w:eastAsia="zh-CN"/>
        </w:rPr>
        <w:t>安全检查表法是为了查找工程、系统中各种设备设施、物料、工件、操作、管理、组织措施中的危险、有害因素，事先反检查对象加以分解，将大系统分割成小系统，以提问、打分的形式，将检查项目列表逐项检查，避免漏洞，这种表称为安全检查表。</w:t>
      </w:r>
    </w:p>
    <w:p w14:paraId="78550A57">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color w:val="auto"/>
          <w:lang w:val="en-US" w:eastAsia="zh-CN"/>
        </w:rPr>
      </w:pPr>
      <w:r>
        <w:rPr>
          <w:rFonts w:hint="default"/>
          <w:color w:val="auto"/>
          <w:lang w:val="en-US" w:eastAsia="zh-CN"/>
        </w:rPr>
        <w:t>以国家相关法律法规、标准、规范等，在大量收集评估单元资料的基础上编制安全检查表。用安全检查表对项目进行相关检查。是将一系列分析项目列出检查表进行检查、分析，以确定系统的状态，这些项目可包括设备、设施、工艺、操作、管理等各个方面。安全检查表分析法既可以用于简单的快速分析，也可以用于深层次的细致地分析，是识别</w:t>
      </w:r>
      <w:r>
        <w:rPr>
          <w:rFonts w:hint="eastAsia" w:ascii="Times New Roman" w:eastAsia="宋体"/>
          <w:color w:val="auto"/>
          <w:lang w:val="en-US" w:eastAsia="zh-CN"/>
        </w:rPr>
        <w:t>已</w:t>
      </w:r>
      <w:r>
        <w:rPr>
          <w:rFonts w:hint="default"/>
          <w:color w:val="auto"/>
          <w:lang w:val="en-US" w:eastAsia="zh-CN"/>
        </w:rPr>
        <w:t>知危险的较为有效的分析方法之一。</w:t>
      </w:r>
    </w:p>
    <w:p w14:paraId="78007E20">
      <w:pPr>
        <w:rPr>
          <w:rFonts w:hint="default"/>
          <w:color w:val="auto"/>
          <w:lang w:val="en-US" w:eastAsia="zh-CN"/>
        </w:rPr>
      </w:pPr>
      <w:r>
        <w:rPr>
          <w:rFonts w:hint="default"/>
          <w:color w:val="auto"/>
          <w:lang w:val="en-US" w:eastAsia="zh-CN"/>
        </w:rPr>
        <w:br w:type="page"/>
      </w:r>
    </w:p>
    <w:p w14:paraId="6D6CF18B">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50" w:name="_Toc27671"/>
      <w:bookmarkStart w:id="151" w:name="_Toc32703"/>
      <w:r>
        <w:rPr>
          <w:rFonts w:hint="default" w:ascii="Times New Roman" w:hAnsi="Times New Roman" w:cs="Times New Roman"/>
          <w:color w:val="auto"/>
          <w:lang w:val="en-US" w:eastAsia="zh-CN"/>
        </w:rPr>
        <w:t>安全评估</w:t>
      </w:r>
      <w:bookmarkEnd w:id="150"/>
      <w:bookmarkEnd w:id="151"/>
    </w:p>
    <w:p w14:paraId="0F033B1F">
      <w:pPr>
        <w:pStyle w:val="3"/>
        <w:bidi w:val="0"/>
        <w:rPr>
          <w:rFonts w:hint="default"/>
          <w:color w:val="auto"/>
          <w:lang w:val="en-US" w:eastAsia="zh-CN"/>
        </w:rPr>
      </w:pPr>
      <w:bookmarkStart w:id="152" w:name="_Toc15645"/>
      <w:bookmarkStart w:id="153" w:name="_Toc8330"/>
      <w:r>
        <w:rPr>
          <w:rFonts w:hint="default"/>
          <w:color w:val="auto"/>
          <w:lang w:val="en-US" w:eastAsia="zh-CN"/>
        </w:rPr>
        <w:t>5.1</w:t>
      </w:r>
      <w:r>
        <w:rPr>
          <w:rFonts w:hint="eastAsia"/>
          <w:color w:val="auto"/>
          <w:lang w:val="en-US" w:eastAsia="zh-CN"/>
        </w:rPr>
        <w:t xml:space="preserve"> </w:t>
      </w:r>
      <w:r>
        <w:rPr>
          <w:rFonts w:hint="default"/>
          <w:color w:val="auto"/>
          <w:lang w:val="en-US" w:eastAsia="zh-CN"/>
        </w:rPr>
        <w:t>预先危险性分析法评估</w:t>
      </w:r>
      <w:bookmarkEnd w:id="152"/>
      <w:bookmarkEnd w:id="153"/>
    </w:p>
    <w:p w14:paraId="598B5829">
      <w:pPr>
        <w:rPr>
          <w:rFonts w:hint="default"/>
          <w:color w:val="auto"/>
          <w:lang w:val="en-US" w:eastAsia="zh-CN"/>
        </w:rPr>
      </w:pPr>
      <w:r>
        <w:rPr>
          <w:rFonts w:hint="eastAsia"/>
          <w:color w:val="auto"/>
          <w:lang w:val="en-US" w:eastAsia="zh-CN"/>
        </w:rPr>
        <w:t>艾坦途（宜春）物流有限公司</w:t>
      </w:r>
      <w:r>
        <w:rPr>
          <w:rFonts w:hint="default"/>
          <w:color w:val="auto"/>
          <w:lang w:val="en-US" w:eastAsia="zh-CN"/>
        </w:rPr>
        <w:t>平面交叉道口工程施工作业预先危险性分析见表5</w:t>
      </w:r>
      <w:r>
        <w:rPr>
          <w:rFonts w:hint="eastAsia"/>
          <w:color w:val="auto"/>
          <w:lang w:val="en-US" w:eastAsia="zh-CN"/>
        </w:rPr>
        <w:t>.1</w:t>
      </w:r>
      <w:r>
        <w:rPr>
          <w:rFonts w:hint="default"/>
          <w:color w:val="auto"/>
          <w:lang w:val="en-US" w:eastAsia="zh-CN"/>
        </w:rPr>
        <w:t>-1。</w:t>
      </w:r>
    </w:p>
    <w:p w14:paraId="0A0B6697">
      <w:pPr>
        <w:ind w:left="0" w:leftChars="0" w:firstLine="0" w:firstLineChars="0"/>
        <w:jc w:val="center"/>
        <w:rPr>
          <w:rFonts w:hint="eastAsia"/>
          <w:color w:val="auto"/>
          <w:lang w:val="en-US" w:eastAsia="zh-CN"/>
        </w:rPr>
      </w:pPr>
      <w:r>
        <w:rPr>
          <w:rFonts w:hint="default"/>
          <w:color w:val="auto"/>
          <w:lang w:val="en-US" w:eastAsia="zh-CN"/>
        </w:rPr>
        <w:t>表5</w:t>
      </w:r>
      <w:r>
        <w:rPr>
          <w:rFonts w:hint="eastAsia"/>
          <w:color w:val="auto"/>
          <w:lang w:val="en-US" w:eastAsia="zh-CN"/>
        </w:rPr>
        <w:t>.1</w:t>
      </w:r>
      <w:r>
        <w:rPr>
          <w:rFonts w:hint="default"/>
          <w:color w:val="auto"/>
          <w:lang w:val="en-US" w:eastAsia="zh-CN"/>
        </w:rPr>
        <w:t>-1</w:t>
      </w:r>
      <w:r>
        <w:rPr>
          <w:rFonts w:hint="eastAsia"/>
          <w:color w:val="auto"/>
          <w:lang w:val="en-US" w:eastAsia="zh-CN"/>
        </w:rPr>
        <w:t xml:space="preserve"> 预先危险性分析评估表（PHA）</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87"/>
        <w:gridCol w:w="7784"/>
      </w:tblGrid>
      <w:tr w14:paraId="4C0BA5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CDB8F5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8576157">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一、机械伤害</w:t>
            </w:r>
          </w:p>
        </w:tc>
      </w:tr>
      <w:tr w14:paraId="65AEF9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732018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92D0E5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机械设备运行失常</w:t>
            </w:r>
          </w:p>
        </w:tc>
      </w:tr>
      <w:tr w14:paraId="317EC3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53BCB0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306CAB3">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1、机械设备缺乏安全防护装置，本身的结构、强度等不台理。</w:t>
            </w:r>
          </w:p>
          <w:p w14:paraId="275AE6F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2、运行部件飞出。</w:t>
            </w:r>
          </w:p>
          <w:p w14:paraId="4229B78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3、安装维修不当，使设备的安全性能不佳。</w:t>
            </w:r>
          </w:p>
          <w:p w14:paraId="3474B095">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4、工作场所环境不良，如空间狭窄，设备布局不合理等。</w:t>
            </w:r>
          </w:p>
          <w:p w14:paraId="321E381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5、旋转、往复、滑动物撞击人体。</w:t>
            </w:r>
          </w:p>
          <w:p w14:paraId="0813013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6、违反操作规程。</w:t>
            </w:r>
          </w:p>
          <w:p w14:paraId="49FB2A9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7、运行状态时打扫卫生。</w:t>
            </w:r>
          </w:p>
          <w:p w14:paraId="763E87D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8、设备有故障。</w:t>
            </w:r>
          </w:p>
        </w:tc>
      </w:tr>
      <w:tr w14:paraId="4A663C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A30DDB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171252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设备失灵，作业人员安全意识淡薄。</w:t>
            </w:r>
          </w:p>
        </w:tc>
      </w:tr>
      <w:tr w14:paraId="27312C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C9B31C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85404E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1、未设置防护罩部件装置。</w:t>
            </w:r>
          </w:p>
          <w:p w14:paraId="1269724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2、作业时注意力不集中。</w:t>
            </w:r>
          </w:p>
          <w:p w14:paraId="55A26FE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3、劳动保护用品未正确穿戴。</w:t>
            </w:r>
          </w:p>
          <w:p w14:paraId="7D5B21B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4、违章作业。</w:t>
            </w:r>
          </w:p>
          <w:p w14:paraId="045DF74C">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5、在检查维修设备或加工、安装标志时不注意被夹击、碰撞、剪切、割、刺等。</w:t>
            </w:r>
          </w:p>
          <w:p w14:paraId="6E301D7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6、衣物等被绞入转动设备。</w:t>
            </w:r>
          </w:p>
        </w:tc>
      </w:tr>
      <w:tr w14:paraId="7C836D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41E2A7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AF6BD2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人员伤害、设备停止运行或损坏。</w:t>
            </w:r>
          </w:p>
        </w:tc>
      </w:tr>
      <w:tr w14:paraId="5F017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00C3AC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C7B849B">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eastAsia" w:ascii="宋体" w:hAnsi="宋体" w:eastAsia="宋体" w:cs="宋体"/>
                <w:snapToGrid w:val="0"/>
                <w:color w:val="auto"/>
                <w:spacing w:val="0"/>
                <w:kern w:val="0"/>
                <w:sz w:val="21"/>
                <w:szCs w:val="21"/>
              </w:rPr>
              <w:t>Ⅱ</w:t>
            </w:r>
          </w:p>
        </w:tc>
      </w:tr>
      <w:tr w14:paraId="7DC50F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5372467">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555E6F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1、作业时应注意力集中。</w:t>
            </w:r>
          </w:p>
          <w:p w14:paraId="3D90D10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2、正确穿戴劳动保护用品。</w:t>
            </w:r>
          </w:p>
          <w:p w14:paraId="69CBA9B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3、机械设备的可外露可动部件应设防护罩、护套或防护栏。</w:t>
            </w:r>
          </w:p>
          <w:p w14:paraId="65690787">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4、在作业场所设置安全警示标志。</w:t>
            </w:r>
          </w:p>
          <w:p w14:paraId="5BC18A03">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5、设备朝向有利于采光，使操作人员不受眩光影响。</w:t>
            </w:r>
          </w:p>
        </w:tc>
      </w:tr>
      <w:tr w14:paraId="682853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F72ADA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FD45B4E">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二、车辆伤害</w:t>
            </w:r>
          </w:p>
        </w:tc>
      </w:tr>
      <w:tr w14:paraId="79F6B7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342317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8C094C9">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运输车辆状况不良，驾驶员素质差，道路环境缺陷。</w:t>
            </w:r>
          </w:p>
        </w:tc>
      </w:tr>
      <w:tr w14:paraId="44C25A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0B5C671">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2223BA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机件失灵，无证操作，制动失效车辆误入施工现场。</w:t>
            </w:r>
          </w:p>
        </w:tc>
      </w:tr>
      <w:tr w14:paraId="7EC0CB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1D829B8">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01A0BC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运输车辆撞人或物体</w:t>
            </w:r>
          </w:p>
        </w:tc>
      </w:tr>
      <w:tr w14:paraId="10C9B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FE140E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395366D">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1、运输车辆维修保养不良。</w:t>
            </w:r>
          </w:p>
          <w:p w14:paraId="6DC11564">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2、驾驶员未进行特种作业培训、无证上岗。</w:t>
            </w:r>
          </w:p>
          <w:p w14:paraId="69881793">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3、违章作业，疲劳驾驶。</w:t>
            </w:r>
          </w:p>
          <w:p w14:paraId="0105E216">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4、车辆误入施工现场。</w:t>
            </w:r>
          </w:p>
          <w:p w14:paraId="7F446B1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5、未设警示标志。</w:t>
            </w:r>
          </w:p>
          <w:p w14:paraId="76D1910A">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6、未设防护设施或防护设施不当或强度不够。</w:t>
            </w:r>
          </w:p>
        </w:tc>
      </w:tr>
      <w:tr w14:paraId="675166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12B648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1F80D7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人员伤害、车辆损坏</w:t>
            </w:r>
          </w:p>
        </w:tc>
      </w:tr>
      <w:tr w14:paraId="535D48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67D65C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8CB08A2">
            <w:pPr>
              <w:keepNext w:val="0"/>
              <w:keepLines w:val="0"/>
              <w:pageBreakBefore w:val="0"/>
              <w:widowControl w:val="0"/>
              <w:kinsoku/>
              <w:wordWrap w:val="0"/>
              <w:overflowPunct/>
              <w:topLinePunct w:val="0"/>
              <w:autoSpaceDE/>
              <w:autoSpaceDN/>
              <w:bidi w:val="0"/>
              <w:adjustRightInd w:val="0"/>
              <w:snapToGrid w:val="0"/>
              <w:spacing w:beforeAutospacing="0" w:afterAutospacing="0" w:line="260" w:lineRule="exact"/>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eastAsia" w:ascii="宋体" w:hAnsi="宋体" w:eastAsia="宋体" w:cs="宋体"/>
                <w:snapToGrid w:val="0"/>
                <w:color w:val="auto"/>
                <w:spacing w:val="0"/>
                <w:kern w:val="0"/>
                <w:sz w:val="21"/>
                <w:szCs w:val="21"/>
              </w:rPr>
              <w:t>Ⅱ</w:t>
            </w:r>
          </w:p>
        </w:tc>
      </w:tr>
      <w:tr w14:paraId="36AC84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87A5A3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E37C18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 xml:space="preserve">1、对驾驶员进行安全培训，做到持证上岗。 </w:t>
            </w:r>
          </w:p>
          <w:p w14:paraId="03003AB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2、保证运输车辆经常处于良好的技术状态。</w:t>
            </w:r>
          </w:p>
          <w:p w14:paraId="00057D6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3、正确穿戴劳动防护用品。</w:t>
            </w:r>
          </w:p>
          <w:p w14:paraId="393E2B6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4、车辆限速行驶，设置安全警示标志。</w:t>
            </w:r>
          </w:p>
        </w:tc>
      </w:tr>
      <w:tr w14:paraId="311BFB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86808D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64034D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三、触电、雷击</w:t>
            </w:r>
          </w:p>
        </w:tc>
      </w:tr>
      <w:tr w14:paraId="451BF2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FB973A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0759D0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在供电条件下作业，在雷雨季节作业。</w:t>
            </w:r>
          </w:p>
        </w:tc>
      </w:tr>
      <w:tr w14:paraId="07199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BDDBFE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5DADA0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在供电条件下作业时</w:t>
            </w:r>
            <w:r>
              <w:rPr>
                <w:rFonts w:hint="eastAsia" w:cs="Times New Roman"/>
                <w:snapToGrid w:val="0"/>
                <w:color w:val="auto"/>
                <w:spacing w:val="0"/>
                <w:kern w:val="0"/>
                <w:sz w:val="21"/>
                <w:szCs w:val="21"/>
                <w:lang w:eastAsia="zh-CN"/>
              </w:rPr>
              <w:t>，</w:t>
            </w:r>
            <w:r>
              <w:rPr>
                <w:rFonts w:hint="default" w:ascii="Times New Roman" w:hAnsi="Times New Roman" w:eastAsia="宋体" w:cs="Times New Roman"/>
                <w:snapToGrid w:val="0"/>
                <w:color w:val="auto"/>
                <w:spacing w:val="0"/>
                <w:kern w:val="0"/>
                <w:sz w:val="21"/>
                <w:szCs w:val="21"/>
              </w:rPr>
              <w:t>安全防护设置不完全，在雷雨季节作业时，未设置防雷防护。</w:t>
            </w:r>
          </w:p>
        </w:tc>
      </w:tr>
      <w:tr w14:paraId="524367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6EC6E5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2B3DB5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带电作业、雷雨季节</w:t>
            </w:r>
          </w:p>
        </w:tc>
      </w:tr>
      <w:tr w14:paraId="13ADE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64657B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BCED0B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夏季雨天野外作业容易遭雷击。</w:t>
            </w:r>
          </w:p>
        </w:tc>
      </w:tr>
      <w:tr w14:paraId="597917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FD8D2A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69BD53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人员伤亡</w:t>
            </w:r>
          </w:p>
        </w:tc>
      </w:tr>
      <w:tr w14:paraId="6E469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9A02CC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BDBDD5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宋体" w:hAnsi="宋体" w:eastAsia="宋体" w:cs="宋体"/>
                <w:snapToGrid w:val="0"/>
                <w:color w:val="auto"/>
                <w:spacing w:val="0"/>
                <w:kern w:val="0"/>
                <w:sz w:val="21"/>
                <w:szCs w:val="21"/>
              </w:rPr>
              <w:t>Ⅱ</w:t>
            </w:r>
          </w:p>
        </w:tc>
      </w:tr>
      <w:tr w14:paraId="798E8C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66293BF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583109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严禁在雷雨时分进行作业。</w:t>
            </w:r>
          </w:p>
        </w:tc>
      </w:tr>
      <w:tr w14:paraId="53348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8F14F7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4E87E2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四、坍塌</w:t>
            </w:r>
          </w:p>
        </w:tc>
      </w:tr>
      <w:tr w14:paraId="0A4C7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E94481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CF46BD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土地下陷导致公路坍塌</w:t>
            </w:r>
          </w:p>
        </w:tc>
      </w:tr>
      <w:tr w14:paraId="5AA5E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4AEAEE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E6F12F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施工作业时．操作失误，未按照设计路线进行，地质勘探不准确。</w:t>
            </w:r>
          </w:p>
        </w:tc>
      </w:tr>
      <w:tr w14:paraId="309873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B72EDC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8797DE6">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土地下陷造成坍塌</w:t>
            </w:r>
          </w:p>
        </w:tc>
      </w:tr>
      <w:tr w14:paraId="3BBD38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85ACCD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2CA5D3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1、地质原因</w:t>
            </w:r>
          </w:p>
          <w:p w14:paraId="44E6BC7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2、设计缺陷</w:t>
            </w:r>
          </w:p>
          <w:p w14:paraId="64907BE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3、质量原因</w:t>
            </w:r>
          </w:p>
          <w:p w14:paraId="6129754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4、施工组织不严</w:t>
            </w:r>
          </w:p>
          <w:p w14:paraId="6FA06F02">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5、违背操作规程</w:t>
            </w:r>
          </w:p>
          <w:p w14:paraId="010C6DC8">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6、安全技术专项方案不合格</w:t>
            </w:r>
          </w:p>
        </w:tc>
      </w:tr>
      <w:tr w14:paraId="696205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07EB71A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17D9E2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人员伤亡</w:t>
            </w:r>
          </w:p>
        </w:tc>
      </w:tr>
      <w:tr w14:paraId="48B396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05ED41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7FBF5E0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宋体" w:hAnsi="宋体" w:eastAsia="宋体" w:cs="宋体"/>
                <w:snapToGrid w:val="0"/>
                <w:color w:val="auto"/>
                <w:spacing w:val="0"/>
                <w:kern w:val="0"/>
                <w:sz w:val="21"/>
                <w:szCs w:val="21"/>
              </w:rPr>
              <w:t>Ⅱ</w:t>
            </w:r>
          </w:p>
        </w:tc>
      </w:tr>
      <w:tr w14:paraId="4604B3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C5E30E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9B0D48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rPr>
            </w:pPr>
            <w:r>
              <w:rPr>
                <w:rFonts w:hint="default" w:ascii="Times New Roman" w:hAnsi="Times New Roman" w:eastAsia="宋体" w:cs="Times New Roman"/>
                <w:snapToGrid w:val="0"/>
                <w:color w:val="auto"/>
                <w:spacing w:val="0"/>
                <w:kern w:val="0"/>
                <w:sz w:val="21"/>
              </w:rPr>
              <w:t>1、找具有专业资质的地质勘探机构进行地质勘探工作，并出具真实的地质勘探说明；</w:t>
            </w:r>
          </w:p>
          <w:p w14:paraId="5B3F70CF">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bCs/>
                <w:snapToGrid w:val="0"/>
                <w:color w:val="auto"/>
                <w:spacing w:val="0"/>
                <w:kern w:val="0"/>
              </w:rPr>
            </w:pPr>
            <w:r>
              <w:rPr>
                <w:rFonts w:hint="default" w:ascii="Times New Roman" w:hAnsi="Times New Roman" w:eastAsia="宋体" w:cs="Times New Roman"/>
                <w:b w:val="0"/>
                <w:bCs/>
                <w:snapToGrid w:val="0"/>
                <w:color w:val="auto"/>
                <w:spacing w:val="0"/>
                <w:kern w:val="0"/>
              </w:rPr>
              <w:t>2、找具有资质的设计单位进行设计；</w:t>
            </w:r>
          </w:p>
          <w:p w14:paraId="58A6ACD3">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bCs/>
                <w:snapToGrid w:val="0"/>
                <w:color w:val="auto"/>
                <w:spacing w:val="0"/>
                <w:kern w:val="0"/>
              </w:rPr>
            </w:pPr>
            <w:r>
              <w:rPr>
                <w:rFonts w:hint="default" w:ascii="Times New Roman" w:hAnsi="Times New Roman" w:eastAsia="宋体" w:cs="Times New Roman"/>
                <w:b w:val="0"/>
                <w:bCs/>
                <w:snapToGrid w:val="0"/>
                <w:color w:val="auto"/>
                <w:spacing w:val="0"/>
                <w:kern w:val="0"/>
              </w:rPr>
              <w:t>3、设备和材料采购或租用时应找正规厂家；拒绝使用三无低质伪劣产品；</w:t>
            </w:r>
          </w:p>
          <w:p w14:paraId="6F5C8C1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rPr>
            </w:pPr>
            <w:r>
              <w:rPr>
                <w:rFonts w:hint="default" w:ascii="Times New Roman" w:hAnsi="Times New Roman" w:eastAsia="宋体" w:cs="Times New Roman"/>
                <w:snapToGrid w:val="0"/>
                <w:color w:val="auto"/>
                <w:spacing w:val="0"/>
                <w:kern w:val="0"/>
                <w:sz w:val="21"/>
              </w:rPr>
              <w:t>4、严格把关施工现场组织，做好相关施工组织制度要求；</w:t>
            </w:r>
          </w:p>
          <w:p w14:paraId="3CF31ACB">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textAlignment w:val="center"/>
              <w:rPr>
                <w:rFonts w:hint="default" w:ascii="Times New Roman" w:hAnsi="Times New Roman" w:eastAsia="宋体" w:cs="Times New Roman"/>
                <w:b w:val="0"/>
                <w:snapToGrid w:val="0"/>
                <w:color w:val="auto"/>
                <w:spacing w:val="0"/>
                <w:kern w:val="0"/>
                <w:szCs w:val="21"/>
              </w:rPr>
            </w:pPr>
            <w:r>
              <w:rPr>
                <w:rFonts w:hint="default" w:ascii="Times New Roman" w:hAnsi="Times New Roman" w:eastAsia="宋体" w:cs="Times New Roman"/>
                <w:b w:val="0"/>
                <w:snapToGrid w:val="0"/>
                <w:color w:val="auto"/>
                <w:spacing w:val="0"/>
                <w:kern w:val="0"/>
                <w:szCs w:val="21"/>
              </w:rPr>
              <w:t>5、加强现场管理以及对现场人员的安全教育、制定相应的操作规程并严格执行；</w:t>
            </w:r>
          </w:p>
          <w:p w14:paraId="31C5E613">
            <w:pPr>
              <w:pStyle w:val="17"/>
              <w:keepNext w:val="0"/>
              <w:keepLines w:val="0"/>
              <w:pageBreakBefore w:val="0"/>
              <w:widowControl w:val="0"/>
              <w:kinsoku/>
              <w:wordWrap w:val="0"/>
              <w:overflowPunct/>
              <w:topLinePunct w:val="0"/>
              <w:autoSpaceDE/>
              <w:autoSpaceDN/>
              <w:bidi w:val="0"/>
              <w:adjustRightInd w:val="0"/>
              <w:snapToGrid w:val="0"/>
              <w:spacing w:before="0" w:beforeLines="0" w:beforeAutospacing="0" w:after="0" w:afterLines="0" w:afterAutospacing="0" w:line="240" w:lineRule="auto"/>
              <w:ind w:left="0" w:leftChars="0" w:firstLine="0"/>
              <w:textAlignment w:val="center"/>
              <w:rPr>
                <w:rFonts w:hint="default" w:ascii="Times New Roman" w:hAnsi="Times New Roman" w:eastAsia="宋体" w:cs="Times New Roman"/>
                <w:snapToGrid w:val="0"/>
                <w:color w:val="auto"/>
                <w:spacing w:val="0"/>
                <w:kern w:val="0"/>
              </w:rPr>
            </w:pPr>
            <w:r>
              <w:rPr>
                <w:rFonts w:hint="default" w:ascii="Times New Roman" w:hAnsi="Times New Roman" w:eastAsia="宋体" w:cs="Times New Roman"/>
                <w:b w:val="0"/>
                <w:snapToGrid w:val="0"/>
                <w:color w:val="auto"/>
                <w:spacing w:val="0"/>
                <w:kern w:val="0"/>
                <w:szCs w:val="21"/>
              </w:rPr>
              <w:t>6、制定合格的安全技术专项方案。</w:t>
            </w:r>
          </w:p>
        </w:tc>
      </w:tr>
      <w:tr w14:paraId="6B02E0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8F10879">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43F3E3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eastAsia" w:cs="Times New Roman"/>
                <w:b/>
                <w:bCs/>
                <w:snapToGrid w:val="0"/>
                <w:color w:val="auto"/>
                <w:spacing w:val="0"/>
                <w:kern w:val="0"/>
                <w:sz w:val="21"/>
                <w:szCs w:val="21"/>
                <w:lang w:val="en-US" w:eastAsia="zh-CN"/>
              </w:rPr>
              <w:t>五</w:t>
            </w:r>
            <w:r>
              <w:rPr>
                <w:rFonts w:hint="default" w:ascii="Times New Roman" w:hAnsi="Times New Roman" w:eastAsia="宋体" w:cs="Times New Roman"/>
                <w:b/>
                <w:bCs/>
                <w:snapToGrid w:val="0"/>
                <w:color w:val="auto"/>
                <w:spacing w:val="0"/>
                <w:kern w:val="0"/>
                <w:sz w:val="21"/>
                <w:szCs w:val="21"/>
              </w:rPr>
              <w:t>、物体打击</w:t>
            </w:r>
          </w:p>
        </w:tc>
      </w:tr>
      <w:tr w14:paraId="160F3A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3356FF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256055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物体打击</w:t>
            </w:r>
          </w:p>
        </w:tc>
      </w:tr>
      <w:tr w14:paraId="040926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9BB073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2A6AE44">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坠落物体击中人体</w:t>
            </w:r>
          </w:p>
        </w:tc>
      </w:tr>
      <w:tr w14:paraId="76EC5D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91D63E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4BE3A8C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物体坠落或飞出</w:t>
            </w:r>
          </w:p>
        </w:tc>
      </w:tr>
      <w:tr w14:paraId="4BD6D3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7740E2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0BA6D6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1、未戴安全帽；</w:t>
            </w:r>
          </w:p>
          <w:p w14:paraId="3D8741C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2、起重或高处作业区域行进、停留；</w:t>
            </w:r>
          </w:p>
          <w:p w14:paraId="5B66A1BA">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3、在高处有浮物或设施不牢，即将倒塌的地方行进或停留；</w:t>
            </w:r>
          </w:p>
          <w:p w14:paraId="53371CF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4、吊具缺陷严重</w:t>
            </w:r>
            <w:r>
              <w:rPr>
                <w:rFonts w:hint="eastAsia" w:ascii="Times New Roman" w:hAnsi="Times New Roman" w:eastAsia="宋体" w:cs="Times New Roman"/>
                <w:snapToGrid w:val="0"/>
                <w:color w:val="auto"/>
                <w:spacing w:val="0"/>
                <w:kern w:val="0"/>
                <w:sz w:val="21"/>
                <w:szCs w:val="21"/>
                <w:lang w:eastAsia="zh-CN"/>
              </w:rPr>
              <w:t>（</w:t>
            </w:r>
            <w:r>
              <w:rPr>
                <w:rFonts w:hint="default" w:ascii="Times New Roman" w:hAnsi="Times New Roman" w:eastAsia="宋体" w:cs="Times New Roman"/>
                <w:snapToGrid w:val="0"/>
                <w:color w:val="auto"/>
                <w:spacing w:val="0"/>
                <w:kern w:val="0"/>
                <w:sz w:val="21"/>
                <w:szCs w:val="21"/>
              </w:rPr>
              <w:t>如因吊具磨损而强度不够、吊索选用不当等</w:t>
            </w:r>
            <w:r>
              <w:rPr>
                <w:rFonts w:hint="eastAsia" w:ascii="Times New Roman" w:hAnsi="Times New Roman" w:eastAsia="宋体" w:cs="Times New Roman"/>
                <w:snapToGrid w:val="0"/>
                <w:color w:val="auto"/>
                <w:spacing w:val="0"/>
                <w:kern w:val="0"/>
                <w:sz w:val="21"/>
                <w:szCs w:val="21"/>
                <w:lang w:eastAsia="zh-CN"/>
              </w:rPr>
              <w:t>）</w:t>
            </w:r>
            <w:r>
              <w:rPr>
                <w:rFonts w:hint="default" w:ascii="Times New Roman" w:hAnsi="Times New Roman" w:eastAsia="宋体" w:cs="Times New Roman"/>
                <w:snapToGrid w:val="0"/>
                <w:color w:val="auto"/>
                <w:spacing w:val="0"/>
                <w:kern w:val="0"/>
                <w:sz w:val="21"/>
                <w:szCs w:val="21"/>
              </w:rPr>
              <w:t>；</w:t>
            </w:r>
          </w:p>
        </w:tc>
      </w:tr>
      <w:tr w14:paraId="79EFE4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2A5C8B2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E66E65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人员伤亡</w:t>
            </w:r>
          </w:p>
        </w:tc>
      </w:tr>
      <w:tr w14:paraId="3D7ADA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A0CAAF5">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59F7AFD">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宋体" w:hAnsi="宋体" w:eastAsia="宋体" w:cs="宋体"/>
                <w:snapToGrid w:val="0"/>
                <w:color w:val="auto"/>
                <w:spacing w:val="0"/>
                <w:kern w:val="0"/>
                <w:sz w:val="21"/>
                <w:szCs w:val="21"/>
              </w:rPr>
              <w:t>Ⅱ</w:t>
            </w:r>
          </w:p>
        </w:tc>
      </w:tr>
      <w:tr w14:paraId="139ECB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CD180B7">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jc w:val="center"/>
              <w:textAlignment w:val="center"/>
              <w:rPr>
                <w:rFonts w:hint="default" w:ascii="Times New Roman" w:hAnsi="Times New Roman" w:eastAsia="宋体" w:cs="Times New Roman"/>
                <w:b/>
                <w:bCs/>
                <w:snapToGrid w:val="0"/>
                <w:color w:val="auto"/>
                <w:spacing w:val="0"/>
                <w:kern w:val="0"/>
                <w:sz w:val="21"/>
                <w:szCs w:val="21"/>
              </w:rPr>
            </w:pPr>
            <w:r>
              <w:rPr>
                <w:rFonts w:hint="default" w:ascii="Times New Roman" w:hAnsi="Times New Roman" w:eastAsia="宋体" w:cs="Times New Roman"/>
                <w:b/>
                <w:bCs/>
                <w:snapToGrid w:val="0"/>
                <w:color w:val="auto"/>
                <w:spacing w:val="0"/>
                <w:kern w:val="0"/>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609A92D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l、高处需要的物件必须合理摆放并固定牢靠；</w:t>
            </w:r>
          </w:p>
          <w:p w14:paraId="2720D4C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2、及时清除、加固可能倒塌的设施；</w:t>
            </w:r>
          </w:p>
          <w:p w14:paraId="59F07013">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3、保证检修作业场所、吊装场所有足够的空间；</w:t>
            </w:r>
          </w:p>
          <w:p w14:paraId="328E451F">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4、堆垛要齐、稳、牢；</w:t>
            </w:r>
          </w:p>
          <w:p w14:paraId="2FDEB9CB">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5、严禁上下抛接检修工具、螺栓等物件；</w:t>
            </w:r>
          </w:p>
          <w:p w14:paraId="6DC0701C">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6、设立警示标志；</w:t>
            </w:r>
          </w:p>
          <w:p w14:paraId="595E0B00">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7、加强对员工的安全意识教育，杜绝“三违”；</w:t>
            </w:r>
          </w:p>
          <w:p w14:paraId="08089271">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firstLine="0" w:firstLineChars="0"/>
              <w:textAlignment w:val="center"/>
              <w:rPr>
                <w:rFonts w:hint="default" w:ascii="Times New Roman" w:hAnsi="Times New Roman" w:eastAsia="宋体" w:cs="Times New Roman"/>
                <w:snapToGrid w:val="0"/>
                <w:color w:val="auto"/>
                <w:spacing w:val="0"/>
                <w:kern w:val="0"/>
                <w:sz w:val="21"/>
                <w:szCs w:val="21"/>
              </w:rPr>
            </w:pPr>
            <w:r>
              <w:rPr>
                <w:rFonts w:hint="default" w:ascii="Times New Roman" w:hAnsi="Times New Roman" w:eastAsia="宋体" w:cs="Times New Roman"/>
                <w:snapToGrid w:val="0"/>
                <w:color w:val="auto"/>
                <w:spacing w:val="0"/>
                <w:kern w:val="0"/>
                <w:sz w:val="21"/>
                <w:szCs w:val="21"/>
              </w:rPr>
              <w:t>8、加强防止物体打击的检查和安全管理工作</w:t>
            </w:r>
          </w:p>
          <w:p w14:paraId="33E5071E">
            <w:pPr>
              <w:keepNext w:val="0"/>
              <w:keepLines w:val="0"/>
              <w:pageBreakBefore w:val="0"/>
              <w:widowControl w:val="0"/>
              <w:kinsoku/>
              <w:wordWrap w:val="0"/>
              <w:overflowPunct/>
              <w:topLinePunct w:val="0"/>
              <w:autoSpaceDE/>
              <w:autoSpaceDN/>
              <w:bidi w:val="0"/>
              <w:adjustRightInd w:val="0"/>
              <w:snapToGrid w:val="0"/>
              <w:spacing w:beforeAutospacing="0" w:afterAutospacing="0" w:line="240" w:lineRule="auto"/>
              <w:ind w:left="0" w:leftChars="0" w:hanging="360" w:firstLineChars="0"/>
              <w:textAlignment w:val="center"/>
              <w:rPr>
                <w:rFonts w:hint="default" w:ascii="Times New Roman" w:hAnsi="Times New Roman" w:eastAsia="宋体" w:cs="Times New Roman"/>
                <w:b/>
                <w:snapToGrid w:val="0"/>
                <w:color w:val="auto"/>
                <w:spacing w:val="0"/>
                <w:kern w:val="0"/>
                <w:sz w:val="21"/>
                <w:szCs w:val="44"/>
              </w:rPr>
            </w:pPr>
            <w:r>
              <w:rPr>
                <w:rFonts w:hint="default" w:ascii="Times New Roman" w:hAnsi="Times New Roman" w:eastAsia="宋体" w:cs="Times New Roman"/>
                <w:snapToGrid w:val="0"/>
                <w:color w:val="auto"/>
                <w:spacing w:val="0"/>
                <w:kern w:val="0"/>
                <w:sz w:val="21"/>
                <w:szCs w:val="21"/>
              </w:rPr>
              <w:t>9、作业人员、进入现场的其他人员都应穿戴必要的防护用品，特别是安全帽。</w:t>
            </w:r>
          </w:p>
        </w:tc>
      </w:tr>
      <w:tr w14:paraId="6729BE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7AC1BCF">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潜在事故</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2F051EC8">
            <w:pPr>
              <w:widowControl w:val="0"/>
              <w:wordWrap w:val="0"/>
              <w:bidi w:val="0"/>
              <w:spacing w:after="0" w:line="240" w:lineRule="auto"/>
              <w:ind w:firstLine="0" w:firstLineChars="0"/>
              <w:jc w:val="both"/>
              <w:textAlignment w:val="center"/>
              <w:rPr>
                <w:rFonts w:hint="eastAsia" w:ascii="Times New Roman" w:hAnsi="Times New Roman" w:eastAsia="宋体" w:cs="Times New Roman"/>
                <w:b/>
                <w:bCs/>
                <w:color w:val="auto"/>
                <w:sz w:val="21"/>
                <w:szCs w:val="21"/>
                <w:lang w:val="en-US" w:eastAsia="zh-CN"/>
              </w:rPr>
            </w:pPr>
            <w:r>
              <w:rPr>
                <w:rFonts w:hint="eastAsia" w:cs="Times New Roman"/>
                <w:b/>
                <w:bCs/>
                <w:color w:val="auto"/>
                <w:kern w:val="0"/>
                <w:sz w:val="21"/>
                <w:szCs w:val="21"/>
                <w:lang w:val="en-US" w:eastAsia="zh-CN"/>
              </w:rPr>
              <w:t>六</w:t>
            </w:r>
            <w:r>
              <w:rPr>
                <w:rFonts w:hint="eastAsia" w:ascii="Times New Roman" w:hAnsi="Times New Roman" w:eastAsia="宋体" w:cs="Times New Roman"/>
                <w:b/>
                <w:bCs/>
                <w:color w:val="auto"/>
                <w:kern w:val="0"/>
                <w:sz w:val="21"/>
                <w:szCs w:val="21"/>
              </w:rPr>
              <w:t>、火灾</w:t>
            </w:r>
          </w:p>
        </w:tc>
      </w:tr>
      <w:tr w14:paraId="25D7E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5C4B4EE8">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危险因素</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ED8546D">
            <w:pPr>
              <w:widowControl w:val="0"/>
              <w:wordWrap w:val="0"/>
              <w:bidi w:val="0"/>
              <w:spacing w:after="0" w:line="240" w:lineRule="auto"/>
              <w:ind w:firstLine="0" w:firstLineChars="0"/>
              <w:jc w:val="both"/>
              <w:textAlignment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易燃易爆化学品气瓶、</w:t>
            </w:r>
            <w:r>
              <w:rPr>
                <w:rFonts w:hint="eastAsia" w:ascii="Times New Roman" w:hAnsi="Times New Roman" w:eastAsia="宋体" w:cs="Times New Roman"/>
                <w:color w:val="auto"/>
                <w:sz w:val="21"/>
                <w:szCs w:val="21"/>
              </w:rPr>
              <w:t>可燃物质起火，电气火灾</w:t>
            </w:r>
          </w:p>
        </w:tc>
      </w:tr>
      <w:tr w14:paraId="37E329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C60B352">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触发事件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31D57E98">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1</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用电管理不善，引发电气火灾；</w:t>
            </w:r>
          </w:p>
          <w:p w14:paraId="7809DF5C">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2</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火源管理不善，引发火灾；</w:t>
            </w:r>
          </w:p>
          <w:p w14:paraId="1F9B5093">
            <w:pPr>
              <w:widowControl w:val="0"/>
              <w:wordWrap w:val="0"/>
              <w:bidi w:val="0"/>
              <w:spacing w:after="0" w:line="240" w:lineRule="auto"/>
              <w:ind w:firstLine="0" w:firstLineChars="0"/>
              <w:jc w:val="both"/>
              <w:textAlignment w:val="center"/>
              <w:rPr>
                <w:rFonts w:hint="eastAsia" w:ascii="Times New Roman" w:hAnsi="Times New Roman" w:eastAsia="宋体" w:cs="Times New Roman"/>
                <w:color w:val="auto"/>
                <w:kern w:val="0"/>
                <w:sz w:val="21"/>
                <w:szCs w:val="21"/>
                <w:lang w:eastAsia="zh-CN"/>
              </w:rPr>
            </w:pPr>
            <w:r>
              <w:rPr>
                <w:rFonts w:ascii="Times New Roman" w:hAnsi="Times New Roman" w:eastAsia="宋体" w:cs="Times New Roman"/>
                <w:color w:val="auto"/>
                <w:kern w:val="0"/>
                <w:sz w:val="21"/>
                <w:szCs w:val="21"/>
              </w:rPr>
              <w:t>3</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防火管理措施不严，存在明火、明电</w:t>
            </w:r>
            <w:r>
              <w:rPr>
                <w:rFonts w:hint="eastAsia" w:ascii="Times New Roman" w:hAnsi="Times New Roman" w:eastAsia="宋体" w:cs="Times New Roman"/>
                <w:color w:val="auto"/>
                <w:kern w:val="0"/>
                <w:sz w:val="21"/>
                <w:szCs w:val="21"/>
                <w:lang w:eastAsia="zh-CN"/>
              </w:rPr>
              <w:t>；</w:t>
            </w:r>
          </w:p>
          <w:p w14:paraId="51F51D00">
            <w:pPr>
              <w:widowControl w:val="0"/>
              <w:wordWrap w:val="0"/>
              <w:bidi w:val="0"/>
              <w:spacing w:after="0" w:line="240" w:lineRule="auto"/>
              <w:ind w:firstLine="0" w:firstLineChars="0"/>
              <w:jc w:val="both"/>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4、电气焊作业时气瓶泄露，作业时操作不当引发附近可燃物起火。</w:t>
            </w:r>
          </w:p>
        </w:tc>
      </w:tr>
      <w:tr w14:paraId="010ECA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0BEAE0D">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kern w:val="0"/>
                <w:sz w:val="21"/>
                <w:szCs w:val="21"/>
              </w:rPr>
              <w:t>发生条件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EF4D9A6">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电线短路、</w:t>
            </w:r>
            <w:r>
              <w:rPr>
                <w:rFonts w:ascii="Times New Roman" w:hAnsi="Times New Roman" w:eastAsia="宋体" w:cs="Times New Roman"/>
                <w:color w:val="auto"/>
                <w:kern w:val="0"/>
                <w:sz w:val="21"/>
                <w:szCs w:val="21"/>
              </w:rPr>
              <w:t>作业人员安全意识淡薄。</w:t>
            </w:r>
          </w:p>
        </w:tc>
      </w:tr>
      <w:tr w14:paraId="65310F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2"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73ABF189">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kern w:val="0"/>
                <w:sz w:val="21"/>
                <w:szCs w:val="21"/>
              </w:rPr>
              <w:t>原因事件</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B553FFF">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1、</w:t>
            </w:r>
            <w:r>
              <w:rPr>
                <w:rFonts w:hint="eastAsia" w:ascii="Times New Roman" w:hAnsi="Times New Roman" w:eastAsia="宋体" w:cs="Times New Roman"/>
                <w:color w:val="auto"/>
                <w:kern w:val="0"/>
                <w:sz w:val="21"/>
                <w:szCs w:val="21"/>
              </w:rPr>
              <w:t>设备电线短路引发电气火灾</w:t>
            </w:r>
          </w:p>
          <w:p w14:paraId="2FD04E3C">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2、作业人员</w:t>
            </w:r>
            <w:r>
              <w:rPr>
                <w:rFonts w:hint="eastAsia" w:ascii="Times New Roman" w:hAnsi="Times New Roman" w:eastAsia="宋体" w:cs="Times New Roman"/>
                <w:color w:val="auto"/>
                <w:kern w:val="0"/>
                <w:sz w:val="21"/>
                <w:szCs w:val="21"/>
              </w:rPr>
              <w:t>防火</w:t>
            </w:r>
            <w:r>
              <w:rPr>
                <w:rFonts w:ascii="Times New Roman" w:hAnsi="Times New Roman" w:eastAsia="宋体" w:cs="Times New Roman"/>
                <w:color w:val="auto"/>
                <w:kern w:val="0"/>
                <w:sz w:val="21"/>
                <w:szCs w:val="21"/>
              </w:rPr>
              <w:t>安全意识淡薄。</w:t>
            </w:r>
          </w:p>
          <w:p w14:paraId="4492467D">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3</w:t>
            </w:r>
            <w:r>
              <w:rPr>
                <w:rFonts w:ascii="Times New Roman" w:hAnsi="Times New Roman" w:eastAsia="宋体" w:cs="Times New Roman"/>
                <w:color w:val="auto"/>
                <w:kern w:val="0"/>
                <w:sz w:val="21"/>
                <w:szCs w:val="21"/>
              </w:rPr>
              <w:t>、违章</w:t>
            </w:r>
            <w:r>
              <w:rPr>
                <w:rFonts w:hint="eastAsia" w:ascii="Times New Roman" w:hAnsi="Times New Roman" w:eastAsia="宋体" w:cs="Times New Roman"/>
                <w:color w:val="auto"/>
                <w:kern w:val="0"/>
                <w:sz w:val="21"/>
                <w:szCs w:val="21"/>
              </w:rPr>
              <w:t>动火</w:t>
            </w:r>
            <w:r>
              <w:rPr>
                <w:rFonts w:ascii="Times New Roman" w:hAnsi="Times New Roman" w:eastAsia="宋体" w:cs="Times New Roman"/>
                <w:color w:val="auto"/>
                <w:kern w:val="0"/>
                <w:sz w:val="21"/>
                <w:szCs w:val="21"/>
              </w:rPr>
              <w:t>作业。</w:t>
            </w:r>
          </w:p>
          <w:p w14:paraId="2755410D">
            <w:pPr>
              <w:widowControl w:val="0"/>
              <w:wordWrap w:val="0"/>
              <w:bidi w:val="0"/>
              <w:spacing w:after="0" w:line="240" w:lineRule="auto"/>
              <w:ind w:firstLine="0" w:firstLineChars="0"/>
              <w:jc w:val="both"/>
              <w:textAlignment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rPr>
              <w:t>4</w:t>
            </w:r>
            <w:r>
              <w:rPr>
                <w:rFonts w:ascii="Times New Roman" w:hAnsi="Times New Roman" w:eastAsia="宋体" w:cs="Times New Roman"/>
                <w:color w:val="auto"/>
                <w:kern w:val="0"/>
                <w:sz w:val="21"/>
                <w:szCs w:val="21"/>
              </w:rPr>
              <w:t>、</w:t>
            </w:r>
            <w:r>
              <w:rPr>
                <w:rFonts w:hint="eastAsia" w:ascii="Times New Roman" w:hAnsi="Times New Roman" w:eastAsia="宋体" w:cs="Times New Roman"/>
                <w:color w:val="auto"/>
                <w:kern w:val="0"/>
                <w:sz w:val="21"/>
                <w:szCs w:val="21"/>
                <w:lang w:val="en-US" w:eastAsia="zh-CN"/>
              </w:rPr>
              <w:t>可燃</w:t>
            </w:r>
            <w:r>
              <w:rPr>
                <w:rFonts w:hint="eastAsia" w:ascii="Times New Roman" w:hAnsi="Times New Roman" w:eastAsia="宋体" w:cs="Times New Roman"/>
                <w:color w:val="auto"/>
                <w:kern w:val="0"/>
                <w:sz w:val="21"/>
                <w:szCs w:val="21"/>
              </w:rPr>
              <w:t>物质</w:t>
            </w:r>
            <w:r>
              <w:rPr>
                <w:rFonts w:hint="eastAsia" w:ascii="Times New Roman" w:hAnsi="Times New Roman" w:eastAsia="宋体" w:cs="Times New Roman"/>
                <w:color w:val="auto"/>
                <w:kern w:val="0"/>
                <w:sz w:val="21"/>
                <w:szCs w:val="21"/>
                <w:lang w:val="en-US" w:eastAsia="zh-CN"/>
              </w:rPr>
              <w:t>泄露</w:t>
            </w:r>
            <w:r>
              <w:rPr>
                <w:rFonts w:hint="eastAsia" w:ascii="Times New Roman" w:hAnsi="Times New Roman" w:eastAsia="宋体" w:cs="Times New Roman"/>
                <w:color w:val="auto"/>
                <w:kern w:val="0"/>
                <w:sz w:val="21"/>
                <w:szCs w:val="21"/>
              </w:rPr>
              <w:t>被点燃引发火灾</w:t>
            </w:r>
            <w:r>
              <w:rPr>
                <w:rFonts w:hint="eastAsia" w:ascii="Times New Roman" w:hAnsi="Times New Roman" w:eastAsia="宋体" w:cs="Times New Roman"/>
                <w:color w:val="auto"/>
                <w:kern w:val="0"/>
                <w:sz w:val="21"/>
                <w:szCs w:val="21"/>
                <w:lang w:val="en-US" w:eastAsia="zh-CN"/>
              </w:rPr>
              <w:t>。</w:t>
            </w:r>
          </w:p>
        </w:tc>
      </w:tr>
      <w:tr w14:paraId="53BC7B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33FA6CC6">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kern w:val="0"/>
                <w:sz w:val="21"/>
                <w:szCs w:val="21"/>
              </w:rPr>
              <w:t>事故后果</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1EA999C3">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人员伤亡财产损失</w:t>
            </w:r>
          </w:p>
        </w:tc>
      </w:tr>
      <w:tr w14:paraId="7FF052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410205D6">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kern w:val="0"/>
                <w:sz w:val="21"/>
                <w:szCs w:val="21"/>
              </w:rPr>
              <w:t>危险等级</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0BE479C3">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hint="eastAsia" w:ascii="宋体" w:hAnsi="宋体" w:eastAsia="宋体" w:cs="宋体"/>
                <w:snapToGrid w:val="0"/>
                <w:color w:val="auto"/>
                <w:spacing w:val="0"/>
                <w:kern w:val="0"/>
                <w:sz w:val="21"/>
                <w:szCs w:val="21"/>
              </w:rPr>
              <w:t>Ⅱ</w:t>
            </w:r>
          </w:p>
        </w:tc>
      </w:tr>
      <w:tr w14:paraId="6672D6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69" w:hRule="atLeast"/>
          <w:jc w:val="center"/>
        </w:trPr>
        <w:tc>
          <w:tcPr>
            <w:tcW w:w="1287" w:type="dxa"/>
            <w:tcBorders>
              <w:top w:val="single" w:color="auto" w:sz="4" w:space="0"/>
              <w:left w:val="single" w:color="auto" w:sz="4" w:space="0"/>
              <w:bottom w:val="single" w:color="auto" w:sz="4" w:space="0"/>
              <w:right w:val="single" w:color="auto" w:sz="4" w:space="0"/>
            </w:tcBorders>
            <w:noWrap w:val="0"/>
            <w:vAlign w:val="center"/>
          </w:tcPr>
          <w:p w14:paraId="164CF818">
            <w:pPr>
              <w:widowControl w:val="0"/>
              <w:wordWrap w:val="0"/>
              <w:bidi w:val="0"/>
              <w:spacing w:after="0" w:line="240" w:lineRule="auto"/>
              <w:ind w:firstLine="0" w:firstLineChars="0"/>
              <w:jc w:val="center"/>
              <w:textAlignment w:val="center"/>
              <w:rPr>
                <w:rFonts w:ascii="Times New Roman" w:hAnsi="Times New Roman" w:eastAsia="宋体" w:cs="Times New Roman"/>
                <w:b/>
                <w:bCs/>
                <w:color w:val="auto"/>
                <w:kern w:val="0"/>
                <w:sz w:val="21"/>
                <w:szCs w:val="21"/>
              </w:rPr>
            </w:pPr>
            <w:r>
              <w:rPr>
                <w:rFonts w:ascii="Times New Roman" w:hAnsi="Times New Roman" w:eastAsia="宋体" w:cs="Times New Roman"/>
                <w:b/>
                <w:bCs/>
                <w:color w:val="auto"/>
                <w:sz w:val="21"/>
                <w:szCs w:val="21"/>
              </w:rPr>
              <w:t>防范措施</w:t>
            </w:r>
          </w:p>
        </w:tc>
        <w:tc>
          <w:tcPr>
            <w:tcW w:w="7784" w:type="dxa"/>
            <w:tcBorders>
              <w:top w:val="single" w:color="auto" w:sz="4" w:space="0"/>
              <w:left w:val="single" w:color="auto" w:sz="4" w:space="0"/>
              <w:bottom w:val="single" w:color="auto" w:sz="4" w:space="0"/>
              <w:right w:val="single" w:color="auto" w:sz="4" w:space="0"/>
            </w:tcBorders>
            <w:noWrap w:val="0"/>
            <w:vAlign w:val="center"/>
          </w:tcPr>
          <w:p w14:paraId="59DAD612">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1</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加强用电管理，杜绝电气火源；</w:t>
            </w:r>
          </w:p>
          <w:p w14:paraId="70D0F80D">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2</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加强动火作业</w:t>
            </w:r>
            <w:r>
              <w:rPr>
                <w:rFonts w:hint="eastAsia" w:ascii="Times New Roman" w:hAnsi="Times New Roman" w:eastAsia="宋体" w:cs="Times New Roman"/>
                <w:color w:val="auto"/>
                <w:kern w:val="0"/>
                <w:sz w:val="21"/>
                <w:szCs w:val="21"/>
                <w:lang w:val="en-US" w:eastAsia="zh-CN"/>
              </w:rPr>
              <w:t>管理</w:t>
            </w:r>
            <w:r>
              <w:rPr>
                <w:rFonts w:ascii="Times New Roman" w:hAnsi="Times New Roman" w:eastAsia="宋体" w:cs="Times New Roman"/>
                <w:color w:val="auto"/>
                <w:kern w:val="0"/>
                <w:sz w:val="21"/>
                <w:szCs w:val="21"/>
              </w:rPr>
              <w:t>，动火作业必须制定安全措施和防火措施；</w:t>
            </w:r>
          </w:p>
          <w:p w14:paraId="1385B473">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3</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加强对明火等火源管理；</w:t>
            </w:r>
          </w:p>
          <w:p w14:paraId="3B01A675">
            <w:pPr>
              <w:widowControl w:val="0"/>
              <w:wordWrap w:val="0"/>
              <w:bidi w:val="0"/>
              <w:spacing w:after="0" w:line="240" w:lineRule="auto"/>
              <w:ind w:firstLine="0" w:firstLineChars="0"/>
              <w:jc w:val="both"/>
              <w:textAlignment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4</w:t>
            </w:r>
            <w:r>
              <w:rPr>
                <w:rFonts w:hint="eastAsia" w:ascii="Times New Roman" w:hAnsi="Times New Roman" w:eastAsia="宋体" w:cs="Times New Roman"/>
                <w:color w:val="auto"/>
                <w:kern w:val="0"/>
                <w:sz w:val="21"/>
                <w:szCs w:val="21"/>
                <w:lang w:eastAsia="zh-CN"/>
              </w:rPr>
              <w:t>、</w:t>
            </w:r>
            <w:r>
              <w:rPr>
                <w:rFonts w:ascii="Times New Roman" w:hAnsi="Times New Roman" w:eastAsia="宋体" w:cs="Times New Roman"/>
                <w:color w:val="auto"/>
                <w:kern w:val="0"/>
                <w:sz w:val="21"/>
                <w:szCs w:val="21"/>
              </w:rPr>
              <w:t>加强对可燃物储存</w:t>
            </w:r>
            <w:r>
              <w:rPr>
                <w:rFonts w:hint="eastAsia" w:ascii="Times New Roman" w:hAnsi="Times New Roman" w:eastAsia="宋体" w:cs="Times New Roman"/>
                <w:color w:val="auto"/>
                <w:kern w:val="0"/>
                <w:sz w:val="21"/>
                <w:szCs w:val="21"/>
              </w:rPr>
              <w:t>区域</w:t>
            </w:r>
            <w:r>
              <w:rPr>
                <w:rFonts w:ascii="Times New Roman" w:hAnsi="Times New Roman" w:eastAsia="宋体" w:cs="Times New Roman"/>
                <w:color w:val="auto"/>
                <w:kern w:val="0"/>
                <w:sz w:val="21"/>
                <w:szCs w:val="21"/>
              </w:rPr>
              <w:t>的消防管理，可燃物储存</w:t>
            </w:r>
            <w:r>
              <w:rPr>
                <w:rFonts w:hint="eastAsia" w:ascii="Times New Roman" w:hAnsi="Times New Roman" w:eastAsia="宋体" w:cs="Times New Roman"/>
                <w:color w:val="auto"/>
                <w:kern w:val="0"/>
                <w:sz w:val="21"/>
                <w:szCs w:val="21"/>
              </w:rPr>
              <w:t>区域</w:t>
            </w:r>
            <w:r>
              <w:rPr>
                <w:rFonts w:ascii="Times New Roman" w:hAnsi="Times New Roman" w:eastAsia="宋体" w:cs="Times New Roman"/>
                <w:color w:val="auto"/>
                <w:kern w:val="0"/>
                <w:sz w:val="21"/>
                <w:szCs w:val="21"/>
              </w:rPr>
              <w:t>及附近不得有明火、明电，配备相应的灭火器材。</w:t>
            </w:r>
          </w:p>
        </w:tc>
      </w:tr>
    </w:tbl>
    <w:p w14:paraId="40AFACDE">
      <w:pPr>
        <w:bidi w:val="0"/>
        <w:rPr>
          <w:rFonts w:hint="default"/>
          <w:color w:val="auto"/>
          <w:lang w:val="en-US" w:eastAsia="zh-CN"/>
        </w:rPr>
      </w:pPr>
      <w:r>
        <w:rPr>
          <w:rFonts w:hint="eastAsia"/>
          <w:color w:val="auto"/>
          <w:lang w:val="en-US" w:eastAsia="zh-CN"/>
        </w:rPr>
        <w:t>艾坦途（宜春）物流有限公司</w:t>
      </w:r>
      <w:r>
        <w:rPr>
          <w:rFonts w:hint="default"/>
          <w:color w:val="auto"/>
          <w:lang w:val="en-US" w:eastAsia="zh-CN"/>
        </w:rPr>
        <w:t>平面交叉道口工程施工作业存在的机械伤害、车辆伤害、触电、坍塌、物体打击以及火灾等危险等级均为</w:t>
      </w:r>
      <w:r>
        <w:rPr>
          <w:rFonts w:hint="eastAsia" w:ascii="宋体" w:hAnsi="宋体" w:eastAsia="宋体" w:cs="宋体"/>
          <w:color w:val="auto"/>
          <w:lang w:val="en-US" w:eastAsia="zh-CN"/>
        </w:rPr>
        <w:t>Ⅱ</w:t>
      </w:r>
      <w:r>
        <w:rPr>
          <w:rFonts w:hint="default"/>
          <w:color w:val="auto"/>
          <w:lang w:val="en-US" w:eastAsia="zh-CN"/>
        </w:rPr>
        <w:t>级。</w:t>
      </w:r>
    </w:p>
    <w:p w14:paraId="024FCB42">
      <w:pPr>
        <w:pStyle w:val="3"/>
        <w:bidi w:val="0"/>
        <w:rPr>
          <w:rFonts w:hint="default"/>
          <w:color w:val="auto"/>
          <w:lang w:val="en-US" w:eastAsia="zh-CN"/>
        </w:rPr>
      </w:pPr>
      <w:bookmarkStart w:id="154" w:name="_Toc29441"/>
      <w:bookmarkStart w:id="155" w:name="_Toc4736"/>
      <w:r>
        <w:rPr>
          <w:rFonts w:hint="default"/>
          <w:color w:val="auto"/>
          <w:lang w:val="en-US" w:eastAsia="zh-CN"/>
        </w:rPr>
        <w:t>5.2</w:t>
      </w:r>
      <w:r>
        <w:rPr>
          <w:rFonts w:hint="eastAsia"/>
          <w:color w:val="auto"/>
          <w:lang w:val="en-US" w:eastAsia="zh-CN"/>
        </w:rPr>
        <w:t xml:space="preserve"> </w:t>
      </w:r>
      <w:r>
        <w:rPr>
          <w:rFonts w:hint="default"/>
          <w:color w:val="auto"/>
          <w:lang w:val="en-US" w:eastAsia="zh-CN"/>
        </w:rPr>
        <w:t>安全检查表分析法评估</w:t>
      </w:r>
      <w:bookmarkEnd w:id="154"/>
      <w:bookmarkEnd w:id="155"/>
    </w:p>
    <w:p w14:paraId="7C75762F">
      <w:pPr>
        <w:pStyle w:val="4"/>
        <w:bidi w:val="0"/>
        <w:rPr>
          <w:rFonts w:hint="default"/>
          <w:color w:val="auto"/>
          <w:lang w:val="en-US" w:eastAsia="zh-CN"/>
        </w:rPr>
      </w:pPr>
      <w:bookmarkStart w:id="156" w:name="_Toc21655"/>
      <w:bookmarkStart w:id="157" w:name="_Toc1626"/>
      <w:r>
        <w:rPr>
          <w:rFonts w:hint="eastAsia"/>
          <w:color w:val="auto"/>
          <w:lang w:val="en-US" w:eastAsia="zh-CN"/>
        </w:rPr>
        <w:t>5.2.1 施工作业法律法规符合性</w:t>
      </w:r>
      <w:bookmarkEnd w:id="156"/>
      <w:bookmarkEnd w:id="157"/>
    </w:p>
    <w:p w14:paraId="40874C05">
      <w:pPr>
        <w:bidi w:val="0"/>
        <w:rPr>
          <w:rFonts w:hint="default"/>
          <w:color w:val="auto"/>
          <w:lang w:val="en-US" w:eastAsia="zh-CN"/>
        </w:rPr>
      </w:pPr>
      <w:r>
        <w:rPr>
          <w:rFonts w:hint="eastAsia"/>
          <w:color w:val="auto"/>
          <w:lang w:val="en-US" w:eastAsia="zh-CN"/>
        </w:rPr>
        <w:t>艾坦途（宜春）物流有限公司</w:t>
      </w:r>
      <w:r>
        <w:rPr>
          <w:rFonts w:hint="default"/>
          <w:color w:val="auto"/>
          <w:lang w:val="en-US" w:eastAsia="zh-CN"/>
        </w:rPr>
        <w:t>平面交叉道口工程施工作业法律法规符合性安全检查表见表5.</w:t>
      </w:r>
      <w:r>
        <w:rPr>
          <w:rFonts w:hint="eastAsia"/>
          <w:color w:val="auto"/>
          <w:lang w:val="en-US" w:eastAsia="zh-CN"/>
        </w:rPr>
        <w:t>2</w:t>
      </w:r>
      <w:r>
        <w:rPr>
          <w:rFonts w:hint="default"/>
          <w:color w:val="auto"/>
          <w:lang w:val="en-US" w:eastAsia="zh-CN"/>
        </w:rPr>
        <w:t>-1。</w:t>
      </w:r>
    </w:p>
    <w:p w14:paraId="604BD3C8">
      <w:pPr>
        <w:bidi w:val="0"/>
        <w:ind w:left="0" w:leftChars="0" w:firstLine="0" w:firstLineChars="0"/>
        <w:jc w:val="center"/>
        <w:rPr>
          <w:rFonts w:hint="default"/>
          <w:color w:val="auto"/>
          <w:lang w:val="en-US" w:eastAsia="zh-CN"/>
        </w:rPr>
      </w:pPr>
      <w:r>
        <w:rPr>
          <w:rFonts w:hint="default"/>
          <w:color w:val="auto"/>
          <w:lang w:val="en-US" w:eastAsia="zh-CN"/>
        </w:rPr>
        <w:t>表5.2-1 安全检查表检查</w:t>
      </w:r>
    </w:p>
    <w:tbl>
      <w:tblPr>
        <w:tblStyle w:val="19"/>
        <w:tblW w:w="9347"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609"/>
        <w:gridCol w:w="3894"/>
        <w:gridCol w:w="1994"/>
        <w:gridCol w:w="2078"/>
        <w:gridCol w:w="772"/>
      </w:tblGrid>
      <w:tr w14:paraId="1DE20A6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12" w:hRule="atLeast"/>
          <w:jc w:val="center"/>
        </w:trPr>
        <w:tc>
          <w:tcPr>
            <w:tcW w:w="609" w:type="dxa"/>
            <w:noWrap w:val="0"/>
            <w:vAlign w:val="center"/>
          </w:tcPr>
          <w:p w14:paraId="1138F72B">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序号</w:t>
            </w:r>
          </w:p>
        </w:tc>
        <w:tc>
          <w:tcPr>
            <w:tcW w:w="3894" w:type="dxa"/>
            <w:noWrap w:val="0"/>
            <w:vAlign w:val="center"/>
          </w:tcPr>
          <w:p w14:paraId="17A00ED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检查内容</w:t>
            </w:r>
          </w:p>
        </w:tc>
        <w:tc>
          <w:tcPr>
            <w:tcW w:w="1994" w:type="dxa"/>
            <w:noWrap w:val="0"/>
            <w:vAlign w:val="center"/>
          </w:tcPr>
          <w:p w14:paraId="3A083CE0">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检查依据</w:t>
            </w:r>
          </w:p>
        </w:tc>
        <w:tc>
          <w:tcPr>
            <w:tcW w:w="2078" w:type="dxa"/>
            <w:noWrap w:val="0"/>
            <w:vAlign w:val="center"/>
          </w:tcPr>
          <w:p w14:paraId="36659B9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检查情况</w:t>
            </w:r>
          </w:p>
        </w:tc>
        <w:tc>
          <w:tcPr>
            <w:tcW w:w="772" w:type="dxa"/>
            <w:noWrap w:val="0"/>
            <w:vAlign w:val="center"/>
          </w:tcPr>
          <w:p w14:paraId="1227462C">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检查</w:t>
            </w:r>
          </w:p>
          <w:p w14:paraId="53F32A88">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结论</w:t>
            </w:r>
          </w:p>
        </w:tc>
      </w:tr>
      <w:tr w14:paraId="5FCA387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21" w:hRule="atLeast"/>
          <w:jc w:val="center"/>
        </w:trPr>
        <w:tc>
          <w:tcPr>
            <w:tcW w:w="609" w:type="dxa"/>
            <w:noWrap w:val="0"/>
            <w:vAlign w:val="center"/>
          </w:tcPr>
          <w:p w14:paraId="20FA67C7">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w:t>
            </w:r>
          </w:p>
        </w:tc>
        <w:tc>
          <w:tcPr>
            <w:tcW w:w="3894" w:type="dxa"/>
            <w:noWrap w:val="0"/>
            <w:vAlign w:val="center"/>
          </w:tcPr>
          <w:p w14:paraId="0961FB31">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生产经营单位应当具备本法和有关法律、行政法规和国家标准或者行业标准规定的安全生产条件；不具备安全生产条件的，不得从事生产经营活动。</w:t>
            </w:r>
          </w:p>
        </w:tc>
        <w:tc>
          <w:tcPr>
            <w:tcW w:w="1994" w:type="dxa"/>
            <w:noWrap w:val="0"/>
            <w:vAlign w:val="center"/>
          </w:tcPr>
          <w:p w14:paraId="077EF40D">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《安全生产法》</w:t>
            </w:r>
          </w:p>
          <w:p w14:paraId="2D6B4642">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第</w:t>
            </w:r>
            <w:r>
              <w:rPr>
                <w:rFonts w:hint="default" w:ascii="Times New Roman" w:hAnsi="Times New Roman" w:eastAsia="宋体" w:cs="Times New Roman"/>
                <w:color w:val="auto"/>
                <w:sz w:val="21"/>
                <w:lang w:eastAsia="zh-CN"/>
              </w:rPr>
              <w:t>二</w:t>
            </w:r>
            <w:r>
              <w:rPr>
                <w:rFonts w:hint="default" w:ascii="Times New Roman" w:hAnsi="Times New Roman" w:eastAsia="宋体" w:cs="Times New Roman"/>
                <w:color w:val="auto"/>
                <w:sz w:val="21"/>
              </w:rPr>
              <w:t>十条</w:t>
            </w:r>
          </w:p>
        </w:tc>
        <w:tc>
          <w:tcPr>
            <w:tcW w:w="2078" w:type="dxa"/>
            <w:noWrap w:val="0"/>
            <w:vAlign w:val="center"/>
          </w:tcPr>
          <w:p w14:paraId="20D2CE77">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施工方案符合标准</w:t>
            </w:r>
          </w:p>
        </w:tc>
        <w:tc>
          <w:tcPr>
            <w:tcW w:w="772" w:type="dxa"/>
            <w:noWrap w:val="0"/>
            <w:vAlign w:val="center"/>
          </w:tcPr>
          <w:p w14:paraId="413AE10C">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5D0F3D3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79" w:hRule="atLeast"/>
          <w:jc w:val="center"/>
        </w:trPr>
        <w:tc>
          <w:tcPr>
            <w:tcW w:w="609" w:type="dxa"/>
            <w:noWrap w:val="0"/>
            <w:vAlign w:val="center"/>
          </w:tcPr>
          <w:p w14:paraId="2AD35A31">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2</w:t>
            </w:r>
          </w:p>
        </w:tc>
        <w:tc>
          <w:tcPr>
            <w:tcW w:w="3894" w:type="dxa"/>
            <w:noWrap w:val="0"/>
            <w:vAlign w:val="center"/>
          </w:tcPr>
          <w:p w14:paraId="64402BFE">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生产经营单位新建、改建、扩建工程项目的安全设施，必须与主体工程同时设计、同时施工、同时投入生产和使用。安全设施投资应当纳入建设项目概算</w:t>
            </w:r>
          </w:p>
        </w:tc>
        <w:tc>
          <w:tcPr>
            <w:tcW w:w="1994" w:type="dxa"/>
            <w:noWrap w:val="0"/>
            <w:vAlign w:val="center"/>
          </w:tcPr>
          <w:p w14:paraId="3D532753">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《安全生产法》</w:t>
            </w:r>
          </w:p>
          <w:p w14:paraId="5A51E0EE">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第</w:t>
            </w:r>
            <w:r>
              <w:rPr>
                <w:rFonts w:hint="default" w:ascii="Times New Roman" w:hAnsi="Times New Roman" w:eastAsia="宋体" w:cs="Times New Roman"/>
                <w:color w:val="auto"/>
                <w:sz w:val="21"/>
                <w:lang w:eastAsia="zh-CN"/>
              </w:rPr>
              <w:t>三十一</w:t>
            </w:r>
            <w:r>
              <w:rPr>
                <w:rFonts w:hint="default" w:ascii="Times New Roman" w:hAnsi="Times New Roman" w:eastAsia="宋体" w:cs="Times New Roman"/>
                <w:color w:val="auto"/>
                <w:sz w:val="21"/>
              </w:rPr>
              <w:t>条</w:t>
            </w:r>
          </w:p>
        </w:tc>
        <w:tc>
          <w:tcPr>
            <w:tcW w:w="2078" w:type="dxa"/>
            <w:noWrap w:val="0"/>
            <w:vAlign w:val="center"/>
          </w:tcPr>
          <w:p w14:paraId="0AC549D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新建道路工程执行“三同时”</w:t>
            </w:r>
          </w:p>
        </w:tc>
        <w:tc>
          <w:tcPr>
            <w:tcW w:w="772" w:type="dxa"/>
            <w:noWrap w:val="0"/>
            <w:vAlign w:val="center"/>
          </w:tcPr>
          <w:p w14:paraId="634CD46B">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2988AFA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79" w:hRule="atLeast"/>
          <w:jc w:val="center"/>
        </w:trPr>
        <w:tc>
          <w:tcPr>
            <w:tcW w:w="609" w:type="dxa"/>
            <w:noWrap w:val="0"/>
            <w:vAlign w:val="center"/>
          </w:tcPr>
          <w:p w14:paraId="1FBD2634">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3</w:t>
            </w:r>
          </w:p>
        </w:tc>
        <w:tc>
          <w:tcPr>
            <w:tcW w:w="3894" w:type="dxa"/>
            <w:noWrap w:val="0"/>
            <w:vAlign w:val="center"/>
          </w:tcPr>
          <w:p w14:paraId="46AFF4C4">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国家对严重危及生产安全的工艺、设备实行淘汰制度。</w:t>
            </w:r>
          </w:p>
          <w:p w14:paraId="0A887192">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rPr>
              <w:t>生产经营单位不得使用应当淘汰的危及生产安全的工艺、设备。</w:t>
            </w:r>
          </w:p>
        </w:tc>
        <w:tc>
          <w:tcPr>
            <w:tcW w:w="1994" w:type="dxa"/>
            <w:noWrap w:val="0"/>
            <w:vAlign w:val="center"/>
          </w:tcPr>
          <w:p w14:paraId="62D629E7">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《安全生产法》</w:t>
            </w:r>
          </w:p>
          <w:p w14:paraId="5032D441">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第三十</w:t>
            </w:r>
            <w:r>
              <w:rPr>
                <w:rFonts w:hint="default" w:ascii="Times New Roman" w:hAnsi="Times New Roman" w:eastAsia="宋体" w:cs="Times New Roman"/>
                <w:color w:val="auto"/>
                <w:sz w:val="21"/>
                <w:lang w:eastAsia="zh-CN"/>
              </w:rPr>
              <w:t>八</w:t>
            </w:r>
            <w:r>
              <w:rPr>
                <w:rFonts w:hint="default" w:ascii="Times New Roman" w:hAnsi="Times New Roman" w:eastAsia="宋体" w:cs="Times New Roman"/>
                <w:color w:val="auto"/>
                <w:sz w:val="21"/>
              </w:rPr>
              <w:t>条</w:t>
            </w:r>
          </w:p>
        </w:tc>
        <w:tc>
          <w:tcPr>
            <w:tcW w:w="2078" w:type="dxa"/>
            <w:noWrap w:val="0"/>
            <w:vAlign w:val="center"/>
          </w:tcPr>
          <w:p w14:paraId="664BBB9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没有使用危及生产安生的工艺设备</w:t>
            </w:r>
          </w:p>
        </w:tc>
        <w:tc>
          <w:tcPr>
            <w:tcW w:w="772" w:type="dxa"/>
            <w:noWrap w:val="0"/>
            <w:vAlign w:val="center"/>
          </w:tcPr>
          <w:p w14:paraId="5B0DE6DA">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2D1FE96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609" w:type="dxa"/>
            <w:noWrap w:val="0"/>
            <w:vAlign w:val="center"/>
          </w:tcPr>
          <w:p w14:paraId="474544CD">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4</w:t>
            </w:r>
          </w:p>
        </w:tc>
        <w:tc>
          <w:tcPr>
            <w:tcW w:w="3894" w:type="dxa"/>
            <w:noWrap w:val="0"/>
            <w:vAlign w:val="center"/>
          </w:tcPr>
          <w:p w14:paraId="0861043A">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用人单位应当依照法律、法规要求，严格遵守国家职业卫生标准，落实职业病预防措施，从源头上控制和消除职业病危害。</w:t>
            </w:r>
          </w:p>
        </w:tc>
        <w:tc>
          <w:tcPr>
            <w:tcW w:w="1994" w:type="dxa"/>
            <w:noWrap w:val="0"/>
            <w:vAlign w:val="center"/>
          </w:tcPr>
          <w:p w14:paraId="7A4D9E2E">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《职业病防治法》</w:t>
            </w:r>
          </w:p>
          <w:p w14:paraId="36AE8AF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第十四条</w:t>
            </w:r>
          </w:p>
        </w:tc>
        <w:tc>
          <w:tcPr>
            <w:tcW w:w="2078" w:type="dxa"/>
            <w:noWrap w:val="0"/>
            <w:vAlign w:val="center"/>
          </w:tcPr>
          <w:p w14:paraId="45C9A367">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严格执行职业卫生标准</w:t>
            </w:r>
          </w:p>
        </w:tc>
        <w:tc>
          <w:tcPr>
            <w:tcW w:w="772" w:type="dxa"/>
            <w:noWrap w:val="0"/>
            <w:vAlign w:val="center"/>
          </w:tcPr>
          <w:p w14:paraId="71244A29">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27803B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79" w:hRule="atLeast"/>
          <w:jc w:val="center"/>
        </w:trPr>
        <w:tc>
          <w:tcPr>
            <w:tcW w:w="609" w:type="dxa"/>
            <w:noWrap w:val="0"/>
            <w:vAlign w:val="center"/>
          </w:tcPr>
          <w:p w14:paraId="469066CB">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5</w:t>
            </w:r>
          </w:p>
        </w:tc>
        <w:tc>
          <w:tcPr>
            <w:tcW w:w="3894" w:type="dxa"/>
            <w:noWrap w:val="0"/>
            <w:vAlign w:val="center"/>
          </w:tcPr>
          <w:p w14:paraId="014C47D3">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任何单位和个人不得生产、经营、进口和使用国家明令禁止使用的可能产生职业病危害的设备或者材料。</w:t>
            </w:r>
          </w:p>
        </w:tc>
        <w:tc>
          <w:tcPr>
            <w:tcW w:w="1994" w:type="dxa"/>
            <w:noWrap w:val="0"/>
            <w:vAlign w:val="center"/>
          </w:tcPr>
          <w:p w14:paraId="78225E75">
            <w:pPr>
              <w:bidi w:val="0"/>
              <w:spacing w:line="24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《职业病防治法》</w:t>
            </w:r>
          </w:p>
          <w:p w14:paraId="768118E5">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第三十一条</w:t>
            </w:r>
          </w:p>
        </w:tc>
        <w:tc>
          <w:tcPr>
            <w:tcW w:w="2078" w:type="dxa"/>
            <w:noWrap w:val="0"/>
            <w:vAlign w:val="center"/>
          </w:tcPr>
          <w:p w14:paraId="18FD0DB1">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没有使用国家明令禁止使用的可能产生职业病危害的设备或者材料</w:t>
            </w:r>
          </w:p>
        </w:tc>
        <w:tc>
          <w:tcPr>
            <w:tcW w:w="772" w:type="dxa"/>
            <w:noWrap w:val="0"/>
            <w:vAlign w:val="center"/>
          </w:tcPr>
          <w:p w14:paraId="5910F0A0">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6A4954C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749" w:hRule="atLeast"/>
          <w:jc w:val="center"/>
        </w:trPr>
        <w:tc>
          <w:tcPr>
            <w:tcW w:w="609" w:type="dxa"/>
            <w:noWrap w:val="0"/>
            <w:vAlign w:val="center"/>
          </w:tcPr>
          <w:p w14:paraId="7970D6E9">
            <w:pPr>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w:t>
            </w:r>
          </w:p>
        </w:tc>
        <w:tc>
          <w:tcPr>
            <w:tcW w:w="3894" w:type="dxa"/>
            <w:noWrap w:val="0"/>
            <w:vAlign w:val="center"/>
          </w:tcPr>
          <w:p w14:paraId="5E7D326F">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rPr>
              <w:t>建设工程的消防设计、施工必须符合国家工程建设消防技术标准。</w:t>
            </w:r>
          </w:p>
        </w:tc>
        <w:tc>
          <w:tcPr>
            <w:tcW w:w="1994" w:type="dxa"/>
            <w:noWrap w:val="0"/>
            <w:vAlign w:val="center"/>
          </w:tcPr>
          <w:p w14:paraId="0C86183F">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《消防法》</w:t>
            </w:r>
          </w:p>
        </w:tc>
        <w:tc>
          <w:tcPr>
            <w:tcW w:w="2078" w:type="dxa"/>
            <w:noWrap w:val="0"/>
            <w:vAlign w:val="center"/>
          </w:tcPr>
          <w:p w14:paraId="3A100B5D">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rPr>
              <w:t>符合《建筑设计防火规范（2018年版）》（GB50016-2014）</w:t>
            </w:r>
          </w:p>
        </w:tc>
        <w:tc>
          <w:tcPr>
            <w:tcW w:w="772" w:type="dxa"/>
            <w:noWrap w:val="0"/>
            <w:vAlign w:val="center"/>
          </w:tcPr>
          <w:p w14:paraId="44B29B05">
            <w:pPr>
              <w:tabs>
                <w:tab w:val="left" w:pos="720"/>
              </w:tabs>
              <w:autoSpaceDE w:val="0"/>
              <w:autoSpaceDN w:val="0"/>
              <w:bidi w:val="0"/>
              <w:adjustRightInd w:val="0"/>
              <w:spacing w:line="24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bl>
    <w:p w14:paraId="3FA3BCFE">
      <w:pPr>
        <w:bidi w:val="0"/>
        <w:rPr>
          <w:rFonts w:hint="default"/>
          <w:color w:val="auto"/>
          <w:lang w:val="en-US" w:eastAsia="zh-CN"/>
        </w:rPr>
      </w:pPr>
      <w:r>
        <w:rPr>
          <w:rFonts w:hint="default"/>
          <w:color w:val="auto"/>
          <w:lang w:val="en-US" w:eastAsia="zh-CN"/>
        </w:rPr>
        <w:t>评估</w:t>
      </w:r>
      <w:r>
        <w:rPr>
          <w:rFonts w:hint="eastAsia"/>
          <w:color w:val="auto"/>
          <w:lang w:val="en-US" w:eastAsia="zh-CN"/>
        </w:rPr>
        <w:t>小结</w:t>
      </w:r>
      <w:r>
        <w:rPr>
          <w:rFonts w:hint="default"/>
          <w:color w:val="auto"/>
          <w:lang w:val="en-US" w:eastAsia="zh-CN"/>
        </w:rPr>
        <w:t>：根据表5.2-1内容可知，</w:t>
      </w:r>
      <w:r>
        <w:rPr>
          <w:rFonts w:hint="eastAsia"/>
          <w:color w:val="auto"/>
          <w:lang w:val="en-US" w:eastAsia="zh-CN"/>
        </w:rPr>
        <w:t>艾坦途（宜春）物流有限公司</w:t>
      </w:r>
      <w:r>
        <w:rPr>
          <w:rFonts w:hint="default"/>
          <w:color w:val="auto"/>
          <w:lang w:val="en-US" w:eastAsia="zh-CN"/>
        </w:rPr>
        <w:t>平面交叉道口工程施工作业法律法规共检查</w:t>
      </w:r>
      <w:r>
        <w:rPr>
          <w:rFonts w:hint="eastAsia"/>
          <w:color w:val="auto"/>
          <w:lang w:val="en-US" w:eastAsia="zh-CN"/>
        </w:rPr>
        <w:t>6</w:t>
      </w:r>
      <w:r>
        <w:rPr>
          <w:rFonts w:hint="default"/>
          <w:color w:val="auto"/>
          <w:lang w:val="en-US" w:eastAsia="zh-CN"/>
        </w:rPr>
        <w:t>项内容，</w:t>
      </w:r>
      <w:r>
        <w:rPr>
          <w:rFonts w:hint="eastAsia"/>
          <w:color w:val="auto"/>
          <w:lang w:val="en-US" w:eastAsia="zh-CN"/>
        </w:rPr>
        <w:t>均</w:t>
      </w:r>
      <w:r>
        <w:rPr>
          <w:rFonts w:hint="default"/>
          <w:color w:val="auto"/>
          <w:lang w:val="en-US" w:eastAsia="zh-CN"/>
        </w:rPr>
        <w:t>符合要求。</w:t>
      </w:r>
    </w:p>
    <w:p w14:paraId="372677FD">
      <w:pPr>
        <w:pStyle w:val="4"/>
        <w:bidi w:val="0"/>
        <w:rPr>
          <w:rFonts w:hint="default"/>
          <w:color w:val="auto"/>
          <w:lang w:val="en-US" w:eastAsia="zh-CN"/>
        </w:rPr>
      </w:pPr>
      <w:bookmarkStart w:id="158" w:name="_Toc20490"/>
      <w:bookmarkStart w:id="159" w:name="_Toc18307"/>
      <w:r>
        <w:rPr>
          <w:rFonts w:hint="default"/>
          <w:color w:val="auto"/>
          <w:lang w:val="en-US" w:eastAsia="zh-CN"/>
        </w:rPr>
        <w:t>5.</w:t>
      </w:r>
      <w:r>
        <w:rPr>
          <w:rFonts w:hint="eastAsia"/>
          <w:color w:val="auto"/>
          <w:lang w:val="en-US" w:eastAsia="zh-CN"/>
        </w:rPr>
        <w:t xml:space="preserve">2.2 </w:t>
      </w:r>
      <w:r>
        <w:rPr>
          <w:rFonts w:hint="default"/>
          <w:color w:val="auto"/>
          <w:lang w:val="en-US" w:eastAsia="zh-CN"/>
        </w:rPr>
        <w:t>平面交叉道口工程施工作业与公路的相互影响</w:t>
      </w:r>
      <w:bookmarkEnd w:id="158"/>
      <w:bookmarkEnd w:id="159"/>
    </w:p>
    <w:p w14:paraId="16C76F83">
      <w:pPr>
        <w:bidi w:val="0"/>
        <w:spacing w:line="560" w:lineRule="exact"/>
        <w:ind w:firstLine="616" w:firstLineChars="220"/>
        <w:rPr>
          <w:rFonts w:hint="default" w:ascii="Times New Roman" w:hAnsi="Times New Roman" w:eastAsia="宋体" w:cs="Times New Roman"/>
          <w:bCs/>
          <w:color w:val="auto"/>
          <w:sz w:val="28"/>
          <w:szCs w:val="28"/>
        </w:rPr>
      </w:pPr>
      <w:r>
        <w:rPr>
          <w:rFonts w:hint="eastAsia" w:cs="Times New Roman"/>
          <w:bCs/>
          <w:color w:val="auto"/>
          <w:sz w:val="28"/>
          <w:szCs w:val="28"/>
          <w:lang w:eastAsia="zh-CN"/>
        </w:rPr>
        <w:t>艾坦途（宜春）物流有限公司</w:t>
      </w:r>
      <w:r>
        <w:rPr>
          <w:rFonts w:hint="default" w:ascii="Times New Roman" w:hAnsi="Times New Roman" w:eastAsia="宋体" w:cs="Times New Roman"/>
          <w:bCs/>
          <w:color w:val="auto"/>
          <w:sz w:val="28"/>
          <w:szCs w:val="28"/>
        </w:rPr>
        <w:t>平面交叉道口工程施工作业与公路的相互影响安全检查表见表5.2-</w:t>
      </w:r>
      <w:r>
        <w:rPr>
          <w:rFonts w:hint="eastAsia" w:ascii="Times New Roman" w:hAnsi="Times New Roman" w:eastAsia="宋体" w:cs="Times New Roman"/>
          <w:bCs/>
          <w:color w:val="auto"/>
          <w:sz w:val="28"/>
          <w:szCs w:val="28"/>
          <w:lang w:val="en-US" w:eastAsia="zh-CN"/>
        </w:rPr>
        <w:t>2</w:t>
      </w:r>
      <w:r>
        <w:rPr>
          <w:rFonts w:hint="default" w:ascii="Times New Roman" w:hAnsi="Times New Roman" w:eastAsia="宋体" w:cs="Times New Roman"/>
          <w:bCs/>
          <w:color w:val="auto"/>
          <w:sz w:val="28"/>
          <w:szCs w:val="28"/>
        </w:rPr>
        <w:t>。</w:t>
      </w:r>
    </w:p>
    <w:p w14:paraId="145945A5">
      <w:pPr>
        <w:bidi w:val="0"/>
        <w:ind w:left="0" w:leftChars="0" w:firstLine="0" w:firstLineChars="0"/>
        <w:jc w:val="center"/>
        <w:rPr>
          <w:rFonts w:hint="default"/>
          <w:color w:val="auto"/>
          <w:lang w:val="en-US" w:eastAsia="zh-CN"/>
        </w:rPr>
      </w:pPr>
      <w:r>
        <w:rPr>
          <w:rFonts w:hint="eastAsia"/>
          <w:color w:val="auto"/>
          <w:lang w:val="en-US" w:eastAsia="zh-CN"/>
        </w:rPr>
        <w:t xml:space="preserve">表5.2-2 </w:t>
      </w:r>
      <w:r>
        <w:rPr>
          <w:rFonts w:hint="default"/>
          <w:color w:val="auto"/>
          <w:lang w:val="en-US" w:eastAsia="zh-CN"/>
        </w:rPr>
        <w:t>安全检查表检查</w:t>
      </w:r>
    </w:p>
    <w:tbl>
      <w:tblPr>
        <w:tblStyle w:val="19"/>
        <w:tblW w:w="9325"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623"/>
        <w:gridCol w:w="5"/>
        <w:gridCol w:w="15"/>
        <w:gridCol w:w="4347"/>
        <w:gridCol w:w="1898"/>
        <w:gridCol w:w="1773"/>
        <w:gridCol w:w="664"/>
      </w:tblGrid>
      <w:tr w14:paraId="7FF04D0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23" w:type="dxa"/>
            <w:noWrap w:val="0"/>
            <w:vAlign w:val="center"/>
          </w:tcPr>
          <w:p w14:paraId="633AD714">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序号</w:t>
            </w:r>
          </w:p>
        </w:tc>
        <w:tc>
          <w:tcPr>
            <w:tcW w:w="4367" w:type="dxa"/>
            <w:gridSpan w:val="3"/>
            <w:noWrap w:val="0"/>
            <w:vAlign w:val="center"/>
          </w:tcPr>
          <w:p w14:paraId="2CCC9CF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检查内容</w:t>
            </w:r>
          </w:p>
        </w:tc>
        <w:tc>
          <w:tcPr>
            <w:tcW w:w="1898" w:type="dxa"/>
            <w:noWrap w:val="0"/>
            <w:vAlign w:val="center"/>
          </w:tcPr>
          <w:p w14:paraId="65FF288F">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检查依据</w:t>
            </w:r>
          </w:p>
        </w:tc>
        <w:tc>
          <w:tcPr>
            <w:tcW w:w="1773" w:type="dxa"/>
            <w:noWrap w:val="0"/>
            <w:vAlign w:val="center"/>
          </w:tcPr>
          <w:p w14:paraId="1EA12F22">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检查情况</w:t>
            </w:r>
          </w:p>
        </w:tc>
        <w:tc>
          <w:tcPr>
            <w:tcW w:w="664" w:type="dxa"/>
            <w:noWrap w:val="0"/>
            <w:vAlign w:val="center"/>
          </w:tcPr>
          <w:p w14:paraId="1A4C330C">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检查</w:t>
            </w:r>
          </w:p>
          <w:p w14:paraId="5C90414B">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结论</w:t>
            </w:r>
          </w:p>
        </w:tc>
      </w:tr>
      <w:tr w14:paraId="13F1A74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23" w:type="dxa"/>
            <w:noWrap w:val="0"/>
            <w:vAlign w:val="center"/>
          </w:tcPr>
          <w:p w14:paraId="2158C92F">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w:t>
            </w:r>
          </w:p>
        </w:tc>
        <w:tc>
          <w:tcPr>
            <w:tcW w:w="4367" w:type="dxa"/>
            <w:gridSpan w:val="3"/>
            <w:noWrap w:val="0"/>
            <w:vAlign w:val="center"/>
          </w:tcPr>
          <w:p w14:paraId="5F7D4811">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任何单位和个人不得破坏、损坏、非法占用或者非法利用公路、公路用地和公路附属设施。</w:t>
            </w:r>
          </w:p>
        </w:tc>
        <w:tc>
          <w:tcPr>
            <w:tcW w:w="1898" w:type="dxa"/>
            <w:noWrap w:val="0"/>
            <w:vAlign w:val="center"/>
          </w:tcPr>
          <w:p w14:paraId="20E4869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《公路安全保护条例》第九条</w:t>
            </w:r>
          </w:p>
        </w:tc>
        <w:tc>
          <w:tcPr>
            <w:tcW w:w="1773" w:type="dxa"/>
            <w:noWrap w:val="0"/>
            <w:vAlign w:val="center"/>
          </w:tcPr>
          <w:p w14:paraId="211709B5">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pacing w:val="-4"/>
                <w:sz w:val="21"/>
                <w:szCs w:val="21"/>
                <w:lang w:val="zh-CN"/>
              </w:rPr>
            </w:pPr>
            <w:r>
              <w:rPr>
                <w:rFonts w:hint="default" w:ascii="Times New Roman" w:hAnsi="Times New Roman" w:eastAsia="宋体" w:cs="Times New Roman"/>
                <w:color w:val="auto"/>
                <w:spacing w:val="-4"/>
                <w:sz w:val="21"/>
                <w:szCs w:val="21"/>
              </w:rPr>
              <w:t>项目没有破坏、损坏、非法占用，没有非法利用公路、公路用地和公路附属设施。</w:t>
            </w:r>
          </w:p>
        </w:tc>
        <w:tc>
          <w:tcPr>
            <w:tcW w:w="664" w:type="dxa"/>
            <w:noWrap w:val="0"/>
            <w:vAlign w:val="center"/>
          </w:tcPr>
          <w:p w14:paraId="176CA72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E7A7F2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282" w:hRule="atLeast"/>
          <w:jc w:val="center"/>
        </w:trPr>
        <w:tc>
          <w:tcPr>
            <w:tcW w:w="623" w:type="dxa"/>
            <w:noWrap w:val="0"/>
            <w:vAlign w:val="center"/>
          </w:tcPr>
          <w:p w14:paraId="24AC9B3B">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val="zh-CN" w:eastAsia="zh-CN"/>
              </w:rPr>
            </w:pPr>
            <w:r>
              <w:rPr>
                <w:rFonts w:hint="eastAsia" w:cs="Times New Roman"/>
                <w:color w:val="auto"/>
                <w:sz w:val="21"/>
                <w:szCs w:val="21"/>
                <w:lang w:val="en-US" w:eastAsia="zh-CN"/>
              </w:rPr>
              <w:t>2</w:t>
            </w:r>
          </w:p>
        </w:tc>
        <w:tc>
          <w:tcPr>
            <w:tcW w:w="4367" w:type="dxa"/>
            <w:gridSpan w:val="3"/>
            <w:noWrap w:val="0"/>
            <w:vAlign w:val="center"/>
          </w:tcPr>
          <w:p w14:paraId="777654C3">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rPr>
              <w:t>禁止损坏、擅自移动、涂改、遮挡公路附属设施或者利用公路附属设施架设管道、悬挂物品。</w:t>
            </w:r>
          </w:p>
        </w:tc>
        <w:tc>
          <w:tcPr>
            <w:tcW w:w="1898" w:type="dxa"/>
            <w:noWrap w:val="0"/>
            <w:vAlign w:val="center"/>
          </w:tcPr>
          <w:p w14:paraId="28AADF1D">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《公路安全保护条例》第二十五条</w:t>
            </w:r>
          </w:p>
        </w:tc>
        <w:tc>
          <w:tcPr>
            <w:tcW w:w="1773" w:type="dxa"/>
            <w:noWrap w:val="0"/>
            <w:vAlign w:val="center"/>
          </w:tcPr>
          <w:p w14:paraId="15BB15A7">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项目没有损坏、擅自移动、涂改、遮挡公路附属设施或者利用公路附属设施架设管道、悬挂物品。</w:t>
            </w:r>
          </w:p>
        </w:tc>
        <w:tc>
          <w:tcPr>
            <w:tcW w:w="664" w:type="dxa"/>
            <w:noWrap w:val="0"/>
            <w:vAlign w:val="center"/>
          </w:tcPr>
          <w:p w14:paraId="025333F1">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6333DE0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23" w:type="dxa"/>
            <w:noWrap w:val="0"/>
            <w:vAlign w:val="center"/>
          </w:tcPr>
          <w:p w14:paraId="244AE384">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val="zh-CN" w:eastAsia="zh-CN"/>
              </w:rPr>
            </w:pPr>
            <w:r>
              <w:rPr>
                <w:rFonts w:hint="eastAsia" w:cs="Times New Roman"/>
                <w:color w:val="auto"/>
                <w:sz w:val="21"/>
                <w:szCs w:val="21"/>
                <w:lang w:val="en-US" w:eastAsia="zh-CN"/>
              </w:rPr>
              <w:t>3</w:t>
            </w:r>
          </w:p>
        </w:tc>
        <w:tc>
          <w:tcPr>
            <w:tcW w:w="4367" w:type="dxa"/>
            <w:gridSpan w:val="3"/>
            <w:noWrap w:val="0"/>
            <w:vAlign w:val="center"/>
          </w:tcPr>
          <w:p w14:paraId="0F3E4BBC">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进行下列涉路施工活动，建设单位应当向公路管理机构提出申请：</w:t>
            </w:r>
          </w:p>
          <w:p w14:paraId="4AC3C982">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（一）因修建铁路、机场、供电、水利、通信等建设工程需要占用、挖掘公路、公路用地或者使公路改线；</w:t>
            </w:r>
          </w:p>
          <w:p w14:paraId="4F3C1E3B">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（二）跨越、穿越公路修建桥梁、渡槽或者架设、埋设管道、电缆等设施；</w:t>
            </w:r>
          </w:p>
          <w:p w14:paraId="50E0D176">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（三）在公路用地范围内架设、埋设管道、电缆等设施；</w:t>
            </w:r>
          </w:p>
          <w:p w14:paraId="24C2E61A">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（四）利用公路桥梁、公路隧道、涵洞铺设电缆等设施；</w:t>
            </w:r>
          </w:p>
          <w:p w14:paraId="63DF2044">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（五）利用跨越公路的设施悬挂非公路标志；</w:t>
            </w:r>
          </w:p>
          <w:p w14:paraId="0DA40C90">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（六）在公路上增设或者改造平面交叉道口；</w:t>
            </w:r>
          </w:p>
          <w:p w14:paraId="26A73DB8">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（七）在公路建筑控制区内埋设管道、电缆等设施。</w:t>
            </w:r>
          </w:p>
        </w:tc>
        <w:tc>
          <w:tcPr>
            <w:tcW w:w="1898" w:type="dxa"/>
            <w:noWrap w:val="0"/>
            <w:vAlign w:val="center"/>
          </w:tcPr>
          <w:p w14:paraId="116AAFBD">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《公路安全保护条例》第二十七条</w:t>
            </w:r>
          </w:p>
        </w:tc>
        <w:tc>
          <w:tcPr>
            <w:tcW w:w="1773" w:type="dxa"/>
            <w:noWrap w:val="0"/>
            <w:vAlign w:val="center"/>
          </w:tcPr>
          <w:p w14:paraId="2A3D81E9">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建设单位</w:t>
            </w:r>
            <w:r>
              <w:rPr>
                <w:rFonts w:hint="eastAsia" w:cs="Times New Roman"/>
                <w:color w:val="auto"/>
                <w:sz w:val="21"/>
                <w:lang w:val="en-US" w:eastAsia="zh-CN"/>
              </w:rPr>
              <w:t>已</w:t>
            </w:r>
            <w:r>
              <w:rPr>
                <w:rFonts w:hint="default" w:ascii="Times New Roman" w:hAnsi="Times New Roman" w:eastAsia="宋体" w:cs="Times New Roman"/>
                <w:color w:val="auto"/>
                <w:sz w:val="21"/>
              </w:rPr>
              <w:t>向公路管理机构提出申请</w:t>
            </w:r>
          </w:p>
        </w:tc>
        <w:tc>
          <w:tcPr>
            <w:tcW w:w="664" w:type="dxa"/>
            <w:noWrap w:val="0"/>
            <w:vAlign w:val="center"/>
          </w:tcPr>
          <w:p w14:paraId="4563878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5EB4F74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527" w:hRule="atLeast"/>
          <w:jc w:val="center"/>
        </w:trPr>
        <w:tc>
          <w:tcPr>
            <w:tcW w:w="628" w:type="dxa"/>
            <w:gridSpan w:val="2"/>
            <w:noWrap w:val="0"/>
            <w:vAlign w:val="center"/>
          </w:tcPr>
          <w:p w14:paraId="5F787825">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val="zh-CN" w:eastAsia="zh-CN"/>
              </w:rPr>
            </w:pPr>
            <w:r>
              <w:rPr>
                <w:rFonts w:hint="eastAsia" w:cs="Times New Roman"/>
                <w:color w:val="auto"/>
                <w:sz w:val="21"/>
                <w:szCs w:val="21"/>
                <w:lang w:val="en-US" w:eastAsia="zh-CN"/>
              </w:rPr>
              <w:t>4</w:t>
            </w:r>
          </w:p>
        </w:tc>
        <w:tc>
          <w:tcPr>
            <w:tcW w:w="4362" w:type="dxa"/>
            <w:gridSpan w:val="2"/>
            <w:noWrap w:val="0"/>
            <w:vAlign w:val="center"/>
          </w:tcPr>
          <w:p w14:paraId="73A35B7B">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申请进行涉路施工活动的建设单位应当向公路管理机构提交下列材料：</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（一）符合有关技术标准、规范要求的设计和施工方案；</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（二）保障公路、公路附属设施质量和安全的技术评价报告；</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（三）处置施工险情和意外事故的应急方案。</w:t>
            </w:r>
            <w:r>
              <w:rPr>
                <w:rFonts w:hint="default" w:ascii="Times New Roman" w:hAnsi="Times New Roman" w:eastAsia="宋体" w:cs="Times New Roman"/>
                <w:color w:val="auto"/>
                <w:sz w:val="21"/>
              </w:rPr>
              <w:br w:type="textWrapping"/>
            </w:r>
            <w:r>
              <w:rPr>
                <w:rFonts w:hint="default" w:ascii="Times New Roman" w:hAnsi="Times New Roman" w:eastAsia="宋体" w:cs="Times New Roman"/>
                <w:color w:val="auto"/>
                <w:sz w:val="21"/>
              </w:rPr>
              <w:t>公路管理机构应当自受理申请之日起20日内作出许可或者不予许可的决定；影响交通安全的，应当征得公安机关交通管理部门的同意；涉及经营性公路的，应当征求公路经营企业的意见；不予许可的，公路管理机构应当书面通知申请人并说明理由。</w:t>
            </w:r>
          </w:p>
        </w:tc>
        <w:tc>
          <w:tcPr>
            <w:tcW w:w="1898" w:type="dxa"/>
            <w:noWrap w:val="0"/>
            <w:vAlign w:val="center"/>
          </w:tcPr>
          <w:p w14:paraId="37764813">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《公路安全保护条例》第二十八条</w:t>
            </w:r>
          </w:p>
        </w:tc>
        <w:tc>
          <w:tcPr>
            <w:tcW w:w="1773" w:type="dxa"/>
            <w:noWrap w:val="0"/>
            <w:vAlign w:val="center"/>
          </w:tcPr>
          <w:p w14:paraId="0FEE0F5C">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建设单位</w:t>
            </w:r>
            <w:r>
              <w:rPr>
                <w:rFonts w:hint="eastAsia" w:cs="Times New Roman"/>
                <w:color w:val="auto"/>
                <w:sz w:val="21"/>
                <w:lang w:val="en-US" w:eastAsia="zh-CN"/>
              </w:rPr>
              <w:t>已</w:t>
            </w:r>
            <w:r>
              <w:rPr>
                <w:rFonts w:hint="default" w:ascii="Times New Roman" w:hAnsi="Times New Roman" w:eastAsia="宋体" w:cs="Times New Roman"/>
                <w:color w:val="auto"/>
                <w:sz w:val="21"/>
              </w:rPr>
              <w:t>提供</w:t>
            </w:r>
          </w:p>
        </w:tc>
        <w:tc>
          <w:tcPr>
            <w:tcW w:w="664" w:type="dxa"/>
            <w:noWrap w:val="0"/>
            <w:vAlign w:val="center"/>
          </w:tcPr>
          <w:p w14:paraId="1FF497AF">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425A5A5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28" w:type="dxa"/>
            <w:gridSpan w:val="2"/>
            <w:noWrap w:val="0"/>
            <w:vAlign w:val="center"/>
          </w:tcPr>
          <w:p w14:paraId="2C1CB11F">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val="zh-CN" w:eastAsia="zh-CN"/>
              </w:rPr>
            </w:pPr>
            <w:r>
              <w:rPr>
                <w:rFonts w:hint="eastAsia" w:cs="Times New Roman"/>
                <w:color w:val="auto"/>
                <w:sz w:val="21"/>
                <w:szCs w:val="21"/>
                <w:lang w:val="en-US" w:eastAsia="zh-CN"/>
              </w:rPr>
              <w:t>5</w:t>
            </w:r>
          </w:p>
        </w:tc>
        <w:tc>
          <w:tcPr>
            <w:tcW w:w="4362" w:type="dxa"/>
            <w:gridSpan w:val="2"/>
            <w:noWrap w:val="0"/>
            <w:vAlign w:val="center"/>
          </w:tcPr>
          <w:p w14:paraId="3DC1CD44">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建设单位应当按照许可的设计和施工方案进行施工作业，并落实保障公路、公路附属设施质量和安全的防护措施。</w:t>
            </w:r>
          </w:p>
          <w:p w14:paraId="1AF9795B">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涉路施工完毕，公路管理机构应当对公路、公路附属设施是否达到规定的技术标准以及施工是否符合保障公路、公路附属设施质量和安全的要求进行验收；影响交通安全的，还应当经公安机关交通管理部门验收。</w:t>
            </w:r>
          </w:p>
          <w:p w14:paraId="151B6631">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涉路工程设施的所有人、管理人应当加强维护和管理，确保工程设施不影响公路的完好、安全和畅通。</w:t>
            </w:r>
          </w:p>
        </w:tc>
        <w:tc>
          <w:tcPr>
            <w:tcW w:w="1898" w:type="dxa"/>
            <w:noWrap w:val="0"/>
            <w:vAlign w:val="center"/>
          </w:tcPr>
          <w:p w14:paraId="55383989">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《公路安全保护条例》第二十九条</w:t>
            </w:r>
          </w:p>
        </w:tc>
        <w:tc>
          <w:tcPr>
            <w:tcW w:w="1773" w:type="dxa"/>
            <w:noWrap w:val="0"/>
            <w:vAlign w:val="center"/>
          </w:tcPr>
          <w:p w14:paraId="42CDD59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涉路工程设施的所有人、管理人</w:t>
            </w:r>
            <w:r>
              <w:rPr>
                <w:rFonts w:hint="eastAsia" w:cs="Times New Roman"/>
                <w:color w:val="auto"/>
                <w:sz w:val="21"/>
                <w:lang w:val="en-US" w:eastAsia="zh-CN"/>
              </w:rPr>
              <w:t>已</w:t>
            </w:r>
            <w:r>
              <w:rPr>
                <w:rFonts w:hint="default" w:ascii="Times New Roman" w:hAnsi="Times New Roman" w:eastAsia="宋体" w:cs="Times New Roman"/>
                <w:color w:val="auto"/>
                <w:sz w:val="21"/>
              </w:rPr>
              <w:t>加强维护和管理，确保工程设施不影响公路的完好、安全和畅通</w:t>
            </w:r>
          </w:p>
        </w:tc>
        <w:tc>
          <w:tcPr>
            <w:tcW w:w="664" w:type="dxa"/>
            <w:noWrap w:val="0"/>
            <w:vAlign w:val="center"/>
          </w:tcPr>
          <w:p w14:paraId="0055C7B7">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293C89B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01" w:hRule="atLeast"/>
          <w:jc w:val="center"/>
        </w:trPr>
        <w:tc>
          <w:tcPr>
            <w:tcW w:w="628" w:type="dxa"/>
            <w:gridSpan w:val="2"/>
            <w:noWrap w:val="0"/>
            <w:vAlign w:val="center"/>
          </w:tcPr>
          <w:p w14:paraId="70C6994E">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6</w:t>
            </w:r>
          </w:p>
        </w:tc>
        <w:tc>
          <w:tcPr>
            <w:tcW w:w="4362" w:type="dxa"/>
            <w:gridSpan w:val="2"/>
            <w:noWrap w:val="0"/>
            <w:vAlign w:val="center"/>
          </w:tcPr>
          <w:p w14:paraId="78B7BA54">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公路养护作业应在保障养护作业人员、设备和车辆运行安全的前提下，充分考虑养护作业对交通安全保通状况的影响，保障交通通行。</w:t>
            </w:r>
          </w:p>
        </w:tc>
        <w:tc>
          <w:tcPr>
            <w:tcW w:w="1898" w:type="dxa"/>
            <w:noWrap w:val="0"/>
            <w:vAlign w:val="center"/>
          </w:tcPr>
          <w:p w14:paraId="659C4431">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5BF3DAB6">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3.0.3</w:t>
            </w:r>
          </w:p>
        </w:tc>
        <w:tc>
          <w:tcPr>
            <w:tcW w:w="1773" w:type="dxa"/>
            <w:noWrap w:val="0"/>
            <w:vAlign w:val="center"/>
          </w:tcPr>
          <w:p w14:paraId="74C511A0">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制定了施工期间的交通组织方案</w:t>
            </w:r>
          </w:p>
        </w:tc>
        <w:tc>
          <w:tcPr>
            <w:tcW w:w="664" w:type="dxa"/>
            <w:noWrap w:val="0"/>
            <w:vAlign w:val="center"/>
          </w:tcPr>
          <w:p w14:paraId="1E55CFFA">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E13C2A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985" w:hRule="atLeast"/>
          <w:jc w:val="center"/>
        </w:trPr>
        <w:tc>
          <w:tcPr>
            <w:tcW w:w="628" w:type="dxa"/>
            <w:gridSpan w:val="2"/>
            <w:noWrap w:val="0"/>
            <w:vAlign w:val="center"/>
          </w:tcPr>
          <w:p w14:paraId="12C3ED76">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7</w:t>
            </w:r>
          </w:p>
        </w:tc>
        <w:tc>
          <w:tcPr>
            <w:tcW w:w="4362" w:type="dxa"/>
            <w:gridSpan w:val="2"/>
            <w:noWrap w:val="0"/>
            <w:vAlign w:val="center"/>
          </w:tcPr>
          <w:p w14:paraId="3618AEA7">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养护作业人员应按有关规定穿着反光服，佩戴安全帽。交通引导人员尚应符合下列规定：</w:t>
            </w:r>
          </w:p>
          <w:p w14:paraId="6A4B7136">
            <w:pPr>
              <w:numPr>
                <w:ilvl w:val="0"/>
                <w:numId w:val="4"/>
              </w:num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交通引导人员应面向来车方向，站在可视性良好的非行车区域内；</w:t>
            </w:r>
          </w:p>
          <w:p w14:paraId="4B57FAC3">
            <w:pPr>
              <w:numPr>
                <w:ilvl w:val="0"/>
                <w:numId w:val="4"/>
              </w:num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高速公路及一级公路养护作业时，交通引导人员宜站在警告区内的非行车区域内。</w:t>
            </w:r>
          </w:p>
        </w:tc>
        <w:tc>
          <w:tcPr>
            <w:tcW w:w="1898" w:type="dxa"/>
            <w:noWrap w:val="0"/>
            <w:vAlign w:val="center"/>
          </w:tcPr>
          <w:p w14:paraId="5F086575">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737EDF58">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3.0.9</w:t>
            </w:r>
          </w:p>
        </w:tc>
        <w:tc>
          <w:tcPr>
            <w:tcW w:w="1773" w:type="dxa"/>
            <w:noWrap w:val="0"/>
            <w:vAlign w:val="center"/>
          </w:tcPr>
          <w:p w14:paraId="5287E56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人员上路施工</w:t>
            </w:r>
            <w:r>
              <w:rPr>
                <w:rFonts w:hint="eastAsia" w:cs="Times New Roman"/>
                <w:color w:val="auto"/>
                <w:sz w:val="21"/>
                <w:szCs w:val="21"/>
                <w:lang w:val="en-US" w:eastAsia="zh-CN"/>
              </w:rPr>
              <w:t>已</w:t>
            </w:r>
            <w:r>
              <w:rPr>
                <w:rFonts w:hint="default" w:ascii="Times New Roman" w:hAnsi="Times New Roman" w:eastAsia="宋体" w:cs="Times New Roman"/>
                <w:color w:val="auto"/>
                <w:sz w:val="21"/>
                <w:szCs w:val="21"/>
                <w:lang w:val="zh-CN"/>
              </w:rPr>
              <w:t>按照交警和路政的要求，穿戴安全防护用品；施工人员不得在封闭区域以外进行逗留，穿越。</w:t>
            </w:r>
          </w:p>
        </w:tc>
        <w:tc>
          <w:tcPr>
            <w:tcW w:w="664" w:type="dxa"/>
            <w:noWrap w:val="0"/>
            <w:vAlign w:val="center"/>
          </w:tcPr>
          <w:p w14:paraId="125F772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5F7A0C0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01" w:hRule="atLeast"/>
          <w:jc w:val="center"/>
        </w:trPr>
        <w:tc>
          <w:tcPr>
            <w:tcW w:w="628" w:type="dxa"/>
            <w:gridSpan w:val="2"/>
            <w:noWrap w:val="0"/>
            <w:vAlign w:val="center"/>
          </w:tcPr>
          <w:p w14:paraId="185117FC">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8</w:t>
            </w:r>
          </w:p>
        </w:tc>
        <w:tc>
          <w:tcPr>
            <w:tcW w:w="4362" w:type="dxa"/>
            <w:gridSpan w:val="2"/>
            <w:noWrap w:val="0"/>
            <w:vAlign w:val="center"/>
          </w:tcPr>
          <w:p w14:paraId="0264CE57">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公路养护作业人员必须在作业控制区内部进行养护作业。作业人员上下作业车辆或装卸物资必须在工作区内进行。</w:t>
            </w:r>
          </w:p>
        </w:tc>
        <w:tc>
          <w:tcPr>
            <w:tcW w:w="1898" w:type="dxa"/>
            <w:noWrap w:val="0"/>
            <w:vAlign w:val="center"/>
          </w:tcPr>
          <w:p w14:paraId="6964587C">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102C37CA">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3.0.10</w:t>
            </w:r>
          </w:p>
        </w:tc>
        <w:tc>
          <w:tcPr>
            <w:tcW w:w="1773" w:type="dxa"/>
            <w:noWrap w:val="0"/>
            <w:vAlign w:val="center"/>
          </w:tcPr>
          <w:p w14:paraId="0C0C725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施工车辆</w:t>
            </w:r>
            <w:r>
              <w:rPr>
                <w:rFonts w:hint="eastAsia" w:cs="Times New Roman"/>
                <w:color w:val="auto"/>
                <w:sz w:val="21"/>
                <w:szCs w:val="21"/>
                <w:lang w:val="en-US" w:eastAsia="zh-CN"/>
              </w:rPr>
              <w:t>没有</w:t>
            </w:r>
            <w:r>
              <w:rPr>
                <w:rFonts w:hint="default" w:ascii="Times New Roman" w:hAnsi="Times New Roman" w:eastAsia="宋体" w:cs="Times New Roman"/>
                <w:color w:val="auto"/>
                <w:sz w:val="21"/>
                <w:szCs w:val="21"/>
                <w:lang w:val="zh-CN"/>
              </w:rPr>
              <w:t>带泥进入公路，并遵守</w:t>
            </w:r>
            <w:r>
              <w:rPr>
                <w:rFonts w:hint="eastAsia" w:cs="Times New Roman"/>
                <w:color w:val="auto"/>
                <w:sz w:val="21"/>
                <w:szCs w:val="21"/>
                <w:lang w:val="en-US" w:eastAsia="zh-CN"/>
              </w:rPr>
              <w:t>了</w:t>
            </w:r>
            <w:r>
              <w:rPr>
                <w:rFonts w:hint="default" w:ascii="Times New Roman" w:hAnsi="Times New Roman" w:eastAsia="宋体" w:cs="Times New Roman"/>
                <w:color w:val="auto"/>
                <w:sz w:val="21"/>
                <w:szCs w:val="21"/>
                <w:lang w:val="zh-CN"/>
              </w:rPr>
              <w:t>公路的各项法规。</w:t>
            </w:r>
          </w:p>
        </w:tc>
        <w:tc>
          <w:tcPr>
            <w:tcW w:w="664" w:type="dxa"/>
            <w:noWrap w:val="0"/>
            <w:vAlign w:val="center"/>
          </w:tcPr>
          <w:p w14:paraId="4F7E879F">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075AB3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12" w:hRule="atLeast"/>
          <w:jc w:val="center"/>
        </w:trPr>
        <w:tc>
          <w:tcPr>
            <w:tcW w:w="628" w:type="dxa"/>
            <w:gridSpan w:val="2"/>
            <w:noWrap w:val="0"/>
            <w:vAlign w:val="center"/>
          </w:tcPr>
          <w:p w14:paraId="0A94D2BB">
            <w:pPr>
              <w:autoSpaceDE w:val="0"/>
              <w:autoSpaceDN w:val="0"/>
              <w:bidi w:val="0"/>
              <w:adjustRightInd w:val="0"/>
              <w:spacing w:line="300" w:lineRule="exact"/>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9</w:t>
            </w:r>
          </w:p>
        </w:tc>
        <w:tc>
          <w:tcPr>
            <w:tcW w:w="4362" w:type="dxa"/>
            <w:gridSpan w:val="2"/>
            <w:noWrap w:val="0"/>
            <w:vAlign w:val="center"/>
          </w:tcPr>
          <w:p w14:paraId="06C48F61">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过渡区内不得堆放材料、设备或停放车辆。摆放的作业机械、车辆和堆放施工材料不得侵占作业控制区外的空间。</w:t>
            </w:r>
          </w:p>
        </w:tc>
        <w:tc>
          <w:tcPr>
            <w:tcW w:w="1898" w:type="dxa"/>
            <w:noWrap w:val="0"/>
            <w:vAlign w:val="center"/>
          </w:tcPr>
          <w:p w14:paraId="599385A7">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31602705">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3.0.11</w:t>
            </w:r>
          </w:p>
        </w:tc>
        <w:tc>
          <w:tcPr>
            <w:tcW w:w="1773" w:type="dxa"/>
            <w:noWrap w:val="0"/>
            <w:vAlign w:val="center"/>
          </w:tcPr>
          <w:p w14:paraId="63AFB650">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rPr>
              <w:t>不堆放材料、设备或停放车辆</w:t>
            </w:r>
          </w:p>
        </w:tc>
        <w:tc>
          <w:tcPr>
            <w:tcW w:w="664" w:type="dxa"/>
            <w:noWrap w:val="0"/>
            <w:vAlign w:val="center"/>
          </w:tcPr>
          <w:p w14:paraId="3AA4C0BF">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25A819C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24" w:hRule="atLeast"/>
          <w:jc w:val="center"/>
        </w:trPr>
        <w:tc>
          <w:tcPr>
            <w:tcW w:w="643" w:type="dxa"/>
            <w:gridSpan w:val="3"/>
            <w:noWrap w:val="0"/>
            <w:vAlign w:val="center"/>
          </w:tcPr>
          <w:p w14:paraId="3C8B30E3">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4347" w:type="dxa"/>
            <w:noWrap w:val="0"/>
            <w:vAlign w:val="center"/>
          </w:tcPr>
          <w:p w14:paraId="02C9F2B9">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夜间进行养护作业应布设照明设施和警示频闪灯，并应加强养护作业的现场管理</w:t>
            </w:r>
          </w:p>
        </w:tc>
        <w:tc>
          <w:tcPr>
            <w:tcW w:w="1898" w:type="dxa"/>
            <w:noWrap w:val="0"/>
            <w:vAlign w:val="center"/>
          </w:tcPr>
          <w:p w14:paraId="3B3B1B3D">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473B97BA">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3.0.13</w:t>
            </w:r>
          </w:p>
        </w:tc>
        <w:tc>
          <w:tcPr>
            <w:tcW w:w="1773" w:type="dxa"/>
            <w:noWrap w:val="0"/>
            <w:vAlign w:val="center"/>
          </w:tcPr>
          <w:p w14:paraId="74CDD675">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所有标志</w:t>
            </w:r>
            <w:r>
              <w:rPr>
                <w:rFonts w:hint="eastAsia" w:cs="Times New Roman"/>
                <w:color w:val="auto"/>
                <w:sz w:val="21"/>
                <w:szCs w:val="21"/>
                <w:lang w:val="en-US" w:eastAsia="zh-CN"/>
              </w:rPr>
              <w:t>已</w:t>
            </w:r>
            <w:r>
              <w:rPr>
                <w:rFonts w:hint="default" w:ascii="Times New Roman" w:hAnsi="Times New Roman" w:eastAsia="宋体" w:cs="Times New Roman"/>
                <w:color w:val="auto"/>
                <w:sz w:val="21"/>
                <w:szCs w:val="21"/>
                <w:lang w:val="zh-CN"/>
              </w:rPr>
              <w:t>具有警示灯及夜间反光功能，保证夜间警示效果。</w:t>
            </w:r>
          </w:p>
        </w:tc>
        <w:tc>
          <w:tcPr>
            <w:tcW w:w="664" w:type="dxa"/>
            <w:noWrap w:val="0"/>
            <w:vAlign w:val="center"/>
          </w:tcPr>
          <w:p w14:paraId="03D5AC5F">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41B3D94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987" w:hRule="atLeast"/>
          <w:jc w:val="center"/>
        </w:trPr>
        <w:tc>
          <w:tcPr>
            <w:tcW w:w="643" w:type="dxa"/>
            <w:gridSpan w:val="3"/>
            <w:noWrap w:val="0"/>
            <w:vAlign w:val="center"/>
          </w:tcPr>
          <w:p w14:paraId="582EBC08">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11</w:t>
            </w:r>
          </w:p>
        </w:tc>
        <w:tc>
          <w:tcPr>
            <w:tcW w:w="4347" w:type="dxa"/>
            <w:noWrap w:val="0"/>
            <w:vAlign w:val="center"/>
          </w:tcPr>
          <w:p w14:paraId="17DF32A8">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养护作业控制区安全设施的布设与移除，应按移动养护作业要求进行。安全设施布设顺序应从警告区开始，向终止区推进，确保已摆放的安全设施清晰可见；移除顺序应与布设顺序相反，警告区标志的移除顺序应与布设顺序相同。</w:t>
            </w:r>
          </w:p>
        </w:tc>
        <w:tc>
          <w:tcPr>
            <w:tcW w:w="1898" w:type="dxa"/>
            <w:noWrap w:val="0"/>
            <w:vAlign w:val="center"/>
          </w:tcPr>
          <w:p w14:paraId="2CB71EDD">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13B36F44">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3.0.14</w:t>
            </w:r>
          </w:p>
        </w:tc>
        <w:tc>
          <w:tcPr>
            <w:tcW w:w="1773" w:type="dxa"/>
            <w:noWrap w:val="0"/>
            <w:vAlign w:val="center"/>
          </w:tcPr>
          <w:p w14:paraId="74C24F35">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设置</w:t>
            </w:r>
            <w:r>
              <w:rPr>
                <w:rFonts w:hint="default" w:ascii="Times New Roman" w:hAnsi="Times New Roman" w:eastAsia="宋体" w:cs="Times New Roman"/>
                <w:color w:val="auto"/>
                <w:sz w:val="21"/>
              </w:rPr>
              <w:t>安全设施</w:t>
            </w:r>
          </w:p>
        </w:tc>
        <w:tc>
          <w:tcPr>
            <w:tcW w:w="664" w:type="dxa"/>
            <w:noWrap w:val="0"/>
            <w:vAlign w:val="center"/>
          </w:tcPr>
          <w:p w14:paraId="1FBB694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4399608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001" w:hRule="atLeast"/>
          <w:jc w:val="center"/>
        </w:trPr>
        <w:tc>
          <w:tcPr>
            <w:tcW w:w="643" w:type="dxa"/>
            <w:gridSpan w:val="3"/>
            <w:noWrap w:val="0"/>
            <w:vAlign w:val="center"/>
          </w:tcPr>
          <w:p w14:paraId="5A768362">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4347" w:type="dxa"/>
            <w:noWrap w:val="0"/>
            <w:vAlign w:val="center"/>
          </w:tcPr>
          <w:p w14:paraId="13486457">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公路养护作业控制区应按警告区、上有过渡区、纵向缓冲区、工作区、下游过渡区和终止区等区域。</w:t>
            </w:r>
          </w:p>
        </w:tc>
        <w:tc>
          <w:tcPr>
            <w:tcW w:w="1898" w:type="dxa"/>
            <w:noWrap w:val="0"/>
            <w:vAlign w:val="center"/>
          </w:tcPr>
          <w:p w14:paraId="02297BE8">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7654B0F6">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4.0.1</w:t>
            </w:r>
          </w:p>
        </w:tc>
        <w:tc>
          <w:tcPr>
            <w:tcW w:w="1773" w:type="dxa"/>
            <w:noWrap w:val="0"/>
            <w:vAlign w:val="center"/>
          </w:tcPr>
          <w:p w14:paraId="4DD02BF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与道路管理部门配合设置</w:t>
            </w:r>
          </w:p>
        </w:tc>
        <w:tc>
          <w:tcPr>
            <w:tcW w:w="664" w:type="dxa"/>
            <w:noWrap w:val="0"/>
            <w:vAlign w:val="center"/>
          </w:tcPr>
          <w:p w14:paraId="7C6911FE">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23FC54B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73" w:hRule="atLeast"/>
          <w:jc w:val="center"/>
        </w:trPr>
        <w:tc>
          <w:tcPr>
            <w:tcW w:w="643" w:type="dxa"/>
            <w:gridSpan w:val="3"/>
            <w:noWrap w:val="0"/>
            <w:vAlign w:val="center"/>
          </w:tcPr>
          <w:p w14:paraId="74ECC13C">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4347" w:type="dxa"/>
            <w:noWrap w:val="0"/>
            <w:vAlign w:val="center"/>
          </w:tcPr>
          <w:p w14:paraId="7A598F5B">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设计时速为80km/h的公路，封闭路肩双向通行时的施工养护作业警告区最小长度为1000m。</w:t>
            </w:r>
          </w:p>
        </w:tc>
        <w:tc>
          <w:tcPr>
            <w:tcW w:w="1898" w:type="dxa"/>
            <w:noWrap w:val="0"/>
            <w:vAlign w:val="center"/>
          </w:tcPr>
          <w:p w14:paraId="516C6CD3">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3B1B5913">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4.0.4</w:t>
            </w:r>
          </w:p>
        </w:tc>
        <w:tc>
          <w:tcPr>
            <w:tcW w:w="1773" w:type="dxa"/>
            <w:noWrap w:val="0"/>
            <w:vAlign w:val="center"/>
          </w:tcPr>
          <w:p w14:paraId="2B3EBC5E">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与道路管理部门配合设置</w:t>
            </w:r>
          </w:p>
        </w:tc>
        <w:tc>
          <w:tcPr>
            <w:tcW w:w="664" w:type="dxa"/>
            <w:noWrap w:val="0"/>
            <w:vAlign w:val="center"/>
          </w:tcPr>
          <w:p w14:paraId="136A316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3FA5482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43" w:type="dxa"/>
            <w:gridSpan w:val="3"/>
            <w:noWrap w:val="0"/>
            <w:vAlign w:val="center"/>
          </w:tcPr>
          <w:p w14:paraId="5DF915CC">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14</w:t>
            </w:r>
          </w:p>
        </w:tc>
        <w:tc>
          <w:tcPr>
            <w:tcW w:w="4347" w:type="dxa"/>
            <w:noWrap w:val="0"/>
            <w:vAlign w:val="center"/>
          </w:tcPr>
          <w:p w14:paraId="3131E499">
            <w:pPr>
              <w:bidi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封闭车道养护作业的上游过渡区最小长度值应符合JTGH30—2015中表4.0.5的规定，封闭路肩作业的上游过渡区长度不应小于表4.0.5中数值的1/3.</w:t>
            </w:r>
          </w:p>
        </w:tc>
        <w:tc>
          <w:tcPr>
            <w:tcW w:w="1898" w:type="dxa"/>
            <w:noWrap w:val="0"/>
            <w:vAlign w:val="center"/>
          </w:tcPr>
          <w:p w14:paraId="651A59EB">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7D8D919A">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4.0.5</w:t>
            </w:r>
          </w:p>
        </w:tc>
        <w:tc>
          <w:tcPr>
            <w:tcW w:w="1773" w:type="dxa"/>
            <w:noWrap w:val="0"/>
            <w:vAlign w:val="center"/>
          </w:tcPr>
          <w:p w14:paraId="4FA9E2E2">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与道路管理部门配合设置</w:t>
            </w:r>
          </w:p>
        </w:tc>
        <w:tc>
          <w:tcPr>
            <w:tcW w:w="664" w:type="dxa"/>
            <w:noWrap w:val="0"/>
            <w:vAlign w:val="center"/>
          </w:tcPr>
          <w:p w14:paraId="660BBA11">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F02809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73" w:hRule="atLeast"/>
          <w:jc w:val="center"/>
        </w:trPr>
        <w:tc>
          <w:tcPr>
            <w:tcW w:w="643" w:type="dxa"/>
            <w:gridSpan w:val="3"/>
            <w:noWrap w:val="0"/>
            <w:vAlign w:val="center"/>
          </w:tcPr>
          <w:p w14:paraId="3CCFB90E">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w:t>
            </w:r>
          </w:p>
        </w:tc>
        <w:tc>
          <w:tcPr>
            <w:tcW w:w="4347" w:type="dxa"/>
            <w:noWrap w:val="0"/>
            <w:vAlign w:val="center"/>
          </w:tcPr>
          <w:p w14:paraId="6BEA8B73">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工作区长度应根据养护维修作业的需要确定。</w:t>
            </w:r>
          </w:p>
        </w:tc>
        <w:tc>
          <w:tcPr>
            <w:tcW w:w="1898" w:type="dxa"/>
            <w:noWrap w:val="0"/>
            <w:vAlign w:val="center"/>
          </w:tcPr>
          <w:p w14:paraId="410D2374">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79249B19">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4.0.7</w:t>
            </w:r>
          </w:p>
        </w:tc>
        <w:tc>
          <w:tcPr>
            <w:tcW w:w="1773" w:type="dxa"/>
            <w:noWrap w:val="0"/>
            <w:vAlign w:val="center"/>
          </w:tcPr>
          <w:p w14:paraId="7D7D1941">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与道路管理部门配合设置</w:t>
            </w:r>
          </w:p>
        </w:tc>
        <w:tc>
          <w:tcPr>
            <w:tcW w:w="664" w:type="dxa"/>
            <w:noWrap w:val="0"/>
            <w:vAlign w:val="center"/>
          </w:tcPr>
          <w:p w14:paraId="26A1E37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5C115F1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73" w:hRule="atLeast"/>
          <w:jc w:val="center"/>
        </w:trPr>
        <w:tc>
          <w:tcPr>
            <w:tcW w:w="643" w:type="dxa"/>
            <w:gridSpan w:val="3"/>
            <w:noWrap w:val="0"/>
            <w:vAlign w:val="center"/>
          </w:tcPr>
          <w:p w14:paraId="067D9313">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4347" w:type="dxa"/>
            <w:noWrap w:val="0"/>
            <w:vAlign w:val="center"/>
          </w:tcPr>
          <w:p w14:paraId="228C9DA0">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终止区最小长度宜取30m。</w:t>
            </w:r>
          </w:p>
        </w:tc>
        <w:tc>
          <w:tcPr>
            <w:tcW w:w="1898" w:type="dxa"/>
            <w:noWrap w:val="0"/>
            <w:vAlign w:val="center"/>
          </w:tcPr>
          <w:p w14:paraId="690243AD">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5D2428B5">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4.0.9</w:t>
            </w:r>
          </w:p>
        </w:tc>
        <w:tc>
          <w:tcPr>
            <w:tcW w:w="1773" w:type="dxa"/>
            <w:noWrap w:val="0"/>
            <w:vAlign w:val="center"/>
          </w:tcPr>
          <w:p w14:paraId="4CC81B4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终止区</w:t>
            </w:r>
            <w:r>
              <w:rPr>
                <w:rFonts w:hint="default" w:ascii="Times New Roman" w:hAnsi="Times New Roman" w:eastAsia="宋体" w:cs="Times New Roman"/>
                <w:color w:val="auto"/>
                <w:sz w:val="21"/>
                <w:szCs w:val="21"/>
              </w:rPr>
              <w:t>30m</w:t>
            </w:r>
          </w:p>
        </w:tc>
        <w:tc>
          <w:tcPr>
            <w:tcW w:w="664" w:type="dxa"/>
            <w:noWrap w:val="0"/>
            <w:vAlign w:val="center"/>
          </w:tcPr>
          <w:p w14:paraId="25B171E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E6EC2F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30" w:hRule="atLeast"/>
          <w:jc w:val="center"/>
        </w:trPr>
        <w:tc>
          <w:tcPr>
            <w:tcW w:w="643" w:type="dxa"/>
            <w:gridSpan w:val="3"/>
            <w:noWrap w:val="0"/>
            <w:vAlign w:val="center"/>
          </w:tcPr>
          <w:p w14:paraId="106F183B">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w:t>
            </w:r>
          </w:p>
        </w:tc>
        <w:tc>
          <w:tcPr>
            <w:tcW w:w="4347" w:type="dxa"/>
            <w:noWrap w:val="0"/>
            <w:vAlign w:val="center"/>
          </w:tcPr>
          <w:p w14:paraId="71D84699">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车道渠划设施可包括有坠、防撞桶、水马、隔离墩、附设警示灯的路烂等，其中交通锥布设间距不宜大于10m，其中上游过渡区和工作区布设间距不宜大于4m。</w:t>
            </w:r>
          </w:p>
        </w:tc>
        <w:tc>
          <w:tcPr>
            <w:tcW w:w="1898" w:type="dxa"/>
            <w:noWrap w:val="0"/>
            <w:vAlign w:val="center"/>
          </w:tcPr>
          <w:p w14:paraId="467A41A9">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45092FDE">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5.0.5</w:t>
            </w:r>
          </w:p>
        </w:tc>
        <w:tc>
          <w:tcPr>
            <w:tcW w:w="1773" w:type="dxa"/>
            <w:noWrap w:val="0"/>
            <w:vAlign w:val="center"/>
          </w:tcPr>
          <w:p w14:paraId="39DF1188">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施工处前</w:t>
            </w:r>
            <w:r>
              <w:rPr>
                <w:rFonts w:hint="default" w:ascii="Times New Roman" w:hAnsi="Times New Roman" w:eastAsia="宋体" w:cs="Times New Roman"/>
                <w:color w:val="auto"/>
                <w:sz w:val="21"/>
                <w:szCs w:val="21"/>
              </w:rPr>
              <w:t>200进行渠化引导</w:t>
            </w:r>
          </w:p>
        </w:tc>
        <w:tc>
          <w:tcPr>
            <w:tcW w:w="664" w:type="dxa"/>
            <w:noWrap w:val="0"/>
            <w:vAlign w:val="center"/>
          </w:tcPr>
          <w:p w14:paraId="74DE750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9D3DD3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30" w:hRule="atLeast"/>
          <w:jc w:val="center"/>
        </w:trPr>
        <w:tc>
          <w:tcPr>
            <w:tcW w:w="643" w:type="dxa"/>
            <w:gridSpan w:val="3"/>
            <w:noWrap w:val="0"/>
            <w:vAlign w:val="center"/>
          </w:tcPr>
          <w:p w14:paraId="67CB3292">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w:t>
            </w:r>
          </w:p>
        </w:tc>
        <w:tc>
          <w:tcPr>
            <w:tcW w:w="4347" w:type="dxa"/>
            <w:noWrap w:val="0"/>
            <w:vAlign w:val="center"/>
          </w:tcPr>
          <w:p w14:paraId="1C63C479">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养护作业控制区两侧应差异化布设安全设施：在封闭车道（路肩）一侧的警告区布设施工标志和限速标志，在另一侧警告区起点设施工标志。</w:t>
            </w:r>
          </w:p>
        </w:tc>
        <w:tc>
          <w:tcPr>
            <w:tcW w:w="1898" w:type="dxa"/>
            <w:noWrap w:val="0"/>
            <w:vAlign w:val="center"/>
          </w:tcPr>
          <w:p w14:paraId="271490D0">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10F90DD6">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6.1.2</w:t>
            </w:r>
          </w:p>
        </w:tc>
        <w:tc>
          <w:tcPr>
            <w:tcW w:w="1773" w:type="dxa"/>
            <w:noWrap w:val="0"/>
            <w:vAlign w:val="center"/>
          </w:tcPr>
          <w:p w14:paraId="47287C17">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按要求设置</w:t>
            </w:r>
          </w:p>
        </w:tc>
        <w:tc>
          <w:tcPr>
            <w:tcW w:w="664" w:type="dxa"/>
            <w:noWrap w:val="0"/>
            <w:vAlign w:val="center"/>
          </w:tcPr>
          <w:p w14:paraId="46D32F6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33CA9B1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73" w:hRule="atLeast"/>
          <w:jc w:val="center"/>
        </w:trPr>
        <w:tc>
          <w:tcPr>
            <w:tcW w:w="643" w:type="dxa"/>
            <w:gridSpan w:val="3"/>
            <w:noWrap w:val="0"/>
            <w:vAlign w:val="center"/>
          </w:tcPr>
          <w:p w14:paraId="14172309">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19</w:t>
            </w:r>
          </w:p>
        </w:tc>
        <w:tc>
          <w:tcPr>
            <w:tcW w:w="4347" w:type="dxa"/>
            <w:noWrap w:val="0"/>
            <w:vAlign w:val="center"/>
          </w:tcPr>
          <w:p w14:paraId="644B50AF">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同一行车方向不同断面同时进行养护作业时，相邻两个工作区净距不宜小于5km。</w:t>
            </w:r>
          </w:p>
        </w:tc>
        <w:tc>
          <w:tcPr>
            <w:tcW w:w="1898" w:type="dxa"/>
            <w:noWrap w:val="0"/>
            <w:vAlign w:val="center"/>
          </w:tcPr>
          <w:p w14:paraId="2B9A6BCF">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49D718AB">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6.1.3</w:t>
            </w:r>
          </w:p>
        </w:tc>
        <w:tc>
          <w:tcPr>
            <w:tcW w:w="1773" w:type="dxa"/>
            <w:noWrap w:val="0"/>
            <w:vAlign w:val="center"/>
          </w:tcPr>
          <w:p w14:paraId="781231F6">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施工长度小于</w:t>
            </w:r>
            <w:r>
              <w:rPr>
                <w:rFonts w:hint="default" w:ascii="Times New Roman" w:hAnsi="Times New Roman" w:eastAsia="宋体" w:cs="Times New Roman"/>
                <w:color w:val="auto"/>
                <w:sz w:val="21"/>
                <w:szCs w:val="21"/>
              </w:rPr>
              <w:t>5km。</w:t>
            </w:r>
          </w:p>
        </w:tc>
        <w:tc>
          <w:tcPr>
            <w:tcW w:w="664" w:type="dxa"/>
            <w:noWrap w:val="0"/>
            <w:vAlign w:val="center"/>
          </w:tcPr>
          <w:p w14:paraId="1F6F97DD">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1212973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330" w:hRule="atLeast"/>
          <w:jc w:val="center"/>
        </w:trPr>
        <w:tc>
          <w:tcPr>
            <w:tcW w:w="643" w:type="dxa"/>
            <w:gridSpan w:val="3"/>
            <w:noWrap w:val="0"/>
            <w:vAlign w:val="center"/>
          </w:tcPr>
          <w:p w14:paraId="31B92AE2">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p>
        </w:tc>
        <w:tc>
          <w:tcPr>
            <w:tcW w:w="4347" w:type="dxa"/>
            <w:noWrap w:val="0"/>
            <w:vAlign w:val="center"/>
          </w:tcPr>
          <w:p w14:paraId="0A90EA7E">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养护作业控制区应设置工程车辆专门的出、入口，并宜设在顺行车方向的下游过渡区，当车辆需经上游过渡区或工作区进入时，应设警告标志并配合交通引导人员。</w:t>
            </w:r>
          </w:p>
        </w:tc>
        <w:tc>
          <w:tcPr>
            <w:tcW w:w="1898" w:type="dxa"/>
            <w:noWrap w:val="0"/>
            <w:vAlign w:val="center"/>
          </w:tcPr>
          <w:p w14:paraId="2C870DC3">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2F5FF195">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6.1.5</w:t>
            </w:r>
          </w:p>
        </w:tc>
        <w:tc>
          <w:tcPr>
            <w:tcW w:w="1773" w:type="dxa"/>
            <w:noWrap w:val="0"/>
            <w:vAlign w:val="center"/>
          </w:tcPr>
          <w:p w14:paraId="34268410">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分隔带内施工作业时，未设置工程车辆专门的出入口。</w:t>
            </w:r>
          </w:p>
        </w:tc>
        <w:tc>
          <w:tcPr>
            <w:tcW w:w="664" w:type="dxa"/>
            <w:noWrap w:val="0"/>
            <w:vAlign w:val="center"/>
          </w:tcPr>
          <w:p w14:paraId="3CE0D1DD">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r w14:paraId="048BC88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43" w:hRule="atLeast"/>
          <w:jc w:val="center"/>
        </w:trPr>
        <w:tc>
          <w:tcPr>
            <w:tcW w:w="643" w:type="dxa"/>
            <w:gridSpan w:val="3"/>
            <w:noWrap w:val="0"/>
            <w:vAlign w:val="center"/>
          </w:tcPr>
          <w:p w14:paraId="3814FFC8">
            <w:pPr>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w:t>
            </w:r>
          </w:p>
        </w:tc>
        <w:tc>
          <w:tcPr>
            <w:tcW w:w="4347" w:type="dxa"/>
            <w:noWrap w:val="0"/>
            <w:vAlign w:val="center"/>
          </w:tcPr>
          <w:p w14:paraId="2BF8C71C">
            <w:pPr>
              <w:tabs>
                <w:tab w:val="left" w:pos="720"/>
              </w:tabs>
              <w:autoSpaceDE w:val="0"/>
              <w:autoSpaceDN w:val="0"/>
              <w:bidi w:val="0"/>
              <w:adjustRightInd w:val="0"/>
              <w:spacing w:line="300" w:lineRule="exact"/>
              <w:ind w:firstLine="0" w:firstLineChars="0"/>
              <w:jc w:val="both"/>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雾天、沙尘及大风天气时，除应急抢险、抢修作业外，严禁进行公路养护作业。</w:t>
            </w:r>
          </w:p>
        </w:tc>
        <w:tc>
          <w:tcPr>
            <w:tcW w:w="1898" w:type="dxa"/>
            <w:noWrap w:val="0"/>
            <w:vAlign w:val="center"/>
          </w:tcPr>
          <w:p w14:paraId="7AD02092">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JTG H30-2015</w:t>
            </w:r>
          </w:p>
          <w:p w14:paraId="20B2A14A">
            <w:pPr>
              <w:bidi w:val="0"/>
              <w:spacing w:line="300" w:lineRule="exact"/>
              <w:ind w:firstLine="0" w:firstLineChars="0"/>
              <w:jc w:val="center"/>
              <w:rPr>
                <w:rFonts w:hint="default" w:ascii="Times New Roman" w:hAnsi="Times New Roman" w:eastAsia="宋体" w:cs="Times New Roman"/>
                <w:color w:val="auto"/>
                <w:sz w:val="21"/>
              </w:rPr>
            </w:pPr>
            <w:r>
              <w:rPr>
                <w:rFonts w:hint="default" w:ascii="Times New Roman" w:hAnsi="Times New Roman" w:eastAsia="宋体" w:cs="Times New Roman"/>
                <w:color w:val="auto"/>
                <w:sz w:val="21"/>
              </w:rPr>
              <w:t>14.0.7、10.0.8</w:t>
            </w:r>
          </w:p>
        </w:tc>
        <w:tc>
          <w:tcPr>
            <w:tcW w:w="1773" w:type="dxa"/>
            <w:noWrap w:val="0"/>
            <w:vAlign w:val="center"/>
          </w:tcPr>
          <w:p w14:paraId="2CFD0774">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大雾天、沙尘及大风天气时停止施工</w:t>
            </w:r>
          </w:p>
        </w:tc>
        <w:tc>
          <w:tcPr>
            <w:tcW w:w="664" w:type="dxa"/>
            <w:noWrap w:val="0"/>
            <w:vAlign w:val="center"/>
          </w:tcPr>
          <w:p w14:paraId="0BBC5D8D">
            <w:pPr>
              <w:tabs>
                <w:tab w:val="left" w:pos="720"/>
              </w:tabs>
              <w:autoSpaceDE w:val="0"/>
              <w:autoSpaceDN w:val="0"/>
              <w:bidi w:val="0"/>
              <w:adjustRightInd w:val="0"/>
              <w:spacing w:line="300" w:lineRule="exact"/>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符合要求</w:t>
            </w:r>
          </w:p>
        </w:tc>
      </w:tr>
    </w:tbl>
    <w:p w14:paraId="26947E3E">
      <w:pPr>
        <w:rPr>
          <w:rFonts w:hint="default"/>
          <w:color w:val="auto"/>
          <w:lang w:val="en-US" w:eastAsia="zh-CN"/>
        </w:rPr>
      </w:pPr>
      <w:r>
        <w:rPr>
          <w:rFonts w:hint="default"/>
          <w:color w:val="auto"/>
          <w:lang w:val="en-US" w:eastAsia="zh-CN"/>
        </w:rPr>
        <w:t>评估小结：根据表5.2-</w:t>
      </w:r>
      <w:r>
        <w:rPr>
          <w:rFonts w:hint="eastAsia"/>
          <w:color w:val="auto"/>
          <w:lang w:val="en-US" w:eastAsia="zh-CN"/>
        </w:rPr>
        <w:t>2</w:t>
      </w:r>
      <w:r>
        <w:rPr>
          <w:rFonts w:hint="default"/>
          <w:color w:val="auto"/>
          <w:lang w:val="en-US" w:eastAsia="zh-CN"/>
        </w:rPr>
        <w:t>内容可知，</w:t>
      </w:r>
      <w:r>
        <w:rPr>
          <w:rFonts w:hint="eastAsia"/>
          <w:color w:val="auto"/>
          <w:lang w:val="en-US" w:eastAsia="zh-CN"/>
        </w:rPr>
        <w:t>艾坦途（宜春）物流有限公司</w:t>
      </w:r>
      <w:r>
        <w:rPr>
          <w:rFonts w:hint="default"/>
          <w:color w:val="auto"/>
          <w:lang w:val="en-US" w:eastAsia="zh-CN"/>
        </w:rPr>
        <w:t>平面交叉道口工程施工作业与公路的相互影响共检查</w:t>
      </w:r>
      <w:r>
        <w:rPr>
          <w:rFonts w:hint="eastAsia"/>
          <w:color w:val="auto"/>
          <w:lang w:val="en-US" w:eastAsia="zh-CN"/>
        </w:rPr>
        <w:t>21</w:t>
      </w:r>
      <w:r>
        <w:rPr>
          <w:rFonts w:hint="default"/>
          <w:color w:val="auto"/>
          <w:lang w:val="en-US" w:eastAsia="zh-CN"/>
        </w:rPr>
        <w:t>项内容，均</w:t>
      </w:r>
      <w:r>
        <w:rPr>
          <w:rFonts w:hint="eastAsia"/>
          <w:color w:val="auto"/>
          <w:lang w:val="en-US" w:eastAsia="zh-CN"/>
        </w:rPr>
        <w:t>符合</w:t>
      </w:r>
      <w:r>
        <w:rPr>
          <w:rFonts w:hint="default"/>
          <w:color w:val="auto"/>
          <w:lang w:val="en-US" w:eastAsia="zh-CN"/>
        </w:rPr>
        <w:t>要求。</w:t>
      </w:r>
    </w:p>
    <w:p w14:paraId="446C28EE">
      <w:pPr>
        <w:pStyle w:val="3"/>
        <w:bidi w:val="0"/>
        <w:rPr>
          <w:rFonts w:hint="default"/>
          <w:color w:val="auto"/>
          <w:lang w:val="en-US" w:eastAsia="zh-CN"/>
        </w:rPr>
      </w:pPr>
      <w:bookmarkStart w:id="160" w:name="_Toc19793"/>
      <w:bookmarkStart w:id="161" w:name="_Toc854"/>
      <w:r>
        <w:rPr>
          <w:rFonts w:hint="default"/>
          <w:color w:val="auto"/>
          <w:lang w:val="en-US" w:eastAsia="zh-CN"/>
        </w:rPr>
        <w:t>5.</w:t>
      </w:r>
      <w:r>
        <w:rPr>
          <w:rFonts w:hint="eastAsia"/>
          <w:color w:val="auto"/>
          <w:lang w:val="en-US" w:eastAsia="zh-CN"/>
        </w:rPr>
        <w:t xml:space="preserve">3 </w:t>
      </w:r>
      <w:r>
        <w:rPr>
          <w:rFonts w:hint="default"/>
          <w:color w:val="auto"/>
          <w:lang w:val="en-US" w:eastAsia="zh-CN"/>
        </w:rPr>
        <w:t>施工现场安全风险分级</w:t>
      </w:r>
      <w:bookmarkEnd w:id="160"/>
      <w:bookmarkEnd w:id="161"/>
    </w:p>
    <w:p w14:paraId="4D546B07">
      <w:pPr>
        <w:rPr>
          <w:rFonts w:hint="default"/>
          <w:color w:val="auto"/>
          <w:lang w:val="en-US" w:eastAsia="zh-CN"/>
        </w:rPr>
      </w:pPr>
      <w:r>
        <w:rPr>
          <w:rFonts w:hint="default"/>
          <w:color w:val="auto"/>
          <w:lang w:val="en-US" w:eastAsia="zh-CN"/>
        </w:rPr>
        <w:t>该项目施工现场安全风险等级可分为：一般、较大、重大、特大。根据该项目施工现场的安全风险列出下表5.</w:t>
      </w:r>
      <w:r>
        <w:rPr>
          <w:rFonts w:hint="eastAsia"/>
          <w:color w:val="auto"/>
          <w:lang w:val="en-US" w:eastAsia="zh-CN"/>
        </w:rPr>
        <w:t>3</w:t>
      </w:r>
      <w:r>
        <w:rPr>
          <w:rFonts w:hint="default"/>
          <w:color w:val="auto"/>
          <w:lang w:val="en-US" w:eastAsia="zh-CN"/>
        </w:rPr>
        <w:t>-1</w:t>
      </w:r>
      <w:r>
        <w:rPr>
          <w:rFonts w:hint="eastAsia"/>
          <w:color w:val="auto"/>
          <w:lang w:val="en-US" w:eastAsia="zh-CN"/>
        </w:rPr>
        <w:t>。</w:t>
      </w:r>
    </w:p>
    <w:p w14:paraId="53DE2DF0">
      <w:pPr>
        <w:ind w:left="0" w:leftChars="0" w:firstLine="0" w:firstLineChars="0"/>
        <w:jc w:val="center"/>
        <w:rPr>
          <w:rFonts w:hint="default"/>
          <w:color w:val="auto"/>
          <w:lang w:val="en-US" w:eastAsia="zh-CN"/>
        </w:rPr>
      </w:pPr>
      <w:r>
        <w:rPr>
          <w:rFonts w:hint="default"/>
          <w:color w:val="auto"/>
          <w:lang w:val="en-US" w:eastAsia="zh-CN"/>
        </w:rPr>
        <w:t>表5.</w:t>
      </w:r>
      <w:r>
        <w:rPr>
          <w:rFonts w:hint="eastAsia"/>
          <w:color w:val="auto"/>
          <w:lang w:val="en-US" w:eastAsia="zh-CN"/>
        </w:rPr>
        <w:t>3</w:t>
      </w:r>
      <w:r>
        <w:rPr>
          <w:rFonts w:hint="default"/>
          <w:color w:val="auto"/>
          <w:lang w:val="en-US" w:eastAsia="zh-CN"/>
        </w:rPr>
        <w:t>-1 施工安全风险分级划分表</w:t>
      </w:r>
    </w:p>
    <w:tbl>
      <w:tblPr>
        <w:tblStyle w:val="20"/>
        <w:tblW w:w="93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71"/>
        <w:gridCol w:w="772"/>
        <w:gridCol w:w="342"/>
        <w:gridCol w:w="386"/>
        <w:gridCol w:w="364"/>
        <w:gridCol w:w="343"/>
        <w:gridCol w:w="4843"/>
        <w:gridCol w:w="750"/>
      </w:tblGrid>
      <w:tr w14:paraId="434A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33" w:type="dxa"/>
            <w:vMerge w:val="restart"/>
            <w:noWrap w:val="0"/>
            <w:vAlign w:val="center"/>
          </w:tcPr>
          <w:p w14:paraId="2E482B5C">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项目名称</w:t>
            </w:r>
          </w:p>
        </w:tc>
        <w:tc>
          <w:tcPr>
            <w:tcW w:w="771" w:type="dxa"/>
            <w:vMerge w:val="restart"/>
            <w:noWrap w:val="0"/>
            <w:vAlign w:val="center"/>
          </w:tcPr>
          <w:p w14:paraId="7053CD54">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分部工程</w:t>
            </w:r>
          </w:p>
        </w:tc>
        <w:tc>
          <w:tcPr>
            <w:tcW w:w="772" w:type="dxa"/>
            <w:vMerge w:val="restart"/>
            <w:noWrap w:val="0"/>
            <w:vAlign w:val="center"/>
          </w:tcPr>
          <w:p w14:paraId="6A247975">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风险分析</w:t>
            </w:r>
          </w:p>
        </w:tc>
        <w:tc>
          <w:tcPr>
            <w:tcW w:w="1435" w:type="dxa"/>
            <w:gridSpan w:val="4"/>
            <w:noWrap w:val="0"/>
            <w:vAlign w:val="center"/>
          </w:tcPr>
          <w:p w14:paraId="47737314">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风险等级</w:t>
            </w:r>
          </w:p>
        </w:tc>
        <w:tc>
          <w:tcPr>
            <w:tcW w:w="4843" w:type="dxa"/>
            <w:vMerge w:val="restart"/>
            <w:noWrap w:val="0"/>
            <w:vAlign w:val="center"/>
          </w:tcPr>
          <w:p w14:paraId="5A76D0EE">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控制措施</w:t>
            </w:r>
          </w:p>
        </w:tc>
        <w:tc>
          <w:tcPr>
            <w:tcW w:w="750" w:type="dxa"/>
            <w:vMerge w:val="restart"/>
            <w:noWrap w:val="0"/>
            <w:vAlign w:val="center"/>
          </w:tcPr>
          <w:p w14:paraId="1AD24169">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备注</w:t>
            </w:r>
          </w:p>
        </w:tc>
      </w:tr>
      <w:tr w14:paraId="6A6F0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33" w:type="dxa"/>
            <w:vMerge w:val="continue"/>
            <w:noWrap w:val="0"/>
            <w:vAlign w:val="center"/>
          </w:tcPr>
          <w:p w14:paraId="45CCA817">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p>
        </w:tc>
        <w:tc>
          <w:tcPr>
            <w:tcW w:w="771" w:type="dxa"/>
            <w:vMerge w:val="continue"/>
            <w:noWrap w:val="0"/>
            <w:vAlign w:val="center"/>
          </w:tcPr>
          <w:p w14:paraId="2BCAA1A7">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p>
        </w:tc>
        <w:tc>
          <w:tcPr>
            <w:tcW w:w="772" w:type="dxa"/>
            <w:vMerge w:val="continue"/>
            <w:noWrap w:val="0"/>
            <w:vAlign w:val="center"/>
          </w:tcPr>
          <w:p w14:paraId="08225B3E">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p>
        </w:tc>
        <w:tc>
          <w:tcPr>
            <w:tcW w:w="342" w:type="dxa"/>
            <w:noWrap w:val="0"/>
            <w:vAlign w:val="center"/>
          </w:tcPr>
          <w:p w14:paraId="233937EB">
            <w:pPr>
              <w:bidi w:val="0"/>
              <w:spacing w:line="240" w:lineRule="auto"/>
              <w:ind w:firstLine="0" w:firstLineChars="0"/>
              <w:jc w:val="center"/>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sz w:val="21"/>
                <w:vertAlign w:val="baseline"/>
                <w:lang w:val="en-US" w:eastAsia="zh-CN"/>
              </w:rPr>
              <w:t>一般</w:t>
            </w:r>
          </w:p>
        </w:tc>
        <w:tc>
          <w:tcPr>
            <w:tcW w:w="386" w:type="dxa"/>
            <w:noWrap w:val="0"/>
            <w:vAlign w:val="center"/>
          </w:tcPr>
          <w:p w14:paraId="0E16A428">
            <w:pPr>
              <w:bidi w:val="0"/>
              <w:spacing w:line="240" w:lineRule="auto"/>
              <w:ind w:firstLine="0" w:firstLineChars="0"/>
              <w:jc w:val="center"/>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sz w:val="21"/>
                <w:vertAlign w:val="baseline"/>
                <w:lang w:val="en-US" w:eastAsia="zh-CN"/>
              </w:rPr>
              <w:t>较大</w:t>
            </w:r>
          </w:p>
        </w:tc>
        <w:tc>
          <w:tcPr>
            <w:tcW w:w="364" w:type="dxa"/>
            <w:noWrap w:val="0"/>
            <w:vAlign w:val="center"/>
          </w:tcPr>
          <w:p w14:paraId="2B7297E4">
            <w:pPr>
              <w:bidi w:val="0"/>
              <w:spacing w:line="240" w:lineRule="auto"/>
              <w:ind w:firstLine="0" w:firstLineChars="0"/>
              <w:jc w:val="center"/>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sz w:val="21"/>
                <w:vertAlign w:val="baseline"/>
                <w:lang w:val="en-US" w:eastAsia="zh-CN"/>
              </w:rPr>
              <w:t>重大</w:t>
            </w:r>
          </w:p>
        </w:tc>
        <w:tc>
          <w:tcPr>
            <w:tcW w:w="343" w:type="dxa"/>
            <w:noWrap w:val="0"/>
            <w:vAlign w:val="center"/>
          </w:tcPr>
          <w:p w14:paraId="602B70F0">
            <w:pPr>
              <w:bidi w:val="0"/>
              <w:spacing w:line="240" w:lineRule="auto"/>
              <w:ind w:firstLine="0" w:firstLineChars="0"/>
              <w:jc w:val="center"/>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sz w:val="21"/>
                <w:vertAlign w:val="baseline"/>
                <w:lang w:val="en-US" w:eastAsia="zh-CN"/>
              </w:rPr>
              <w:t>特大</w:t>
            </w:r>
          </w:p>
        </w:tc>
        <w:tc>
          <w:tcPr>
            <w:tcW w:w="4843" w:type="dxa"/>
            <w:vMerge w:val="continue"/>
            <w:noWrap w:val="0"/>
            <w:vAlign w:val="center"/>
          </w:tcPr>
          <w:p w14:paraId="4EA0E51E">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p>
        </w:tc>
        <w:tc>
          <w:tcPr>
            <w:tcW w:w="750" w:type="dxa"/>
            <w:vMerge w:val="continue"/>
            <w:noWrap w:val="0"/>
            <w:vAlign w:val="center"/>
          </w:tcPr>
          <w:p w14:paraId="5385ACC5">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p>
        </w:tc>
      </w:tr>
      <w:tr w14:paraId="1543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4FB9EDF8">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施工用电</w:t>
            </w:r>
          </w:p>
        </w:tc>
        <w:tc>
          <w:tcPr>
            <w:tcW w:w="771" w:type="dxa"/>
            <w:noWrap w:val="0"/>
            <w:vAlign w:val="center"/>
          </w:tcPr>
          <w:p w14:paraId="02A2325F">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配电箱及开关箱安装</w:t>
            </w:r>
          </w:p>
        </w:tc>
        <w:tc>
          <w:tcPr>
            <w:tcW w:w="772" w:type="dxa"/>
            <w:noWrap w:val="0"/>
            <w:vAlign w:val="center"/>
          </w:tcPr>
          <w:p w14:paraId="1583BD1C">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触电</w:t>
            </w:r>
          </w:p>
        </w:tc>
        <w:tc>
          <w:tcPr>
            <w:tcW w:w="342" w:type="dxa"/>
            <w:noWrap w:val="0"/>
            <w:vAlign w:val="center"/>
          </w:tcPr>
          <w:p w14:paraId="113010E8">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w:t>
            </w:r>
          </w:p>
        </w:tc>
        <w:tc>
          <w:tcPr>
            <w:tcW w:w="386" w:type="dxa"/>
            <w:noWrap w:val="0"/>
            <w:vAlign w:val="center"/>
          </w:tcPr>
          <w:p w14:paraId="24047DCF">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64" w:type="dxa"/>
            <w:noWrap w:val="0"/>
            <w:vAlign w:val="center"/>
          </w:tcPr>
          <w:p w14:paraId="0A6C8998">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43" w:type="dxa"/>
            <w:noWrap w:val="0"/>
            <w:vAlign w:val="center"/>
          </w:tcPr>
          <w:p w14:paraId="6C7AA3AC">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4843" w:type="dxa"/>
            <w:noWrap w:val="0"/>
            <w:vAlign w:val="top"/>
          </w:tcPr>
          <w:p w14:paraId="536CD860">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[1]配电系统应设置配电柜或总配电箱、分配电箱、开关箱，实行三级配配电系统直三相负荷平衡。220V或380V单相用电设备宜接入220/380V三相四线系统:当单相照明线路电流大于30A时官采用220/380V三相四线制供电。[2]总配电应设在靠近电源的区域，分配电箱应设在用电设备或负荷相对集中的区域，分配电箱与开关箱的距离不得超过30m;开关箱与其控制的固定式用电设备的水平距离不宜超过3m，距离大于3m时应使用移动式开关箱(或便携式卷线盘〕;移动式开关箱至固定式开关之间的引线长度不得大于30m，且只能用橡套软电缆。[3]配电箱、开关箱的电源进线端严禁采用插头和插座做活动连接。移动式配电箱、开关箱的进出线应采用橡皮护套绝缘电缆，不得有接头。[4]漏电保护器应装设在总配电箱、开关箱靠近负荷的一侧，且不得用于启动电气设备的操作。开关箱中漏电保护器的额定漏电动作电流不应大于30mA，额定漏电动作时间不应大于0.1s。使用于潮湿或有腐蚀介质场所的漏电保护器应采用防我型产品其额定漏电动作电流不应大于15mA，额定漏电动作时间不应大于0.1s。总配电箱中漏电保护器的额定漏电动作电流应大于30mA，额定漏电动作时间应大于0.1s，但其额定漏电动作电流与额定漏电动作时间的莱积不应大于30mAs.</w:t>
            </w:r>
          </w:p>
        </w:tc>
        <w:tc>
          <w:tcPr>
            <w:tcW w:w="750" w:type="dxa"/>
            <w:noWrap w:val="0"/>
            <w:vAlign w:val="top"/>
          </w:tcPr>
          <w:p w14:paraId="235B3564">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p>
        </w:tc>
      </w:tr>
      <w:tr w14:paraId="64883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3D35C099">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r>
              <w:rPr>
                <w:rFonts w:hint="eastAsia" w:cs="Times New Roman"/>
                <w:color w:val="auto"/>
                <w:sz w:val="21"/>
                <w:vertAlign w:val="baseline"/>
                <w:lang w:val="en-US" w:eastAsia="zh-CN"/>
              </w:rPr>
              <w:t>物料运输</w:t>
            </w:r>
          </w:p>
        </w:tc>
        <w:tc>
          <w:tcPr>
            <w:tcW w:w="771" w:type="dxa"/>
            <w:noWrap w:val="0"/>
            <w:vAlign w:val="center"/>
          </w:tcPr>
          <w:p w14:paraId="3D652F61">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r>
              <w:rPr>
                <w:rFonts w:hint="eastAsia" w:cs="Times New Roman"/>
                <w:color w:val="auto"/>
                <w:sz w:val="21"/>
                <w:vertAlign w:val="baseline"/>
                <w:lang w:val="en-US" w:eastAsia="zh-CN"/>
              </w:rPr>
              <w:t>运输车辆运送碎石</w:t>
            </w:r>
          </w:p>
        </w:tc>
        <w:tc>
          <w:tcPr>
            <w:tcW w:w="772" w:type="dxa"/>
            <w:noWrap w:val="0"/>
            <w:vAlign w:val="center"/>
          </w:tcPr>
          <w:p w14:paraId="2E65EB42">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r>
              <w:rPr>
                <w:rFonts w:hint="eastAsia" w:cs="Times New Roman"/>
                <w:color w:val="auto"/>
                <w:sz w:val="21"/>
                <w:vertAlign w:val="baseline"/>
                <w:lang w:val="en-US" w:eastAsia="zh-CN"/>
              </w:rPr>
              <w:t>车辆伤害</w:t>
            </w:r>
          </w:p>
        </w:tc>
        <w:tc>
          <w:tcPr>
            <w:tcW w:w="342" w:type="dxa"/>
            <w:noWrap w:val="0"/>
            <w:vAlign w:val="center"/>
          </w:tcPr>
          <w:p w14:paraId="3ECDB5C7">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w:t>
            </w:r>
          </w:p>
        </w:tc>
        <w:tc>
          <w:tcPr>
            <w:tcW w:w="386" w:type="dxa"/>
            <w:noWrap w:val="0"/>
            <w:vAlign w:val="center"/>
          </w:tcPr>
          <w:p w14:paraId="1F663B35">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64" w:type="dxa"/>
            <w:noWrap w:val="0"/>
            <w:vAlign w:val="center"/>
          </w:tcPr>
          <w:p w14:paraId="6466BBC2">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43" w:type="dxa"/>
            <w:noWrap w:val="0"/>
            <w:vAlign w:val="center"/>
          </w:tcPr>
          <w:p w14:paraId="5F06D781">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4843" w:type="dxa"/>
            <w:noWrap w:val="0"/>
            <w:vAlign w:val="top"/>
          </w:tcPr>
          <w:p w14:paraId="70C9A384">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[1]加强车辆维护</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定期检查和维护车辆，确保车辆操控性能正常，避免因车辆故障导致交通事故。[2]加强货物固定</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在装载货物时采取正确的固定方法，确保货物牢固稳定，避免因货物移动或倾倒而引发事故。[3]严格控制载重</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严格按照规定的载重标准进行装载，不得超载，确保车辆的操控性能正常，减少交通事故的发生。[4]提肩驾驶员的安全意识</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加强驾驶员安全教音和培训，提音他们的安全意识和驾驶技能，规范驾驶行为，减少交通事故的发</w:t>
            </w:r>
            <w:r>
              <w:rPr>
                <w:rFonts w:hint="eastAsia" w:cs="Times New Roman"/>
                <w:color w:val="auto"/>
                <w:sz w:val="21"/>
                <w:vertAlign w:val="baseline"/>
                <w:lang w:val="en-US" w:eastAsia="zh-CN"/>
              </w:rPr>
              <w:t>生。</w:t>
            </w:r>
            <w:r>
              <w:rPr>
                <w:rFonts w:hint="eastAsia" w:ascii="Times New Roman" w:hAnsi="Times New Roman" w:eastAsia="宋体" w:cs="Times New Roman"/>
                <w:color w:val="auto"/>
                <w:sz w:val="21"/>
                <w:vertAlign w:val="baseline"/>
                <w:lang w:val="en-US" w:eastAsia="zh-CN"/>
              </w:rPr>
              <w:t>[</w:t>
            </w:r>
            <w:r>
              <w:rPr>
                <w:rFonts w:hint="eastAsia" w:cs="Times New Roman"/>
                <w:color w:val="auto"/>
                <w:sz w:val="21"/>
                <w:vertAlign w:val="baseline"/>
                <w:lang w:val="en-US" w:eastAsia="zh-CN"/>
              </w:rPr>
              <w:t>5</w:t>
            </w:r>
            <w:r>
              <w:rPr>
                <w:rFonts w:hint="eastAsia" w:ascii="Times New Roman" w:hAnsi="Times New Roman" w:eastAsia="宋体" w:cs="Times New Roman"/>
                <w:color w:val="auto"/>
                <w:sz w:val="21"/>
                <w:vertAlign w:val="baseline"/>
                <w:lang w:val="en-US" w:eastAsia="zh-CN"/>
              </w:rPr>
              <w:t>]加强路况管理</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对施工现场附近的道路进行维护和管理，确保道路平整，减少不良路况对运输的影响。</w:t>
            </w:r>
          </w:p>
        </w:tc>
        <w:tc>
          <w:tcPr>
            <w:tcW w:w="750" w:type="dxa"/>
            <w:noWrap w:val="0"/>
            <w:vAlign w:val="top"/>
          </w:tcPr>
          <w:p w14:paraId="5AAA5F5A">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p>
        </w:tc>
      </w:tr>
      <w:tr w14:paraId="2832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6B8EE395">
            <w:pPr>
              <w:bidi w:val="0"/>
              <w:spacing w:line="240" w:lineRule="auto"/>
              <w:ind w:firstLine="0" w:firstLineChars="0"/>
              <w:jc w:val="center"/>
              <w:rPr>
                <w:rFonts w:hint="default" w:cs="Times New Roman"/>
                <w:color w:val="auto"/>
                <w:sz w:val="21"/>
                <w:vertAlign w:val="baseline"/>
                <w:lang w:val="en-US" w:eastAsia="zh-CN"/>
              </w:rPr>
            </w:pPr>
            <w:r>
              <w:rPr>
                <w:rFonts w:hint="eastAsia" w:cs="Times New Roman"/>
                <w:color w:val="auto"/>
                <w:sz w:val="21"/>
                <w:vertAlign w:val="baseline"/>
                <w:lang w:val="en-US" w:eastAsia="zh-CN"/>
              </w:rPr>
              <w:t>施工作业</w:t>
            </w:r>
          </w:p>
        </w:tc>
        <w:tc>
          <w:tcPr>
            <w:tcW w:w="771" w:type="dxa"/>
            <w:noWrap w:val="0"/>
            <w:vAlign w:val="center"/>
          </w:tcPr>
          <w:p w14:paraId="1BC6C433">
            <w:pPr>
              <w:bidi w:val="0"/>
              <w:spacing w:line="240" w:lineRule="auto"/>
              <w:ind w:firstLine="0" w:firstLineChars="0"/>
              <w:jc w:val="center"/>
              <w:rPr>
                <w:rFonts w:hint="default" w:cs="Times New Roman"/>
                <w:color w:val="auto"/>
                <w:sz w:val="21"/>
                <w:vertAlign w:val="baseline"/>
                <w:lang w:val="en-US" w:eastAsia="zh-CN"/>
              </w:rPr>
            </w:pPr>
            <w:r>
              <w:rPr>
                <w:rFonts w:hint="eastAsia" w:cs="Times New Roman"/>
                <w:color w:val="auto"/>
                <w:sz w:val="21"/>
                <w:vertAlign w:val="baseline"/>
                <w:lang w:val="en-US" w:eastAsia="zh-CN"/>
              </w:rPr>
              <w:t>施工机械设备运行</w:t>
            </w:r>
          </w:p>
        </w:tc>
        <w:tc>
          <w:tcPr>
            <w:tcW w:w="772" w:type="dxa"/>
            <w:noWrap w:val="0"/>
            <w:vAlign w:val="center"/>
          </w:tcPr>
          <w:p w14:paraId="0C5D0193">
            <w:pPr>
              <w:bidi w:val="0"/>
              <w:spacing w:line="240" w:lineRule="auto"/>
              <w:ind w:firstLine="0" w:firstLineChars="0"/>
              <w:jc w:val="center"/>
              <w:rPr>
                <w:rFonts w:hint="default" w:cs="Times New Roman"/>
                <w:color w:val="auto"/>
                <w:sz w:val="21"/>
                <w:vertAlign w:val="baseline"/>
                <w:lang w:val="en-US" w:eastAsia="zh-CN"/>
              </w:rPr>
            </w:pPr>
            <w:r>
              <w:rPr>
                <w:rFonts w:hint="eastAsia" w:cs="Times New Roman"/>
                <w:color w:val="auto"/>
                <w:sz w:val="21"/>
                <w:vertAlign w:val="baseline"/>
                <w:lang w:val="en-US" w:eastAsia="zh-CN"/>
              </w:rPr>
              <w:t>机械伤害</w:t>
            </w:r>
          </w:p>
        </w:tc>
        <w:tc>
          <w:tcPr>
            <w:tcW w:w="342" w:type="dxa"/>
            <w:noWrap w:val="0"/>
            <w:vAlign w:val="center"/>
          </w:tcPr>
          <w:p w14:paraId="5D9521B8">
            <w:pPr>
              <w:bidi w:val="0"/>
              <w:spacing w:line="240" w:lineRule="auto"/>
              <w:ind w:firstLine="0" w:firstLineChars="0"/>
              <w:jc w:val="center"/>
              <w:rPr>
                <w:rFonts w:hint="eastAsia"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w:t>
            </w:r>
          </w:p>
        </w:tc>
        <w:tc>
          <w:tcPr>
            <w:tcW w:w="386" w:type="dxa"/>
            <w:noWrap w:val="0"/>
            <w:vAlign w:val="center"/>
          </w:tcPr>
          <w:p w14:paraId="382EEACF">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64" w:type="dxa"/>
            <w:noWrap w:val="0"/>
            <w:vAlign w:val="center"/>
          </w:tcPr>
          <w:p w14:paraId="412C1EB4">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343" w:type="dxa"/>
            <w:noWrap w:val="0"/>
            <w:vAlign w:val="center"/>
          </w:tcPr>
          <w:p w14:paraId="1F817421">
            <w:pPr>
              <w:bidi w:val="0"/>
              <w:spacing w:line="240" w:lineRule="auto"/>
              <w:ind w:firstLine="0" w:firstLineChars="0"/>
              <w:jc w:val="center"/>
              <w:rPr>
                <w:rFonts w:hint="default" w:ascii="Times New Roman" w:hAnsi="Times New Roman" w:eastAsia="宋体" w:cs="Times New Roman"/>
                <w:color w:val="auto"/>
                <w:sz w:val="21"/>
                <w:vertAlign w:val="baseline"/>
                <w:lang w:val="en-US" w:eastAsia="zh-CN"/>
              </w:rPr>
            </w:pPr>
          </w:p>
        </w:tc>
        <w:tc>
          <w:tcPr>
            <w:tcW w:w="4843" w:type="dxa"/>
            <w:noWrap w:val="0"/>
            <w:vAlign w:val="top"/>
          </w:tcPr>
          <w:p w14:paraId="482D8D1E">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r>
              <w:rPr>
                <w:rFonts w:hint="eastAsia" w:ascii="Times New Roman" w:hAnsi="Times New Roman" w:eastAsia="宋体" w:cs="Times New Roman"/>
                <w:color w:val="auto"/>
                <w:sz w:val="21"/>
                <w:vertAlign w:val="baseline"/>
                <w:lang w:val="en-US" w:eastAsia="zh-CN"/>
              </w:rPr>
              <w:t>[1]不准以单边铲斗斗牙来硬啃岩体</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[2]不准强行挖掘大块石和硬啃固石、根底;[3]不准用斗牙挑起大块石装车的方式进行作业;[4]铲斗未撤出掌子面不准回转或行走</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w:t>
            </w:r>
            <w:r>
              <w:rPr>
                <w:rFonts w:hint="eastAsia" w:cs="Times New Roman"/>
                <w:color w:val="auto"/>
                <w:sz w:val="21"/>
                <w:vertAlign w:val="baseline"/>
                <w:lang w:val="en-US" w:eastAsia="zh-CN"/>
              </w:rPr>
              <w:t>5</w:t>
            </w:r>
            <w:r>
              <w:rPr>
                <w:rFonts w:hint="eastAsia" w:ascii="Times New Roman" w:hAnsi="Times New Roman" w:eastAsia="宋体" w:cs="Times New Roman"/>
                <w:color w:val="auto"/>
                <w:sz w:val="21"/>
                <w:vertAlign w:val="baseline"/>
                <w:lang w:val="en-US" w:eastAsia="zh-CN"/>
              </w:rPr>
              <w:t>]严禁用铲斗进行起吊作业;严禁利用挖掘机的回转作用力来拉动重物和车辆</w:t>
            </w:r>
            <w:r>
              <w:rPr>
                <w:rFonts w:hint="eastAsia" w:cs="Times New Roman"/>
                <w:color w:val="auto"/>
                <w:sz w:val="21"/>
                <w:vertAlign w:val="baseline"/>
                <w:lang w:val="en-US" w:eastAsia="zh-CN"/>
              </w:rPr>
              <w:t>；</w:t>
            </w:r>
            <w:r>
              <w:rPr>
                <w:rFonts w:hint="eastAsia" w:ascii="Times New Roman" w:hAnsi="Times New Roman" w:eastAsia="宋体" w:cs="Times New Roman"/>
                <w:color w:val="auto"/>
                <w:sz w:val="21"/>
                <w:vertAlign w:val="baseline"/>
                <w:lang w:val="en-US" w:eastAsia="zh-CN"/>
              </w:rPr>
              <w:t>[</w:t>
            </w:r>
            <w:r>
              <w:rPr>
                <w:rFonts w:hint="eastAsia" w:cs="Times New Roman"/>
                <w:color w:val="auto"/>
                <w:sz w:val="21"/>
                <w:vertAlign w:val="baseline"/>
                <w:lang w:val="en-US" w:eastAsia="zh-CN"/>
              </w:rPr>
              <w:t>6</w:t>
            </w:r>
            <w:r>
              <w:rPr>
                <w:rFonts w:hint="eastAsia" w:ascii="Times New Roman" w:hAnsi="Times New Roman" w:eastAsia="宋体" w:cs="Times New Roman"/>
                <w:color w:val="auto"/>
                <w:sz w:val="21"/>
                <w:vertAlign w:val="baseline"/>
                <w:lang w:val="en-US" w:eastAsia="zh-CN"/>
              </w:rPr>
              <w:t>]四周不得有人员来往，设置警示区，禁止无关人员进入。</w:t>
            </w:r>
          </w:p>
        </w:tc>
        <w:tc>
          <w:tcPr>
            <w:tcW w:w="750" w:type="dxa"/>
            <w:noWrap w:val="0"/>
            <w:vAlign w:val="top"/>
          </w:tcPr>
          <w:p w14:paraId="6218EF7F">
            <w:pPr>
              <w:bidi w:val="0"/>
              <w:spacing w:line="240" w:lineRule="auto"/>
              <w:ind w:firstLine="0" w:firstLineChars="0"/>
              <w:rPr>
                <w:rFonts w:hint="eastAsia" w:ascii="Times New Roman" w:hAnsi="Times New Roman" w:eastAsia="宋体" w:cs="Times New Roman"/>
                <w:color w:val="auto"/>
                <w:sz w:val="21"/>
                <w:vertAlign w:val="baseline"/>
                <w:lang w:val="en-US" w:eastAsia="zh-CN"/>
              </w:rPr>
            </w:pPr>
          </w:p>
        </w:tc>
      </w:tr>
    </w:tbl>
    <w:p w14:paraId="25F9C4BD">
      <w:pPr>
        <w:rPr>
          <w:rFonts w:hint="default"/>
          <w:color w:val="auto"/>
          <w:lang w:val="en-US" w:eastAsia="zh-CN"/>
        </w:rPr>
      </w:pPr>
      <w:r>
        <w:rPr>
          <w:rFonts w:hint="default"/>
          <w:color w:val="auto"/>
          <w:lang w:val="en-US" w:eastAsia="zh-CN"/>
        </w:rPr>
        <w:br w:type="page"/>
      </w:r>
    </w:p>
    <w:p w14:paraId="6FC9E4A7">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62" w:name="_Toc4482"/>
      <w:bookmarkStart w:id="163" w:name="_Toc24633"/>
      <w:r>
        <w:rPr>
          <w:rFonts w:hint="default" w:ascii="Times New Roman" w:hAnsi="Times New Roman" w:cs="Times New Roman"/>
          <w:color w:val="auto"/>
          <w:lang w:val="en-US" w:eastAsia="zh-CN"/>
        </w:rPr>
        <w:t>安全对策措施和建议</w:t>
      </w:r>
      <w:bookmarkEnd w:id="162"/>
      <w:bookmarkEnd w:id="163"/>
    </w:p>
    <w:p w14:paraId="4B50EE23">
      <w:pPr>
        <w:pStyle w:val="3"/>
        <w:bidi w:val="0"/>
        <w:rPr>
          <w:rFonts w:hint="default"/>
          <w:color w:val="auto"/>
          <w:lang w:val="en-US" w:eastAsia="zh-CN"/>
        </w:rPr>
      </w:pPr>
      <w:bookmarkStart w:id="164" w:name="_Toc11190"/>
      <w:bookmarkStart w:id="165" w:name="_Toc25536"/>
      <w:r>
        <w:rPr>
          <w:rFonts w:hint="default"/>
          <w:color w:val="auto"/>
          <w:lang w:val="en-US" w:eastAsia="zh-CN"/>
        </w:rPr>
        <w:t>6.1</w:t>
      </w:r>
      <w:r>
        <w:rPr>
          <w:rFonts w:hint="eastAsia"/>
          <w:color w:val="auto"/>
          <w:lang w:val="en-US" w:eastAsia="zh-CN"/>
        </w:rPr>
        <w:t xml:space="preserve"> </w:t>
      </w:r>
      <w:r>
        <w:rPr>
          <w:rFonts w:hint="default"/>
          <w:color w:val="auto"/>
          <w:lang w:val="en-US" w:eastAsia="zh-CN"/>
        </w:rPr>
        <w:t>施工方案中提出的安全对策措施</w:t>
      </w:r>
      <w:bookmarkEnd w:id="164"/>
      <w:bookmarkEnd w:id="165"/>
    </w:p>
    <w:p w14:paraId="62D74EE4">
      <w:pPr>
        <w:rPr>
          <w:rFonts w:hint="default"/>
          <w:color w:val="auto"/>
          <w:lang w:val="en-US" w:eastAsia="zh-CN"/>
        </w:rPr>
      </w:pPr>
      <w:r>
        <w:rPr>
          <w:rFonts w:hint="default"/>
          <w:color w:val="auto"/>
          <w:lang w:val="en-US" w:eastAsia="zh-CN"/>
        </w:rPr>
        <w:t>见本报告第</w:t>
      </w:r>
      <w:r>
        <w:rPr>
          <w:rFonts w:hint="eastAsia"/>
          <w:color w:val="auto"/>
          <w:lang w:val="en-US" w:eastAsia="zh-CN"/>
        </w:rPr>
        <w:t>“</w:t>
      </w:r>
      <w:r>
        <w:rPr>
          <w:rFonts w:hint="default"/>
          <w:color w:val="auto"/>
          <w:lang w:val="en-US" w:eastAsia="zh-CN"/>
        </w:rPr>
        <w:t>2.</w:t>
      </w:r>
      <w:r>
        <w:rPr>
          <w:rFonts w:hint="eastAsia"/>
          <w:color w:val="auto"/>
          <w:lang w:val="en-US" w:eastAsia="zh-CN"/>
        </w:rPr>
        <w:t>6.2”</w:t>
      </w:r>
      <w:r>
        <w:rPr>
          <w:rFonts w:hint="default"/>
          <w:color w:val="auto"/>
          <w:lang w:val="en-US" w:eastAsia="zh-CN"/>
        </w:rPr>
        <w:t>、</w:t>
      </w:r>
      <w:r>
        <w:rPr>
          <w:rFonts w:hint="eastAsia"/>
          <w:color w:val="auto"/>
          <w:lang w:val="en-US" w:eastAsia="zh-CN"/>
        </w:rPr>
        <w:t>“</w:t>
      </w:r>
      <w:r>
        <w:rPr>
          <w:rFonts w:hint="default"/>
          <w:color w:val="auto"/>
          <w:lang w:val="en-US" w:eastAsia="zh-CN"/>
        </w:rPr>
        <w:t>2.</w:t>
      </w:r>
      <w:r>
        <w:rPr>
          <w:rFonts w:hint="eastAsia"/>
          <w:color w:val="auto"/>
          <w:lang w:val="en-US" w:eastAsia="zh-CN"/>
        </w:rPr>
        <w:t>6</w:t>
      </w:r>
      <w:r>
        <w:rPr>
          <w:rFonts w:hint="default"/>
          <w:color w:val="auto"/>
          <w:lang w:val="en-US" w:eastAsia="zh-CN"/>
        </w:rPr>
        <w:t>.</w:t>
      </w:r>
      <w:r>
        <w:rPr>
          <w:rFonts w:hint="eastAsia"/>
          <w:color w:val="auto"/>
          <w:lang w:val="en-US" w:eastAsia="zh-CN"/>
        </w:rPr>
        <w:t>3”</w:t>
      </w:r>
      <w:r>
        <w:rPr>
          <w:rFonts w:hint="default"/>
          <w:color w:val="auto"/>
          <w:lang w:val="en-US" w:eastAsia="zh-CN"/>
        </w:rPr>
        <w:t>、</w:t>
      </w:r>
      <w:r>
        <w:rPr>
          <w:rFonts w:hint="eastAsia"/>
          <w:color w:val="auto"/>
          <w:lang w:val="en-US" w:eastAsia="zh-CN"/>
        </w:rPr>
        <w:t>“</w:t>
      </w:r>
      <w:r>
        <w:rPr>
          <w:rFonts w:hint="default"/>
          <w:color w:val="auto"/>
          <w:lang w:val="en-US" w:eastAsia="zh-CN"/>
        </w:rPr>
        <w:t>2.</w:t>
      </w:r>
      <w:r>
        <w:rPr>
          <w:rFonts w:hint="eastAsia"/>
          <w:color w:val="auto"/>
          <w:lang w:val="en-US" w:eastAsia="zh-CN"/>
        </w:rPr>
        <w:t>6</w:t>
      </w:r>
      <w:r>
        <w:rPr>
          <w:rFonts w:hint="default"/>
          <w:color w:val="auto"/>
          <w:lang w:val="en-US" w:eastAsia="zh-CN"/>
        </w:rPr>
        <w:t>.</w:t>
      </w:r>
      <w:r>
        <w:rPr>
          <w:rFonts w:hint="eastAsia"/>
          <w:color w:val="auto"/>
          <w:lang w:val="en-US" w:eastAsia="zh-CN"/>
        </w:rPr>
        <w:t>5”</w:t>
      </w:r>
      <w:r>
        <w:rPr>
          <w:rFonts w:hint="default"/>
          <w:color w:val="auto"/>
          <w:lang w:val="en-US" w:eastAsia="zh-CN"/>
        </w:rPr>
        <w:t>章节。</w:t>
      </w:r>
    </w:p>
    <w:p w14:paraId="7487E61C">
      <w:pPr>
        <w:pStyle w:val="3"/>
        <w:bidi w:val="0"/>
        <w:rPr>
          <w:rFonts w:hint="default"/>
          <w:color w:val="auto"/>
          <w:lang w:val="en-US" w:eastAsia="zh-CN"/>
        </w:rPr>
      </w:pPr>
      <w:bookmarkStart w:id="166" w:name="_Toc29104"/>
      <w:bookmarkStart w:id="167" w:name="_Toc3919"/>
      <w:r>
        <w:rPr>
          <w:rFonts w:hint="default"/>
          <w:color w:val="auto"/>
          <w:lang w:val="en-US" w:eastAsia="zh-CN"/>
        </w:rPr>
        <w:t>6.2</w:t>
      </w:r>
      <w:r>
        <w:rPr>
          <w:rFonts w:hint="eastAsia"/>
          <w:color w:val="auto"/>
          <w:lang w:val="en-US" w:eastAsia="zh-CN"/>
        </w:rPr>
        <w:t xml:space="preserve"> </w:t>
      </w:r>
      <w:r>
        <w:rPr>
          <w:rFonts w:hint="default"/>
          <w:color w:val="auto"/>
          <w:lang w:val="en-US" w:eastAsia="zh-CN"/>
        </w:rPr>
        <w:t>本报告提出的安全对策措施</w:t>
      </w:r>
      <w:bookmarkEnd w:id="166"/>
      <w:bookmarkEnd w:id="167"/>
    </w:p>
    <w:p w14:paraId="1E60328B">
      <w:pPr>
        <w:pStyle w:val="4"/>
        <w:bidi w:val="0"/>
        <w:rPr>
          <w:rFonts w:hint="default"/>
          <w:color w:val="auto"/>
          <w:lang w:val="en-US" w:eastAsia="zh-CN"/>
        </w:rPr>
      </w:pPr>
      <w:bookmarkStart w:id="168" w:name="_Toc23105"/>
      <w:bookmarkStart w:id="169" w:name="_Toc2323"/>
      <w:r>
        <w:rPr>
          <w:rFonts w:hint="default"/>
          <w:color w:val="auto"/>
          <w:lang w:val="en-US" w:eastAsia="zh-CN"/>
        </w:rPr>
        <w:t>6.2.1</w:t>
      </w:r>
      <w:r>
        <w:rPr>
          <w:rFonts w:hint="eastAsia"/>
          <w:color w:val="auto"/>
          <w:lang w:val="en-US" w:eastAsia="zh-CN"/>
        </w:rPr>
        <w:t xml:space="preserve"> </w:t>
      </w:r>
      <w:r>
        <w:rPr>
          <w:rFonts w:hint="default"/>
          <w:color w:val="auto"/>
          <w:lang w:val="en-US" w:eastAsia="zh-CN"/>
        </w:rPr>
        <w:t>施工驻地和场站建设</w:t>
      </w:r>
      <w:bookmarkEnd w:id="168"/>
      <w:bookmarkEnd w:id="169"/>
    </w:p>
    <w:p w14:paraId="0682BE7B">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施工现场驻地和场站应选在地质良好的地段，应避开易发生滑坡、塌方、泥石流、崩期、落石、洪水、于崩等危险区域，宜避让取土、弃土场地。</w:t>
      </w:r>
    </w:p>
    <w:p w14:paraId="654BAFC9">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施工现场生产区、生活区、办公区应分开设置。</w:t>
      </w:r>
    </w:p>
    <w:p w14:paraId="3069E98F">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施工现场临时用房、临时设施、生产区、牛活区、办公区的防火间距应符合现行《建设工程施工现场消防安全技术规范》</w:t>
      </w:r>
      <w:r>
        <w:rPr>
          <w:rFonts w:hint="eastAsia"/>
          <w:color w:val="auto"/>
          <w:lang w:val="en-US" w:eastAsia="zh-CN"/>
        </w:rPr>
        <w:t>（</w:t>
      </w:r>
      <w:r>
        <w:rPr>
          <w:rFonts w:hint="default"/>
          <w:color w:val="auto"/>
          <w:lang w:val="en-US" w:eastAsia="zh-CN"/>
        </w:rPr>
        <w:t>GB50720</w:t>
      </w:r>
      <w:r>
        <w:rPr>
          <w:rFonts w:hint="eastAsia"/>
          <w:color w:val="auto"/>
          <w:lang w:val="en-US" w:eastAsia="zh-CN"/>
        </w:rPr>
        <w:t>）</w:t>
      </w:r>
      <w:r>
        <w:rPr>
          <w:rFonts w:hint="default"/>
          <w:color w:val="auto"/>
          <w:lang w:val="en-US" w:eastAsia="zh-CN"/>
        </w:rPr>
        <w:t>的要求。</w:t>
      </w:r>
    </w:p>
    <w:p w14:paraId="31A7D724">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办公区、生活区宜避开存在噪声、粉尘、烟雾或对人体有害物质的区域，无法避开时应设在噪声、粉尘、烟雾或对人体有害物质所在区域最大频率风向的上风侧。</w:t>
      </w:r>
    </w:p>
    <w:p w14:paraId="69D95CF2">
      <w:pPr>
        <w:pStyle w:val="4"/>
        <w:bidi w:val="0"/>
        <w:rPr>
          <w:rFonts w:hint="default"/>
          <w:color w:val="auto"/>
          <w:lang w:val="en-US" w:eastAsia="zh-CN"/>
        </w:rPr>
      </w:pPr>
      <w:bookmarkStart w:id="170" w:name="_Toc103"/>
      <w:bookmarkStart w:id="171" w:name="_Toc20932"/>
      <w:r>
        <w:rPr>
          <w:rFonts w:hint="default"/>
          <w:color w:val="auto"/>
          <w:lang w:val="en-US" w:eastAsia="zh-CN"/>
        </w:rPr>
        <w:t>6.2.2</w:t>
      </w:r>
      <w:r>
        <w:rPr>
          <w:rFonts w:hint="eastAsia"/>
          <w:color w:val="auto"/>
          <w:lang w:val="en-US" w:eastAsia="zh-CN"/>
        </w:rPr>
        <w:t xml:space="preserve"> </w:t>
      </w:r>
      <w:r>
        <w:rPr>
          <w:rFonts w:hint="default"/>
          <w:color w:val="auto"/>
          <w:lang w:val="en-US" w:eastAsia="zh-CN"/>
        </w:rPr>
        <w:t>施工便道</w:t>
      </w:r>
      <w:bookmarkEnd w:id="170"/>
      <w:bookmarkEnd w:id="171"/>
    </w:p>
    <w:p w14:paraId="0EC10675">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施工便道应根据运输荷载、使用功能、环境条件设计和施工，不得破坏原有水系、降低原有泄洪能力，并应符合下列规定</w:t>
      </w:r>
      <w:r>
        <w:rPr>
          <w:rFonts w:hint="eastAsia"/>
          <w:color w:val="auto"/>
          <w:lang w:val="en-US" w:eastAsia="zh-CN"/>
        </w:rPr>
        <w:t>：</w:t>
      </w:r>
    </w:p>
    <w:p w14:paraId="0D4F20A7">
      <w:pPr>
        <w:rPr>
          <w:rFonts w:hint="default"/>
          <w:color w:val="auto"/>
          <w:lang w:val="en-US" w:eastAsia="zh-CN"/>
        </w:rPr>
      </w:pPr>
      <w:r>
        <w:rPr>
          <w:rFonts w:hint="default"/>
          <w:color w:val="auto"/>
          <w:lang w:val="en-US" w:eastAsia="zh-CN"/>
        </w:rPr>
        <w:t>（1）双车道施工便道宽度不宜小于6.5m.</w:t>
      </w:r>
    </w:p>
    <w:p w14:paraId="15954C63">
      <w:pPr>
        <w:rPr>
          <w:rFonts w:hint="default"/>
          <w:color w:val="auto"/>
          <w:lang w:val="en-US" w:eastAsia="zh-CN"/>
        </w:rPr>
      </w:pPr>
      <w:r>
        <w:rPr>
          <w:rFonts w:hint="default"/>
          <w:color w:val="auto"/>
          <w:lang w:val="en-US" w:eastAsia="zh-CN"/>
        </w:rPr>
        <w:t>（2）单车道施工便道宽度不宜小于4.5m，并宜设置错车道，错车道应设在视野良好地段，间距不宜大于300m设置错车道路段的施工便道宽度不宜小于6.5m，有效长度不宜小于20m。</w:t>
      </w:r>
    </w:p>
    <w:p w14:paraId="59FEE8CB">
      <w:pPr>
        <w:rPr>
          <w:rFonts w:hint="default"/>
          <w:color w:val="auto"/>
          <w:lang w:val="en-US" w:eastAsia="zh-CN"/>
        </w:rPr>
      </w:pPr>
      <w:r>
        <w:rPr>
          <w:rFonts w:hint="default"/>
          <w:color w:val="auto"/>
          <w:lang w:val="en-US" w:eastAsia="zh-CN"/>
        </w:rPr>
        <w:t>（3）路拱坡度应根据路面类型和现场自然条件确定，并应大于1.5%。</w:t>
      </w:r>
    </w:p>
    <w:p w14:paraId="0ED189F9">
      <w:pPr>
        <w:rPr>
          <w:rFonts w:hint="default"/>
          <w:color w:val="auto"/>
          <w:lang w:val="en-US" w:eastAsia="zh-CN"/>
        </w:rPr>
      </w:pPr>
      <w:r>
        <w:rPr>
          <w:rFonts w:hint="default"/>
          <w:color w:val="auto"/>
          <w:lang w:val="en-US" w:eastAsia="zh-CN"/>
        </w:rPr>
        <w:t>（4）施工便道应根据需要设置排水沟和圆管涵等排水设施。</w:t>
      </w:r>
    </w:p>
    <w:p w14:paraId="151B2240">
      <w:pPr>
        <w:rPr>
          <w:rFonts w:hint="default"/>
          <w:color w:val="auto"/>
          <w:lang w:val="en-US" w:eastAsia="zh-CN"/>
        </w:rPr>
      </w:pPr>
      <w:r>
        <w:rPr>
          <w:rFonts w:hint="default"/>
          <w:color w:val="auto"/>
          <w:lang w:val="en-US" w:eastAsia="zh-CN"/>
        </w:rPr>
        <w:t>（5）陡坡、连续转弯等危险路段应进行硬化，设置警示标志，并根据需要设置防护设施。</w:t>
      </w:r>
    </w:p>
    <w:p w14:paraId="4E0115B2">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施工便道与既有道路平面交叉处设置道路警示标志，有高度限制的应设置限高架。</w:t>
      </w:r>
    </w:p>
    <w:p w14:paraId="638143D0">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施工便桥应根据使用要求和水文条件进行设计，应应设置限宽、限速、限载标志，建成后应验收。</w:t>
      </w:r>
    </w:p>
    <w:p w14:paraId="441AB263">
      <w:pPr>
        <w:pStyle w:val="4"/>
        <w:bidi w:val="0"/>
        <w:rPr>
          <w:rFonts w:hint="default"/>
          <w:color w:val="auto"/>
          <w:lang w:val="en-US" w:eastAsia="zh-CN"/>
        </w:rPr>
      </w:pPr>
      <w:bookmarkStart w:id="172" w:name="_Toc117"/>
      <w:bookmarkStart w:id="173" w:name="_Toc5075"/>
      <w:r>
        <w:rPr>
          <w:rFonts w:hint="default"/>
          <w:color w:val="auto"/>
          <w:lang w:val="en-US" w:eastAsia="zh-CN"/>
        </w:rPr>
        <w:t>6.2.3</w:t>
      </w:r>
      <w:r>
        <w:rPr>
          <w:rFonts w:hint="eastAsia"/>
          <w:color w:val="auto"/>
          <w:lang w:val="en-US" w:eastAsia="zh-CN"/>
        </w:rPr>
        <w:t xml:space="preserve"> </w:t>
      </w:r>
      <w:r>
        <w:rPr>
          <w:rFonts w:hint="default"/>
          <w:color w:val="auto"/>
          <w:lang w:val="en-US" w:eastAsia="zh-CN"/>
        </w:rPr>
        <w:t>施工临时用电</w:t>
      </w:r>
      <w:bookmarkEnd w:id="172"/>
      <w:bookmarkEnd w:id="173"/>
    </w:p>
    <w:p w14:paraId="7B5A0412">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施工现场临时用电应符合现行《施工现场临时用电安全技术规范》</w:t>
      </w:r>
      <w:r>
        <w:rPr>
          <w:rFonts w:hint="eastAsia"/>
          <w:color w:val="auto"/>
          <w:lang w:val="en-US" w:eastAsia="zh-CN"/>
        </w:rPr>
        <w:t>（</w:t>
      </w:r>
      <w:r>
        <w:rPr>
          <w:rFonts w:hint="default"/>
          <w:color w:val="auto"/>
          <w:lang w:val="en-US" w:eastAsia="zh-CN"/>
        </w:rPr>
        <w:t>JGJ46</w:t>
      </w:r>
      <w:r>
        <w:rPr>
          <w:rFonts w:hint="eastAsia"/>
          <w:color w:val="auto"/>
          <w:lang w:val="en-US" w:eastAsia="zh-CN"/>
        </w:rPr>
        <w:t>）</w:t>
      </w:r>
      <w:r>
        <w:rPr>
          <w:rFonts w:hint="default"/>
          <w:color w:val="auto"/>
          <w:lang w:val="en-US" w:eastAsia="zh-CN"/>
        </w:rPr>
        <w:t>的有关规定。</w:t>
      </w:r>
    </w:p>
    <w:p w14:paraId="3168D6B5">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施工现场临时用电工程专用的电源中性点直接接地220/380V配电系统三相四线制低压电力系统，必须符合下列规定:</w:t>
      </w:r>
    </w:p>
    <w:p w14:paraId="1774EAB7">
      <w:pPr>
        <w:rPr>
          <w:rFonts w:hint="default"/>
          <w:color w:val="auto"/>
          <w:lang w:val="en-US" w:eastAsia="zh-CN"/>
        </w:rPr>
      </w:pPr>
      <w:r>
        <w:rPr>
          <w:rFonts w:hint="default"/>
          <w:color w:val="auto"/>
          <w:lang w:val="en-US" w:eastAsia="zh-CN"/>
        </w:rPr>
        <w:t>（1）采用三级配电系统。</w:t>
      </w:r>
    </w:p>
    <w:p w14:paraId="414E2B7C">
      <w:pPr>
        <w:rPr>
          <w:rFonts w:hint="default"/>
          <w:color w:val="auto"/>
          <w:lang w:val="en-US" w:eastAsia="zh-CN"/>
        </w:rPr>
      </w:pPr>
      <w:r>
        <w:rPr>
          <w:rFonts w:hint="default"/>
          <w:color w:val="auto"/>
          <w:lang w:val="en-US" w:eastAsia="zh-CN"/>
        </w:rPr>
        <w:t>（2）采用TN-S接零保护系统。</w:t>
      </w:r>
    </w:p>
    <w:p w14:paraId="47976AA7">
      <w:pPr>
        <w:rPr>
          <w:rFonts w:hint="default"/>
          <w:color w:val="auto"/>
          <w:lang w:val="en-US" w:eastAsia="zh-CN"/>
        </w:rPr>
      </w:pPr>
      <w:r>
        <w:rPr>
          <w:rFonts w:hint="default"/>
          <w:color w:val="auto"/>
          <w:lang w:val="en-US" w:eastAsia="zh-CN"/>
        </w:rPr>
        <w:t>（3）采用二级保护系统。</w:t>
      </w:r>
    </w:p>
    <w:p w14:paraId="500A2A8A">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铺设电缆线应符合下列规定</w:t>
      </w:r>
      <w:r>
        <w:rPr>
          <w:rFonts w:hint="eastAsia"/>
          <w:color w:val="auto"/>
          <w:lang w:val="en-US" w:eastAsia="zh-CN"/>
        </w:rPr>
        <w:t>：</w:t>
      </w:r>
    </w:p>
    <w:p w14:paraId="1AC6C0AF">
      <w:pPr>
        <w:rPr>
          <w:rFonts w:hint="default"/>
          <w:color w:val="auto"/>
          <w:lang w:val="en-US" w:eastAsia="zh-CN"/>
        </w:rPr>
      </w:pPr>
      <w:r>
        <w:rPr>
          <w:rFonts w:hint="default"/>
          <w:color w:val="auto"/>
          <w:lang w:val="en-US" w:eastAsia="zh-CN"/>
        </w:rPr>
        <w:t>（1）施工现场开挖沟槽边缘与埋设电缆沟槽边缘的安全距离不得小于0.5m。</w:t>
      </w:r>
    </w:p>
    <w:p w14:paraId="51C33ACB">
      <w:pPr>
        <w:rPr>
          <w:rFonts w:hint="default"/>
          <w:color w:val="auto"/>
          <w:lang w:val="en-US" w:eastAsia="zh-CN"/>
        </w:rPr>
      </w:pPr>
      <w:r>
        <w:rPr>
          <w:rFonts w:hint="default"/>
          <w:color w:val="auto"/>
          <w:lang w:val="en-US" w:eastAsia="zh-CN"/>
        </w:rPr>
        <w:t>（2）地下埋设电缆应设防护管。</w:t>
      </w:r>
    </w:p>
    <w:p w14:paraId="3A2A9679">
      <w:pPr>
        <w:rPr>
          <w:rFonts w:hint="default"/>
          <w:color w:val="auto"/>
          <w:lang w:val="en-US" w:eastAsia="zh-CN"/>
        </w:rPr>
      </w:pPr>
      <w:r>
        <w:rPr>
          <w:rFonts w:hint="default"/>
          <w:color w:val="auto"/>
          <w:lang w:val="en-US" w:eastAsia="zh-CN"/>
        </w:rPr>
        <w:t>（3）架空铺设电缆应沿墙或电杆做绝缘固定。</w:t>
      </w:r>
    </w:p>
    <w:p w14:paraId="3A5BD138">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每台用电设备必须独立设置开关箱</w:t>
      </w:r>
      <w:r>
        <w:rPr>
          <w:rFonts w:hint="eastAsia"/>
          <w:color w:val="auto"/>
          <w:lang w:val="en-US" w:eastAsia="zh-CN"/>
        </w:rPr>
        <w:t>；</w:t>
      </w:r>
      <w:r>
        <w:rPr>
          <w:rFonts w:hint="default"/>
          <w:color w:val="auto"/>
          <w:lang w:val="en-US" w:eastAsia="zh-CN"/>
        </w:rPr>
        <w:t>开关箱必修装设离开关及短路过载、漏电保护器，严禁设置分路开关</w:t>
      </w:r>
      <w:r>
        <w:rPr>
          <w:rFonts w:hint="eastAsia"/>
          <w:color w:val="auto"/>
          <w:lang w:val="en-US" w:eastAsia="zh-CN"/>
        </w:rPr>
        <w:t>；</w:t>
      </w:r>
      <w:r>
        <w:rPr>
          <w:rFonts w:hint="default"/>
          <w:color w:val="auto"/>
          <w:lang w:val="en-US" w:eastAsia="zh-CN"/>
        </w:rPr>
        <w:t>配电箱、开关箱的电源进线端严禁插头和插座做活动连接。</w:t>
      </w:r>
    </w:p>
    <w:p w14:paraId="618F19F8">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配电箱及开关箱设置应符合下列规定:</w:t>
      </w:r>
    </w:p>
    <w:p w14:paraId="44E2C0E0">
      <w:pPr>
        <w:rPr>
          <w:rFonts w:hint="default"/>
          <w:color w:val="auto"/>
          <w:lang w:val="en-US" w:eastAsia="zh-CN"/>
        </w:rPr>
      </w:pPr>
      <w:r>
        <w:rPr>
          <w:rFonts w:hint="default"/>
          <w:color w:val="auto"/>
          <w:lang w:val="en-US" w:eastAsia="zh-CN"/>
        </w:rPr>
        <w:t>（1）总配电箱应设在靠近电源的区域；分配电箱应设在用电设备或负荷相对集中地区域；开关箱与分配电箱的距离不得大于30m，开关箱应靠近用电设备，与其控制的固定式用电设备水平距离不宜大于3m。</w:t>
      </w:r>
    </w:p>
    <w:p w14:paraId="0FF9EB77">
      <w:pPr>
        <w:rPr>
          <w:rFonts w:hint="default"/>
          <w:color w:val="auto"/>
          <w:lang w:val="en-US" w:eastAsia="zh-CN"/>
        </w:rPr>
      </w:pPr>
      <w:r>
        <w:rPr>
          <w:rFonts w:hint="default"/>
          <w:color w:val="auto"/>
          <w:lang w:val="en-US" w:eastAsia="zh-CN"/>
        </w:rPr>
        <w:t>（2）动力配电箱与照明配电箱宜分别设置。合并设置的配电箱，动力和照明应分路设置。</w:t>
      </w:r>
    </w:p>
    <w:p w14:paraId="393B2825">
      <w:pPr>
        <w:rPr>
          <w:rFonts w:hint="default"/>
          <w:color w:val="auto"/>
          <w:lang w:val="en-US" w:eastAsia="zh-CN"/>
        </w:rPr>
      </w:pPr>
      <w:r>
        <w:rPr>
          <w:rFonts w:hint="default"/>
          <w:color w:val="auto"/>
          <w:lang w:val="en-US" w:eastAsia="zh-CN"/>
        </w:rPr>
        <w:t>（3）配电箱、开关箱应装设在千燥、通风及常温场所，不得装设在存在瓦斯烟气、潮气及其他有害物质。</w:t>
      </w:r>
    </w:p>
    <w:p w14:paraId="17134E8E">
      <w:pPr>
        <w:rPr>
          <w:rFonts w:hint="default"/>
          <w:color w:val="auto"/>
          <w:lang w:val="en-US" w:eastAsia="zh-CN"/>
        </w:rPr>
      </w:pPr>
      <w:r>
        <w:rPr>
          <w:rFonts w:hint="default"/>
          <w:color w:val="auto"/>
          <w:lang w:val="en-US" w:eastAsia="zh-CN"/>
        </w:rPr>
        <w:t>（4）配电箱、开关箱应选用专业厂家定型、合格产品。</w:t>
      </w:r>
    </w:p>
    <w:p w14:paraId="107AFD53">
      <w:pPr>
        <w:rPr>
          <w:rFonts w:hint="default"/>
          <w:color w:val="auto"/>
          <w:lang w:val="en-US" w:eastAsia="zh-CN"/>
        </w:rPr>
      </w:pPr>
      <w:r>
        <w:rPr>
          <w:rFonts w:hint="default"/>
          <w:color w:val="auto"/>
          <w:lang w:val="en-US" w:eastAsia="zh-CN"/>
        </w:rPr>
        <w:t>（5）总配电箱中漏电保护器的额定漏电动作电流应大于30mA，额定漏电动作时间应大于0.1s，额定漏电动作电流与额定电动作时间的乘积不得大于30mA·s。开关箱中漏电保护器的额定漏电动作电流不得大于30mA，额定漏电动作时间不应大于0.1s。潮湿或有腐蚀介质场所的漏电保护器应采用防溅型产品，额定漏电动作电流不得大于15mA，额定漏电动作时间不得大于0.1s。</w:t>
      </w:r>
    </w:p>
    <w:p w14:paraId="7B579889">
      <w:pPr>
        <w:rPr>
          <w:rFonts w:hint="default"/>
          <w:color w:val="auto"/>
          <w:lang w:val="en-US" w:eastAsia="zh-CN"/>
        </w:rPr>
      </w:pPr>
      <w:r>
        <w:rPr>
          <w:rFonts w:hint="default"/>
          <w:color w:val="auto"/>
          <w:lang w:val="en-US" w:eastAsia="zh-CN"/>
        </w:rPr>
        <w:t>（6）配电箱、开关箱应装设端正、牢固。固定式配电箱、开关箱的中心点与地面的垂直距离应为1.4~1.6m。移动式配电箱、开关箱应装设在坚固、稳定的支架上，其中心点与地面的垂直距离应为0.8~1.6m。</w:t>
      </w:r>
    </w:p>
    <w:p w14:paraId="7563AEA7">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遇有临时停电、停工、检修或移动电气设备时，应关闭电源。</w:t>
      </w:r>
    </w:p>
    <w:p w14:paraId="3C5322BC">
      <w:pPr>
        <w:pStyle w:val="4"/>
        <w:bidi w:val="0"/>
        <w:rPr>
          <w:rFonts w:hint="default"/>
          <w:color w:val="auto"/>
          <w:lang w:val="en-US" w:eastAsia="zh-CN"/>
        </w:rPr>
      </w:pPr>
      <w:bookmarkStart w:id="174" w:name="_Toc21117"/>
      <w:bookmarkStart w:id="175" w:name="_Toc24373"/>
      <w:r>
        <w:rPr>
          <w:rFonts w:hint="default"/>
          <w:color w:val="auto"/>
          <w:lang w:val="en-US" w:eastAsia="zh-CN"/>
        </w:rPr>
        <w:t>6.2.4</w:t>
      </w:r>
      <w:r>
        <w:rPr>
          <w:rFonts w:hint="eastAsia"/>
          <w:color w:val="auto"/>
          <w:lang w:val="en-US" w:eastAsia="zh-CN"/>
        </w:rPr>
        <w:t xml:space="preserve"> </w:t>
      </w:r>
      <w:r>
        <w:rPr>
          <w:rFonts w:hint="default"/>
          <w:color w:val="auto"/>
          <w:lang w:val="en-US" w:eastAsia="zh-CN"/>
        </w:rPr>
        <w:t>施工机械设备</w:t>
      </w:r>
      <w:bookmarkEnd w:id="174"/>
      <w:bookmarkEnd w:id="175"/>
    </w:p>
    <w:p w14:paraId="4019E938">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应制定施工机械设备安全技术操作规程，建立设备安全技术档案。</w:t>
      </w:r>
    </w:p>
    <w:p w14:paraId="61DB2237">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施工机械设备进场前应查验机械设备证件、性能、状况；进场后，应向操作人员进行安全技术交底。</w:t>
      </w:r>
    </w:p>
    <w:p w14:paraId="016E3592">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特种设备现场安装、拆除应按相关规定具有相应作业资质。</w:t>
      </w:r>
    </w:p>
    <w:p w14:paraId="36830CA5">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机械设备集中停放的场所应设置消防通道，并应配备消防器材。</w:t>
      </w:r>
    </w:p>
    <w:p w14:paraId="6FA257E1">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施工现场专用机动车辆驾驶人员应按相关规定经过专门培训，并取得相应资格证书。</w:t>
      </w:r>
    </w:p>
    <w:p w14:paraId="068B658D">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施工现场运输车辆应状态良好，车身应设置反光警示标识。</w:t>
      </w:r>
    </w:p>
    <w:p w14:paraId="1C025070">
      <w:pPr>
        <w:pStyle w:val="4"/>
        <w:bidi w:val="0"/>
        <w:rPr>
          <w:rFonts w:hint="default"/>
          <w:color w:val="auto"/>
          <w:lang w:val="en-US" w:eastAsia="zh-CN"/>
        </w:rPr>
      </w:pPr>
      <w:bookmarkStart w:id="176" w:name="_Toc10425"/>
      <w:bookmarkStart w:id="177" w:name="_Toc22165"/>
      <w:r>
        <w:rPr>
          <w:rFonts w:hint="default"/>
          <w:color w:val="auto"/>
          <w:lang w:val="en-US" w:eastAsia="zh-CN"/>
        </w:rPr>
        <w:t>6.2.5</w:t>
      </w:r>
      <w:r>
        <w:rPr>
          <w:rFonts w:hint="eastAsia"/>
          <w:color w:val="auto"/>
          <w:lang w:val="en-US" w:eastAsia="zh-CN"/>
        </w:rPr>
        <w:t xml:space="preserve"> </w:t>
      </w:r>
      <w:r>
        <w:rPr>
          <w:rFonts w:hint="default"/>
          <w:color w:val="auto"/>
          <w:lang w:val="en-US" w:eastAsia="zh-CN"/>
        </w:rPr>
        <w:t>施工作业</w:t>
      </w:r>
      <w:bookmarkEnd w:id="176"/>
      <w:bookmarkEnd w:id="177"/>
    </w:p>
    <w:p w14:paraId="62EC14D9">
      <w:pPr>
        <w:rPr>
          <w:rFonts w:hint="default"/>
          <w:color w:val="auto"/>
          <w:lang w:val="en-US" w:eastAsia="zh-CN"/>
        </w:rPr>
      </w:pPr>
      <w:r>
        <w:rPr>
          <w:rFonts w:hint="default"/>
          <w:color w:val="auto"/>
          <w:lang w:val="en-US" w:eastAsia="zh-CN"/>
        </w:rPr>
        <w:t>一、测量作业</w:t>
      </w:r>
    </w:p>
    <w:p w14:paraId="2A019949">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不中断交通道路上测量，应设置交通安全标志，并应设专人指挥或警戒。测量人员应穿反光标志服。</w:t>
      </w:r>
    </w:p>
    <w:p w14:paraId="4B43755A">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夜间测量照明应满足作业要求，测量人员应穿反光标志服。</w:t>
      </w:r>
    </w:p>
    <w:p w14:paraId="3AB3C024">
      <w:pPr>
        <w:rPr>
          <w:rFonts w:hint="default"/>
          <w:color w:val="auto"/>
          <w:lang w:val="en-US" w:eastAsia="zh-CN"/>
        </w:rPr>
      </w:pPr>
      <w:r>
        <w:rPr>
          <w:rFonts w:hint="eastAsia"/>
          <w:color w:val="auto"/>
          <w:lang w:val="en-US" w:eastAsia="zh-CN"/>
        </w:rPr>
        <w:t>二</w:t>
      </w:r>
      <w:r>
        <w:rPr>
          <w:rFonts w:hint="default"/>
          <w:color w:val="auto"/>
          <w:lang w:val="en-US" w:eastAsia="zh-CN"/>
        </w:rPr>
        <w:t>、路基工程</w:t>
      </w:r>
    </w:p>
    <w:p w14:paraId="3F8D053A">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路基施工前应掌握影响范围内地下埋设的各种管线情况，制定安全措施。施工中发现危险品及其他可疑物品时，应立即停止施工，按照规定报请有关部门处理。</w:t>
      </w:r>
    </w:p>
    <w:p w14:paraId="7937CC85">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路基施工应做好施工期临时排水设施总体规划，临时排水设施应与永久性排水设施综合考虑，并与工程影响范围内的自然排水系统相协调。</w:t>
      </w:r>
    </w:p>
    <w:p w14:paraId="65D2660E">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机械作业范围内不得同时进行人工作业。</w:t>
      </w:r>
    </w:p>
    <w:p w14:paraId="411DD3E7">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施工机械设备不宜在坡度大的边坡区域作业，必要时应采取防止设备倾覆的措施。</w:t>
      </w:r>
    </w:p>
    <w:p w14:paraId="775EE0EA">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多台机械同时作业时，各机械之间应保持安全距离。</w:t>
      </w:r>
    </w:p>
    <w:p w14:paraId="111C578C">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路基边坡、边沟、基坑边缘地段上作业的机械应采取防止机械倾覆、基坑坍塌的安全措施。</w:t>
      </w:r>
    </w:p>
    <w:p w14:paraId="392B49D1">
      <w:pPr>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弃方除应符合现行《公路路基施工技术规范》(JTG F10)的有关规定外，尚应符合下列规定:</w:t>
      </w:r>
    </w:p>
    <w:p w14:paraId="47ABAAF5">
      <w:pPr>
        <w:rPr>
          <w:rFonts w:hint="default"/>
          <w:color w:val="auto"/>
          <w:lang w:val="en-US" w:eastAsia="zh-CN"/>
        </w:rPr>
      </w:pPr>
      <w:r>
        <w:rPr>
          <w:rFonts w:hint="default"/>
          <w:color w:val="auto"/>
          <w:lang w:val="en-US" w:eastAsia="zh-CN"/>
        </w:rPr>
        <w:t>（1）施工前，应现场核实弃土场的具体情况，弃土场四周应设立警示标志。</w:t>
      </w:r>
    </w:p>
    <w:p w14:paraId="0F60D2B1">
      <w:pPr>
        <w:rPr>
          <w:rFonts w:hint="default"/>
          <w:color w:val="auto"/>
          <w:lang w:val="en-US" w:eastAsia="zh-CN"/>
        </w:rPr>
      </w:pPr>
      <w:r>
        <w:rPr>
          <w:rFonts w:hint="default"/>
          <w:color w:val="auto"/>
          <w:lang w:val="en-US" w:eastAsia="zh-CN"/>
        </w:rPr>
        <w:t>（2）弃方不得影响排洪，不得加剧河岸冲刷。水库、湖泊、岩溶漏斗及暗河口处不得弃方。桥墩台、涵洞口处不得弃方。</w:t>
      </w:r>
    </w:p>
    <w:p w14:paraId="246C5755">
      <w:pPr>
        <w:rPr>
          <w:rFonts w:hint="default"/>
          <w:color w:val="auto"/>
          <w:lang w:val="en-US" w:eastAsia="zh-CN"/>
        </w:rPr>
      </w:pPr>
      <w:r>
        <w:rPr>
          <w:rFonts w:hint="default"/>
          <w:color w:val="auto"/>
          <w:lang w:val="en-US" w:eastAsia="zh-CN"/>
        </w:rPr>
        <w:t>（3）弃方作业应遵循“先支护、后弃土”的原则。</w:t>
      </w:r>
    </w:p>
    <w:p w14:paraId="4381E811">
      <w:pPr>
        <w:rPr>
          <w:rFonts w:hint="default"/>
          <w:color w:val="auto"/>
          <w:lang w:val="en-US" w:eastAsia="zh-CN"/>
        </w:rPr>
      </w:pPr>
      <w:r>
        <w:rPr>
          <w:rFonts w:hint="eastAsia"/>
          <w:color w:val="auto"/>
          <w:lang w:val="en-US" w:eastAsia="zh-CN"/>
        </w:rPr>
        <w:t>三</w:t>
      </w:r>
      <w:r>
        <w:rPr>
          <w:rFonts w:hint="default"/>
          <w:color w:val="auto"/>
          <w:lang w:val="en-US" w:eastAsia="zh-CN"/>
        </w:rPr>
        <w:t>、路面工程</w:t>
      </w:r>
    </w:p>
    <w:p w14:paraId="30BF4D0A">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施工中，运输车、滑模摊铺机、轨道摊铺机、沥青摊铺机等大型机械设备及其辅助机械(具)操作手不得擅自离开操作台。</w:t>
      </w:r>
    </w:p>
    <w:p w14:paraId="02ADBC87">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施工现场出入口、沿线各交叉口等处应设明显警示、警告标志，并应设专人指挥。</w:t>
      </w:r>
    </w:p>
    <w:p w14:paraId="1DDA9F81">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机械设备停放位置应平整，周围应设置明显的警示标志，夜间应设警示灯。</w:t>
      </w:r>
    </w:p>
    <w:p w14:paraId="6FB9DFF6">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开挖下承层沟槽或施作伸缩缝应设置明显的安全警示标志，</w:t>
      </w:r>
    </w:p>
    <w:p w14:paraId="646F3BA0">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夜间施工，现场作业人员应身穿反光服，路口、危险路段和桥头引道应设置警示灯或反光标志，施工设备均应有照明设备和明显的警示标志，照明应满足夜间施工要求。</w:t>
      </w:r>
    </w:p>
    <w:p w14:paraId="36328329">
      <w:pPr>
        <w:rPr>
          <w:rFonts w:hint="default"/>
          <w:color w:val="auto"/>
          <w:lang w:val="en-US" w:eastAsia="zh-CN"/>
        </w:rPr>
      </w:pPr>
      <w:r>
        <w:rPr>
          <w:rFonts w:hint="eastAsia"/>
          <w:color w:val="auto"/>
          <w:lang w:val="en-US" w:eastAsia="zh-CN"/>
        </w:rPr>
        <w:t>四</w:t>
      </w:r>
      <w:r>
        <w:rPr>
          <w:rFonts w:hint="default"/>
          <w:color w:val="auto"/>
          <w:lang w:val="en-US" w:eastAsia="zh-CN"/>
        </w:rPr>
        <w:t>、基层与</w:t>
      </w:r>
      <w:r>
        <w:rPr>
          <w:rFonts w:hint="eastAsia"/>
          <w:color w:val="auto"/>
          <w:lang w:val="en-US" w:eastAsia="zh-CN"/>
        </w:rPr>
        <w:t>垫</w:t>
      </w:r>
      <w:r>
        <w:rPr>
          <w:rFonts w:hint="default"/>
          <w:color w:val="auto"/>
          <w:lang w:val="en-US" w:eastAsia="zh-CN"/>
        </w:rPr>
        <w:t>层</w:t>
      </w:r>
    </w:p>
    <w:p w14:paraId="348CEABF">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整平和摊铺作业应临时封闭交通、设明显警示标志，辅助作业人员应面向压路机方向作业，设备之间应保持安全距离。</w:t>
      </w:r>
    </w:p>
    <w:p w14:paraId="2FCAF9C0">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碾压作业应符合下列规定</w:t>
      </w:r>
      <w:r>
        <w:rPr>
          <w:rFonts w:hint="eastAsia"/>
          <w:color w:val="auto"/>
          <w:lang w:val="en-US" w:eastAsia="zh-CN"/>
        </w:rPr>
        <w:t>：</w:t>
      </w:r>
    </w:p>
    <w:p w14:paraId="78B8D710">
      <w:pPr>
        <w:rPr>
          <w:rFonts w:hint="default"/>
          <w:color w:val="auto"/>
          <w:lang w:val="en-US" w:eastAsia="zh-CN"/>
        </w:rPr>
      </w:pPr>
      <w:r>
        <w:rPr>
          <w:rFonts w:hint="default"/>
          <w:color w:val="auto"/>
          <w:lang w:val="en-US" w:eastAsia="zh-CN"/>
        </w:rPr>
        <w:t>（1）多台压路机同时作业时，各机械之间应保持安全距离。</w:t>
      </w:r>
    </w:p>
    <w:p w14:paraId="00938DC1">
      <w:pPr>
        <w:rPr>
          <w:rFonts w:hint="default"/>
          <w:color w:val="auto"/>
          <w:lang w:val="en-US" w:eastAsia="zh-CN"/>
        </w:rPr>
      </w:pPr>
      <w:r>
        <w:rPr>
          <w:rFonts w:hint="default"/>
          <w:color w:val="auto"/>
          <w:lang w:val="en-US" w:eastAsia="zh-CN"/>
        </w:rPr>
        <w:t>（2）作业人员应在行驶机械后方清除轮上黏附物。</w:t>
      </w:r>
    </w:p>
    <w:p w14:paraId="30698640">
      <w:pPr>
        <w:rPr>
          <w:rFonts w:hint="default"/>
          <w:color w:val="auto"/>
          <w:lang w:val="en-US" w:eastAsia="zh-CN"/>
        </w:rPr>
      </w:pPr>
      <w:r>
        <w:rPr>
          <w:rFonts w:hint="default"/>
          <w:color w:val="auto"/>
          <w:lang w:val="en-US" w:eastAsia="zh-CN"/>
        </w:rPr>
        <w:t>（3）碾压区内人员不得进人，确需人员进入的应安排专人监护。</w:t>
      </w:r>
    </w:p>
    <w:p w14:paraId="22661E8B">
      <w:pPr>
        <w:rPr>
          <w:rFonts w:hint="default"/>
          <w:color w:val="auto"/>
          <w:lang w:val="en-US" w:eastAsia="zh-CN"/>
        </w:rPr>
      </w:pPr>
      <w:r>
        <w:rPr>
          <w:rFonts w:hint="eastAsia"/>
          <w:color w:val="auto"/>
          <w:lang w:val="en-US" w:eastAsia="zh-CN"/>
        </w:rPr>
        <w:t>五</w:t>
      </w:r>
      <w:r>
        <w:rPr>
          <w:rFonts w:hint="default"/>
          <w:color w:val="auto"/>
          <w:lang w:val="en-US" w:eastAsia="zh-CN"/>
        </w:rPr>
        <w:t>、沥青面层</w:t>
      </w:r>
    </w:p>
    <w:p w14:paraId="0C5C57CE">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封层、透层、黏层施工应符合下列规定</w:t>
      </w:r>
      <w:r>
        <w:rPr>
          <w:rFonts w:hint="eastAsia"/>
          <w:color w:val="auto"/>
          <w:lang w:val="en-US" w:eastAsia="zh-CN"/>
        </w:rPr>
        <w:t>：</w:t>
      </w:r>
    </w:p>
    <w:p w14:paraId="26AED71F">
      <w:pPr>
        <w:rPr>
          <w:rFonts w:hint="default"/>
          <w:color w:val="auto"/>
          <w:lang w:val="en-US" w:eastAsia="zh-CN"/>
        </w:rPr>
      </w:pPr>
      <w:r>
        <w:rPr>
          <w:rFonts w:hint="default"/>
          <w:color w:val="auto"/>
          <w:lang w:val="en-US" w:eastAsia="zh-CN"/>
        </w:rPr>
        <w:t>（1）喷洒前应做好检查井、雨水口的安全防护。</w:t>
      </w:r>
    </w:p>
    <w:p w14:paraId="693B2A8D">
      <w:pPr>
        <w:rPr>
          <w:rFonts w:hint="default"/>
          <w:color w:val="auto"/>
          <w:lang w:val="en-US" w:eastAsia="zh-CN"/>
        </w:rPr>
      </w:pPr>
      <w:r>
        <w:rPr>
          <w:rFonts w:hint="default"/>
          <w:color w:val="auto"/>
          <w:lang w:val="en-US" w:eastAsia="zh-CN"/>
        </w:rPr>
        <w:t>（2）洒布车行驶中不得使用加热系统。洒布地段不得使用明火。</w:t>
      </w:r>
    </w:p>
    <w:p w14:paraId="1ABD7ECA">
      <w:pPr>
        <w:rPr>
          <w:rFonts w:hint="default"/>
          <w:color w:val="auto"/>
          <w:lang w:val="en-US" w:eastAsia="zh-CN"/>
        </w:rPr>
      </w:pPr>
      <w:r>
        <w:rPr>
          <w:rFonts w:hint="default"/>
          <w:color w:val="auto"/>
          <w:lang w:val="en-US" w:eastAsia="zh-CN"/>
        </w:rPr>
        <w:t>（3）小型机具洒布沥青时，喷头不得朝上，喷头10m范围不得站人，不得逆风作业。</w:t>
      </w:r>
    </w:p>
    <w:p w14:paraId="0B4F63B7">
      <w:pPr>
        <w:rPr>
          <w:rFonts w:hint="default"/>
          <w:color w:val="auto"/>
          <w:lang w:val="en-US" w:eastAsia="zh-CN"/>
        </w:rPr>
      </w:pPr>
      <w:r>
        <w:rPr>
          <w:rFonts w:hint="default"/>
          <w:color w:val="auto"/>
          <w:lang w:val="en-US" w:eastAsia="zh-CN"/>
        </w:rPr>
        <w:t>（4）大风天气，不得喷洒沥青。</w:t>
      </w:r>
    </w:p>
    <w:p w14:paraId="1A9B1467">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沥青储存地点应配备灭火器、消防砂等消防设施，并应设置警示标志。</w:t>
      </w:r>
    </w:p>
    <w:p w14:paraId="3125D5B9">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沥青脱桶、导热油加热沥青作业应采取防火、防烫伤措施。</w:t>
      </w:r>
    </w:p>
    <w:p w14:paraId="5FA611AE">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沥青混合料拌和作业应符合《建设工程施工现场消防安全技术规范》第7.2.2条规定。</w:t>
      </w:r>
    </w:p>
    <w:p w14:paraId="30D31ADD">
      <w:pPr>
        <w:pStyle w:val="3"/>
        <w:bidi w:val="0"/>
        <w:rPr>
          <w:rFonts w:hint="default"/>
          <w:color w:val="auto"/>
          <w:lang w:val="en-US" w:eastAsia="zh-CN"/>
        </w:rPr>
      </w:pPr>
      <w:bookmarkStart w:id="178" w:name="_Toc31056"/>
      <w:bookmarkStart w:id="179" w:name="_Toc14393"/>
      <w:r>
        <w:rPr>
          <w:rFonts w:hint="default"/>
          <w:color w:val="auto"/>
          <w:lang w:val="en-US" w:eastAsia="zh-CN"/>
        </w:rPr>
        <w:t>6.3</w:t>
      </w:r>
      <w:r>
        <w:rPr>
          <w:rFonts w:hint="eastAsia"/>
          <w:color w:val="auto"/>
          <w:lang w:val="en-US" w:eastAsia="zh-CN"/>
        </w:rPr>
        <w:t xml:space="preserve"> </w:t>
      </w:r>
      <w:r>
        <w:rPr>
          <w:rFonts w:hint="default"/>
          <w:color w:val="auto"/>
          <w:lang w:val="en-US" w:eastAsia="zh-CN"/>
        </w:rPr>
        <w:t>安全管理对策措施</w:t>
      </w:r>
      <w:bookmarkEnd w:id="178"/>
      <w:bookmarkEnd w:id="179"/>
    </w:p>
    <w:p w14:paraId="53BC62B3">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根据安全措施要求和现场实际情况，各级管理人员需要亲自逐级进行书面交底。安全技术交底必须由各施工队或班组签字认可。</w:t>
      </w:r>
    </w:p>
    <w:p w14:paraId="1876CE90">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每天施工前专业责任工程师和区域责任施工员必须督促与检查各施工队及专业班组安全防护措施是否进行了检查。</w:t>
      </w:r>
    </w:p>
    <w:p w14:paraId="2E721431">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项目部每周一组织全体工人进行安全教育，对上一周安全方面存在的问题进行总结，对本周的安全重点和注意事项做进行交底。</w:t>
      </w:r>
    </w:p>
    <w:p w14:paraId="02417662">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特殊工种必须持有上岗操作证，严禁无证上岗。</w:t>
      </w:r>
    </w:p>
    <w:p w14:paraId="0C425E94">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凡不经验收的机械设备一律不得投入使用。使用中的大型设备下班后必须拉闸断电，专用闸箱上锁保护。</w:t>
      </w:r>
    </w:p>
    <w:p w14:paraId="5D8C4FC4">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落实安全</w:t>
      </w:r>
      <w:r>
        <w:rPr>
          <w:rFonts w:hint="eastAsia"/>
          <w:color w:val="auto"/>
          <w:lang w:val="en-US" w:eastAsia="zh-CN"/>
        </w:rPr>
        <w:t>“</w:t>
      </w:r>
      <w:r>
        <w:rPr>
          <w:rFonts w:hint="default"/>
          <w:color w:val="auto"/>
          <w:lang w:val="en-US" w:eastAsia="zh-CN"/>
        </w:rPr>
        <w:t>一把手</w:t>
      </w:r>
      <w:r>
        <w:rPr>
          <w:rFonts w:hint="eastAsia"/>
          <w:color w:val="auto"/>
          <w:lang w:val="en-US" w:eastAsia="zh-CN"/>
        </w:rPr>
        <w:t>”</w:t>
      </w:r>
      <w:r>
        <w:rPr>
          <w:rFonts w:hint="default"/>
          <w:color w:val="auto"/>
          <w:lang w:val="en-US" w:eastAsia="zh-CN"/>
        </w:rPr>
        <w:t>负责制。施工队和各专业班组设专职与兼职安全员负责现场的综合管理，做到安全生产常抓不懈，一抓到底。</w:t>
      </w:r>
    </w:p>
    <w:p w14:paraId="5C763DDA">
      <w:pPr>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成立安全生产领导机构，现场设专职安全员和保安人员。以上人员都应经过培训和考核，获得相应的证书并具有较丰富的经验。工地安全员有权发布指令并采取保护措施以防止事故发生。</w:t>
      </w:r>
    </w:p>
    <w:p w14:paraId="7F00CA08">
      <w:pPr>
        <w:rPr>
          <w:rFonts w:hint="default"/>
          <w:color w:val="auto"/>
          <w:lang w:val="en-US" w:eastAsia="zh-CN"/>
        </w:rPr>
      </w:pPr>
      <w:r>
        <w:rPr>
          <w:rFonts w:hint="default"/>
          <w:color w:val="auto"/>
          <w:lang w:val="en-US" w:eastAsia="zh-CN"/>
        </w:rPr>
        <w:t>8</w:t>
      </w:r>
      <w:r>
        <w:rPr>
          <w:rFonts w:hint="eastAsia"/>
          <w:color w:val="auto"/>
          <w:lang w:val="en-US" w:eastAsia="zh-CN"/>
        </w:rPr>
        <w:t xml:space="preserve">. </w:t>
      </w:r>
      <w:r>
        <w:rPr>
          <w:rFonts w:hint="default"/>
          <w:color w:val="auto"/>
          <w:lang w:val="en-US" w:eastAsia="zh-CN"/>
        </w:rPr>
        <w:t>队伍进场及时进行三级教育，针对工程施工各阶段特点，切实做好同步安全教育，提高职工整体安全意识。明确岗位职责。</w:t>
      </w:r>
    </w:p>
    <w:p w14:paraId="0D602DCC">
      <w:pPr>
        <w:pStyle w:val="3"/>
        <w:bidi w:val="0"/>
        <w:rPr>
          <w:rFonts w:hint="default"/>
          <w:color w:val="auto"/>
          <w:lang w:val="en-US" w:eastAsia="zh-CN"/>
        </w:rPr>
      </w:pPr>
      <w:bookmarkStart w:id="180" w:name="_Toc11661"/>
      <w:bookmarkStart w:id="181" w:name="_Toc30266"/>
      <w:r>
        <w:rPr>
          <w:rFonts w:hint="default"/>
          <w:color w:val="auto"/>
          <w:lang w:val="en-US" w:eastAsia="zh-CN"/>
        </w:rPr>
        <w:t>6.4</w:t>
      </w:r>
      <w:r>
        <w:rPr>
          <w:rFonts w:hint="eastAsia"/>
          <w:color w:val="auto"/>
          <w:lang w:val="en-US" w:eastAsia="zh-CN"/>
        </w:rPr>
        <w:t xml:space="preserve"> </w:t>
      </w:r>
      <w:r>
        <w:rPr>
          <w:rFonts w:hint="default"/>
          <w:color w:val="auto"/>
          <w:lang w:val="en-US" w:eastAsia="zh-CN"/>
        </w:rPr>
        <w:t>安全防护措施</w:t>
      </w:r>
      <w:bookmarkEnd w:id="180"/>
      <w:bookmarkEnd w:id="181"/>
    </w:p>
    <w:p w14:paraId="53E0F1F6">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与路政部门配合，确保交通安全。主动与政府、公路交通主管部门、建设单位等部门共同制订在施工期间保护公路设施，维护交通安全畅通协议，接受公路、交通、社会和政府部门的监督。</w:t>
      </w:r>
    </w:p>
    <w:p w14:paraId="63273F8D">
      <w:pPr>
        <w:rPr>
          <w:rFonts w:hint="default"/>
          <w:color w:val="auto"/>
          <w:lang w:val="en-US" w:eastAsia="zh-CN"/>
        </w:rPr>
      </w:pPr>
      <w:r>
        <w:rPr>
          <w:rFonts w:hint="default"/>
          <w:color w:val="auto"/>
          <w:lang w:val="en-US" w:eastAsia="zh-CN"/>
        </w:rPr>
        <w:t>（1）设专职交通员以便及时与路政部门联系。</w:t>
      </w:r>
      <w:r>
        <w:rPr>
          <w:rFonts w:hint="default"/>
          <w:color w:val="auto"/>
          <w:lang w:val="en-US" w:eastAsia="zh-CN"/>
        </w:rPr>
        <w:tab/>
      </w:r>
    </w:p>
    <w:p w14:paraId="5993F2CE">
      <w:pPr>
        <w:rPr>
          <w:rFonts w:hint="default"/>
          <w:color w:val="auto"/>
          <w:lang w:val="en-US" w:eastAsia="zh-CN"/>
        </w:rPr>
      </w:pPr>
      <w:r>
        <w:rPr>
          <w:rFonts w:hint="default"/>
          <w:color w:val="auto"/>
          <w:lang w:val="en-US" w:eastAsia="zh-CN"/>
        </w:rPr>
        <w:t>（2）施工期间安排专人进行交通疏导。</w:t>
      </w:r>
    </w:p>
    <w:p w14:paraId="3543945A">
      <w:pPr>
        <w:rPr>
          <w:rFonts w:hint="default"/>
          <w:color w:val="auto"/>
          <w:lang w:val="en-US" w:eastAsia="zh-CN"/>
        </w:rPr>
      </w:pPr>
      <w:r>
        <w:rPr>
          <w:rFonts w:hint="default"/>
          <w:color w:val="auto"/>
          <w:lang w:val="en-US" w:eastAsia="zh-CN"/>
        </w:rPr>
        <w:t>（3）保证路面的整洁，确保不产生施工扬尘。</w:t>
      </w:r>
    </w:p>
    <w:p w14:paraId="09A1888A">
      <w:pPr>
        <w:rPr>
          <w:rFonts w:hint="default"/>
          <w:color w:val="auto"/>
          <w:lang w:val="en-US" w:eastAsia="zh-CN"/>
        </w:rPr>
      </w:pPr>
      <w:r>
        <w:rPr>
          <w:rFonts w:hint="default"/>
          <w:color w:val="auto"/>
          <w:lang w:val="en-US" w:eastAsia="zh-CN"/>
        </w:rPr>
        <w:t>（4）成立安监部专门进行交通管理。</w:t>
      </w:r>
    </w:p>
    <w:p w14:paraId="481BC0D8">
      <w:pPr>
        <w:rPr>
          <w:rFonts w:hint="default"/>
          <w:color w:val="auto"/>
          <w:lang w:val="en-US" w:eastAsia="zh-CN"/>
        </w:rPr>
      </w:pPr>
      <w:r>
        <w:rPr>
          <w:rFonts w:hint="default"/>
          <w:color w:val="auto"/>
          <w:lang w:val="en-US" w:eastAsia="zh-CN"/>
        </w:rPr>
        <w:t>（5）按国家标准挂设标志、标牌。</w:t>
      </w:r>
    </w:p>
    <w:p w14:paraId="5502B5E7">
      <w:pPr>
        <w:rPr>
          <w:rFonts w:hint="default"/>
          <w:color w:val="auto"/>
          <w:lang w:val="en-US" w:eastAsia="zh-CN"/>
        </w:rPr>
      </w:pPr>
      <w:r>
        <w:rPr>
          <w:rFonts w:hint="default"/>
          <w:color w:val="auto"/>
          <w:lang w:val="en-US" w:eastAsia="zh-CN"/>
        </w:rPr>
        <w:t>（6）交叉路口的围护设置圆顺。</w:t>
      </w:r>
    </w:p>
    <w:p w14:paraId="55ED745B">
      <w:pPr>
        <w:rPr>
          <w:rFonts w:hint="default"/>
          <w:color w:val="auto"/>
          <w:lang w:val="en-US" w:eastAsia="zh-CN"/>
        </w:rPr>
      </w:pPr>
      <w:r>
        <w:rPr>
          <w:rFonts w:hint="default"/>
          <w:color w:val="auto"/>
          <w:lang w:val="en-US" w:eastAsia="zh-CN"/>
        </w:rPr>
        <w:t>（7）通行车道不堆放材料。</w:t>
      </w:r>
    </w:p>
    <w:p w14:paraId="30BE60FA">
      <w:pPr>
        <w:rPr>
          <w:rFonts w:hint="default"/>
          <w:color w:val="auto"/>
          <w:lang w:val="en-US" w:eastAsia="zh-CN"/>
        </w:rPr>
      </w:pPr>
      <w:r>
        <w:rPr>
          <w:rFonts w:hint="default"/>
          <w:color w:val="auto"/>
          <w:lang w:val="en-US" w:eastAsia="zh-CN"/>
        </w:rPr>
        <w:t>（8）施工时，如遇到特殊情况，需经交警同意后方可进行变动交通。</w:t>
      </w:r>
    </w:p>
    <w:p w14:paraId="14FD4C00">
      <w:pPr>
        <w:rPr>
          <w:rFonts w:hint="default"/>
          <w:color w:val="auto"/>
          <w:lang w:val="en-US" w:eastAsia="zh-CN"/>
        </w:rPr>
      </w:pPr>
      <w:r>
        <w:rPr>
          <w:rFonts w:hint="default"/>
          <w:color w:val="auto"/>
          <w:lang w:val="en-US" w:eastAsia="zh-CN"/>
        </w:rPr>
        <w:t>（9）施工期间，确保交通安全与正常施工，施工区域进行封闭。</w:t>
      </w:r>
    </w:p>
    <w:p w14:paraId="3639FF94">
      <w:pPr>
        <w:rPr>
          <w:rFonts w:hint="default"/>
          <w:color w:val="auto"/>
          <w:lang w:val="en-US" w:eastAsia="zh-CN"/>
        </w:rPr>
      </w:pPr>
      <w:r>
        <w:rPr>
          <w:rFonts w:hint="default"/>
          <w:color w:val="auto"/>
          <w:lang w:val="en-US" w:eastAsia="zh-CN"/>
        </w:rPr>
        <w:t>（10）施工期间利用公路运输施工用料的车辆遵守交通规则。决不乱停乱放，随意装卸。</w:t>
      </w:r>
    </w:p>
    <w:p w14:paraId="702C2A35">
      <w:pPr>
        <w:rPr>
          <w:rFonts w:hint="default"/>
          <w:color w:val="auto"/>
          <w:lang w:val="en-US" w:eastAsia="zh-CN"/>
        </w:rPr>
      </w:pPr>
      <w:r>
        <w:rPr>
          <w:rFonts w:hint="default"/>
          <w:color w:val="auto"/>
          <w:lang w:val="en-US" w:eastAsia="zh-CN"/>
        </w:rPr>
        <w:t>（11）刮风下雨天加强对施工地段所有交通道路的巡回检查，发现险情立即组织抢险队伍进行妥善处理。</w:t>
      </w:r>
    </w:p>
    <w:p w14:paraId="585E8EB0">
      <w:pPr>
        <w:rPr>
          <w:rFonts w:hint="default"/>
          <w:color w:val="auto"/>
          <w:lang w:val="en-US" w:eastAsia="zh-CN"/>
        </w:rPr>
      </w:pPr>
      <w:r>
        <w:rPr>
          <w:rFonts w:hint="default"/>
          <w:color w:val="auto"/>
          <w:lang w:val="en-US" w:eastAsia="zh-CN"/>
        </w:rPr>
        <w:t>（12）定期将交通情况向业主和交通管理部门汇报，遇有事故在第一时间内告知交通警察到现场处理，不隐瞒，不漏报，不擅自处理。</w:t>
      </w:r>
    </w:p>
    <w:p w14:paraId="74F9E6BE">
      <w:pPr>
        <w:rPr>
          <w:rFonts w:hint="default"/>
          <w:color w:val="auto"/>
          <w:lang w:val="en-US" w:eastAsia="zh-CN"/>
        </w:rPr>
      </w:pPr>
      <w:r>
        <w:rPr>
          <w:rFonts w:hint="default"/>
          <w:color w:val="auto"/>
          <w:lang w:val="en-US" w:eastAsia="zh-CN"/>
        </w:rPr>
        <w:t>（13）节假日期间，加强交通维护工作，做好道路的清洁、畅通保障，减少对正常通行车辆的干扰。</w:t>
      </w:r>
    </w:p>
    <w:p w14:paraId="75EF960A">
      <w:pPr>
        <w:rPr>
          <w:rFonts w:hint="default"/>
          <w:color w:val="auto"/>
          <w:lang w:val="en-US" w:eastAsia="zh-CN"/>
        </w:rPr>
      </w:pPr>
      <w:r>
        <w:rPr>
          <w:rFonts w:hint="default"/>
          <w:color w:val="auto"/>
          <w:lang w:val="en-US" w:eastAsia="zh-CN"/>
        </w:rPr>
        <w:t>（14）在各路口交汇处设置醒目标志，提醒准备经过路段的车辆绕行，并设置交通标志及交通引导设施。</w:t>
      </w:r>
    </w:p>
    <w:p w14:paraId="17AC1B42">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行车安全管理措施</w:t>
      </w:r>
    </w:p>
    <w:p w14:paraId="6CD1958A">
      <w:pPr>
        <w:rPr>
          <w:rFonts w:hint="default"/>
          <w:color w:val="auto"/>
          <w:lang w:val="en-US" w:eastAsia="zh-CN"/>
        </w:rPr>
      </w:pPr>
      <w:r>
        <w:rPr>
          <w:rFonts w:hint="default"/>
          <w:color w:val="auto"/>
          <w:lang w:val="en-US" w:eastAsia="zh-CN"/>
        </w:rPr>
        <w:t>（1）建立交通安全事故应急机制，由专人负责指挥，发现事故及时上报，及时报警，服从交警及路政部门的指挥并积极配合；在事故发生时应立即做出反映，立即由安全负责人利用现有的资源条件配合交警部门解决事故。</w:t>
      </w:r>
    </w:p>
    <w:p w14:paraId="6898452F">
      <w:pPr>
        <w:rPr>
          <w:rFonts w:hint="default"/>
          <w:color w:val="auto"/>
          <w:lang w:val="en-US" w:eastAsia="zh-CN"/>
        </w:rPr>
      </w:pPr>
      <w:r>
        <w:rPr>
          <w:rFonts w:hint="default"/>
          <w:color w:val="auto"/>
          <w:lang w:val="en-US" w:eastAsia="zh-CN"/>
        </w:rPr>
        <w:t>（2）设专人进行交通指挥，主要是对前方车辆和进出封闭区域施工车辆的指挥，指挥人员要求具有较熟练的指挥交通能力。施工车辆进出施工区域的交通管制指挥人员必须身着交通反光背心，指挥交通时必须穿戴整齐，并用红绿色小三角旗指挥交通。</w:t>
      </w:r>
    </w:p>
    <w:p w14:paraId="0A4162F0">
      <w:pPr>
        <w:rPr>
          <w:rFonts w:hint="default"/>
          <w:color w:val="auto"/>
          <w:lang w:val="en-US" w:eastAsia="zh-CN"/>
        </w:rPr>
      </w:pPr>
      <w:r>
        <w:rPr>
          <w:rFonts w:hint="default"/>
          <w:color w:val="auto"/>
          <w:lang w:val="en-US" w:eastAsia="zh-CN"/>
        </w:rPr>
        <w:t>（3）设专人进行交通设施的维护，水马等标志标牌按位置正确摆放，若施工过程中出现移位应及时调整，损坏及时更换。</w:t>
      </w:r>
    </w:p>
    <w:p w14:paraId="3A76E613">
      <w:pPr>
        <w:rPr>
          <w:rFonts w:hint="default"/>
          <w:color w:val="auto"/>
          <w:lang w:val="en-US" w:eastAsia="zh-CN"/>
        </w:rPr>
      </w:pPr>
      <w:r>
        <w:rPr>
          <w:rFonts w:hint="default"/>
          <w:color w:val="auto"/>
          <w:lang w:val="en-US" w:eastAsia="zh-CN"/>
        </w:rPr>
        <w:t>（4）严格按要求及相关标准设置交通管制标志，当施工完成后尽快将交通标志撤离开放交通，当因故暂停施工时，将交通标志撤至内侧一个车道上，以增加行车路面的宽度。</w:t>
      </w:r>
    </w:p>
    <w:p w14:paraId="253AB0A5">
      <w:pPr>
        <w:rPr>
          <w:rFonts w:hint="default"/>
          <w:color w:val="auto"/>
          <w:lang w:val="en-US" w:eastAsia="zh-CN"/>
        </w:rPr>
      </w:pPr>
      <w:r>
        <w:rPr>
          <w:rFonts w:hint="default"/>
          <w:color w:val="auto"/>
          <w:lang w:val="en-US" w:eastAsia="zh-CN"/>
        </w:rPr>
        <w:t>（5）施工中遇到交通事故，现场交通安全人员及时按规定报告，保护好现场，并协助路政、交警疏导交通，若遇车辆在工作面侧突然熄火，现场人员能推动的应及时组织人员把车辆推到紧急停车带。发生特大交通事故或发生危险物品车辆交通事故及有必要停止施工的紧急情况时，即时请示有关领导同意后暂停施工，至任务执行或现场清理完毕后方恢复施工。</w:t>
      </w:r>
    </w:p>
    <w:p w14:paraId="7ABDAA46">
      <w:pPr>
        <w:rPr>
          <w:rFonts w:hint="default"/>
          <w:color w:val="auto"/>
          <w:lang w:val="en-US" w:eastAsia="zh-CN"/>
        </w:rPr>
      </w:pPr>
      <w:r>
        <w:rPr>
          <w:rFonts w:hint="default"/>
          <w:color w:val="auto"/>
          <w:lang w:val="en-US" w:eastAsia="zh-CN"/>
        </w:rPr>
        <w:t>（6）道路遇警卫任务时，交通安全人员必须听从路政、交警的安排。执行一级警卫或者其它重要任务（处理群众性事件等）时须停止施工，至任务执行完毕后方恢复施工。</w:t>
      </w:r>
    </w:p>
    <w:p w14:paraId="3914EE25">
      <w:pPr>
        <w:rPr>
          <w:rFonts w:hint="default"/>
          <w:color w:val="auto"/>
          <w:lang w:val="en-US" w:eastAsia="zh-CN"/>
        </w:rPr>
      </w:pPr>
      <w:r>
        <w:rPr>
          <w:rFonts w:hint="default"/>
          <w:color w:val="auto"/>
          <w:lang w:val="en-US" w:eastAsia="zh-CN"/>
        </w:rPr>
        <w:t>（7）施工人员严禁横穿车道，必须在锥形交通标志围护区内作业区域活动，不得向正常通行的车道摆放或抛掷物品。</w:t>
      </w:r>
    </w:p>
    <w:p w14:paraId="57E6FFE8">
      <w:pPr>
        <w:rPr>
          <w:rFonts w:hint="default"/>
          <w:color w:val="auto"/>
          <w:lang w:val="en-US" w:eastAsia="zh-CN"/>
        </w:rPr>
      </w:pPr>
      <w:r>
        <w:rPr>
          <w:rFonts w:hint="default"/>
          <w:color w:val="auto"/>
          <w:lang w:val="en-US" w:eastAsia="zh-CN"/>
        </w:rPr>
        <w:t>（8）备一台冲水设施进行施工范围及周边的防尘洒水工作。</w:t>
      </w:r>
    </w:p>
    <w:p w14:paraId="0C359F50">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交通安全人员防护措施</w:t>
      </w:r>
    </w:p>
    <w:p w14:paraId="511BD9C4">
      <w:pPr>
        <w:rPr>
          <w:rFonts w:hint="default"/>
          <w:color w:val="auto"/>
          <w:lang w:val="en-US" w:eastAsia="zh-CN"/>
        </w:rPr>
      </w:pPr>
      <w:r>
        <w:rPr>
          <w:rFonts w:hint="default"/>
          <w:color w:val="auto"/>
          <w:lang w:val="en-US" w:eastAsia="zh-CN"/>
        </w:rPr>
        <w:t>（1）所有交通安全人员必须掌握相关规定、行为规范、技能熟练、具有强烈的交通安全意识。</w:t>
      </w:r>
    </w:p>
    <w:p w14:paraId="232B68EE">
      <w:pPr>
        <w:rPr>
          <w:rFonts w:hint="default"/>
          <w:color w:val="auto"/>
          <w:lang w:val="en-US" w:eastAsia="zh-CN"/>
        </w:rPr>
      </w:pPr>
      <w:r>
        <w:rPr>
          <w:rFonts w:hint="default"/>
          <w:color w:val="auto"/>
          <w:lang w:val="en-US" w:eastAsia="zh-CN"/>
        </w:rPr>
        <w:t>（2）为交通安全人员配置完备的安全防护用品(安全帽、反光衣等)，交通安全人员穿戴整齐，未穿戴整齐者也严禁上岗。</w:t>
      </w:r>
    </w:p>
    <w:p w14:paraId="3E151919">
      <w:pPr>
        <w:rPr>
          <w:rFonts w:hint="default"/>
          <w:color w:val="auto"/>
          <w:lang w:val="en-US" w:eastAsia="zh-CN"/>
        </w:rPr>
      </w:pPr>
      <w:r>
        <w:rPr>
          <w:rFonts w:hint="default"/>
          <w:color w:val="auto"/>
          <w:lang w:val="en-US" w:eastAsia="zh-CN"/>
        </w:rPr>
        <w:t>（3）现场交通安全人员除维护交通设施及其它必要时，远离交通分隔带，交通安全人员可站立于围护范围内，面向车流，对不规范行车告知路政人员，由路政人员配合指挥交通；指挥施工车辆进出封闭区域时必须面向车辆，严禁背对车辆；交通安全人员更不能穿越行车道。</w:t>
      </w:r>
    </w:p>
    <w:p w14:paraId="218114E9">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施工人员交通安全防护措施</w:t>
      </w:r>
    </w:p>
    <w:p w14:paraId="14A1A925">
      <w:pPr>
        <w:rPr>
          <w:rFonts w:hint="default"/>
          <w:color w:val="auto"/>
          <w:lang w:val="en-US" w:eastAsia="zh-CN"/>
        </w:rPr>
      </w:pPr>
      <w:r>
        <w:rPr>
          <w:rFonts w:hint="default"/>
          <w:color w:val="auto"/>
          <w:lang w:val="en-US" w:eastAsia="zh-CN"/>
        </w:rPr>
        <w:t>（1）加强对施工人员交通安全教育与监督。所有施工人员都必须经过交通安全教育后才能作业，严格遵守《道路维修养护作业安全规程》，另配备专职生产安全员。</w:t>
      </w:r>
    </w:p>
    <w:p w14:paraId="753784C6">
      <w:pPr>
        <w:rPr>
          <w:rFonts w:hint="default"/>
          <w:color w:val="auto"/>
          <w:lang w:val="en-US" w:eastAsia="zh-CN"/>
        </w:rPr>
      </w:pPr>
      <w:r>
        <w:rPr>
          <w:rFonts w:hint="default"/>
          <w:color w:val="auto"/>
          <w:lang w:val="en-US" w:eastAsia="zh-CN"/>
        </w:rPr>
        <w:t>（2）施工人员只能在封闭区域内作业，严禁施工人员横穿行车道，违者重罚或直接清除出场。</w:t>
      </w:r>
    </w:p>
    <w:p w14:paraId="4F310B34">
      <w:pPr>
        <w:rPr>
          <w:rFonts w:hint="default"/>
          <w:color w:val="auto"/>
          <w:lang w:val="en-US" w:eastAsia="zh-CN"/>
        </w:rPr>
      </w:pPr>
      <w:r>
        <w:rPr>
          <w:rFonts w:hint="default"/>
          <w:color w:val="auto"/>
          <w:lang w:val="en-US" w:eastAsia="zh-CN"/>
        </w:rPr>
        <w:t>（3）施工人员在交通安全方面必须服从交通安全人员的指挥。</w:t>
      </w:r>
    </w:p>
    <w:p w14:paraId="6981ECB6">
      <w:pPr>
        <w:rPr>
          <w:rFonts w:hint="default"/>
          <w:color w:val="auto"/>
          <w:lang w:val="en-US" w:eastAsia="zh-CN"/>
        </w:rPr>
      </w:pPr>
      <w:r>
        <w:rPr>
          <w:rFonts w:hint="default"/>
          <w:color w:val="auto"/>
          <w:lang w:val="en-US" w:eastAsia="zh-CN"/>
        </w:rPr>
        <w:t>（2）在施工区域内车辆、机械等设备都必须挂上警示标志，并设专人指挥，形成严密的内部交通安全组织机构，杜绝违章操作及违章指挥。</w:t>
      </w:r>
    </w:p>
    <w:p w14:paraId="28185C99">
      <w:pPr>
        <w:rPr>
          <w:rFonts w:hint="default"/>
          <w:color w:val="auto"/>
          <w:lang w:val="en-US" w:eastAsia="zh-CN"/>
        </w:rPr>
      </w:pPr>
      <w:r>
        <w:rPr>
          <w:rFonts w:hint="default"/>
          <w:color w:val="auto"/>
          <w:lang w:val="en-US" w:eastAsia="zh-CN"/>
        </w:rPr>
        <w:t>（3）在施工路段前方1000米开始设置警示标志提醒司机前方施工，小心驾驶。</w:t>
      </w:r>
    </w:p>
    <w:p w14:paraId="6FF1204D">
      <w:pPr>
        <w:rPr>
          <w:rFonts w:hint="default"/>
          <w:color w:val="auto"/>
          <w:lang w:val="en-US" w:eastAsia="zh-CN"/>
        </w:rPr>
      </w:pPr>
      <w:r>
        <w:rPr>
          <w:rFonts w:hint="default"/>
          <w:color w:val="auto"/>
          <w:lang w:val="en-US" w:eastAsia="zh-CN"/>
        </w:rPr>
        <w:t>（4）在施工路段摆放足够的反光交通锥、车辆夜间反光标牌、警示灯。</w:t>
      </w:r>
    </w:p>
    <w:p w14:paraId="3253FE2C">
      <w:pPr>
        <w:pStyle w:val="3"/>
        <w:bidi w:val="0"/>
        <w:rPr>
          <w:rFonts w:hint="default"/>
          <w:color w:val="auto"/>
          <w:lang w:val="en-US" w:eastAsia="zh-CN"/>
        </w:rPr>
      </w:pPr>
      <w:bookmarkStart w:id="182" w:name="_Toc4378"/>
      <w:bookmarkStart w:id="183" w:name="_Toc4804"/>
      <w:r>
        <w:rPr>
          <w:rFonts w:hint="default"/>
          <w:color w:val="auto"/>
          <w:lang w:val="en-US" w:eastAsia="zh-CN"/>
        </w:rPr>
        <w:t>6.5</w:t>
      </w:r>
      <w:r>
        <w:rPr>
          <w:rFonts w:hint="eastAsia"/>
          <w:color w:val="auto"/>
          <w:lang w:val="en-US" w:eastAsia="zh-CN"/>
        </w:rPr>
        <w:t xml:space="preserve"> </w:t>
      </w:r>
      <w:r>
        <w:rPr>
          <w:rFonts w:hint="default"/>
          <w:color w:val="auto"/>
          <w:lang w:val="en-US" w:eastAsia="zh-CN"/>
        </w:rPr>
        <w:t>其他安全对策措施</w:t>
      </w:r>
      <w:bookmarkEnd w:id="182"/>
      <w:bookmarkEnd w:id="183"/>
    </w:p>
    <w:p w14:paraId="48D5875D">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加强职工的安全生产教育和技术操作培训，提高安全意识。</w:t>
      </w:r>
    </w:p>
    <w:p w14:paraId="0A8D4E11">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认真落实施工安全各项管理规定。</w:t>
      </w:r>
    </w:p>
    <w:p w14:paraId="32FFB830">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施工现场醒目处设立施工安全警示牌。</w:t>
      </w:r>
    </w:p>
    <w:p w14:paraId="5E1E6186">
      <w:pPr>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施工相关方应签订安全管理协议，明确各方的权利和义务。</w:t>
      </w:r>
    </w:p>
    <w:p w14:paraId="35EFEC5A">
      <w:pPr>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施工处前后两侧50m处设监护人，保持通信畅通；两端1公里处设监控点，保持通信畅通，随时通报车辆运行情况；施工处两端300m处设警示标志。充分发挥了标志设施的安全警示作用。并请路政部门现场维持车辆秩序。</w:t>
      </w:r>
    </w:p>
    <w:p w14:paraId="0F462EC4">
      <w:pPr>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大风天气过后应对广告牌进行检修，防止广告牌损害倒塌影响过往车辆安全。</w:t>
      </w:r>
    </w:p>
    <w:p w14:paraId="6E5F7EB9">
      <w:pPr>
        <w:rPr>
          <w:rFonts w:hint="default"/>
          <w:color w:val="auto"/>
          <w:lang w:val="en-US" w:eastAsia="zh-CN"/>
        </w:rPr>
      </w:pPr>
      <w:r>
        <w:rPr>
          <w:rFonts w:hint="default"/>
          <w:color w:val="auto"/>
          <w:lang w:val="en-US" w:eastAsia="zh-CN"/>
        </w:rPr>
        <w:br w:type="page"/>
      </w:r>
    </w:p>
    <w:p w14:paraId="7B4FE2A7">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84" w:name="_Toc16758"/>
      <w:bookmarkStart w:id="185" w:name="_Toc2257"/>
      <w:r>
        <w:rPr>
          <w:rFonts w:hint="default" w:ascii="Times New Roman" w:hAnsi="Times New Roman" w:cs="Times New Roman"/>
          <w:color w:val="auto"/>
          <w:lang w:val="en-US" w:eastAsia="zh-CN"/>
        </w:rPr>
        <w:t>评估结论</w:t>
      </w:r>
      <w:bookmarkEnd w:id="184"/>
      <w:bookmarkEnd w:id="185"/>
    </w:p>
    <w:p w14:paraId="725A50A5">
      <w:pPr>
        <w:pStyle w:val="3"/>
        <w:bidi w:val="0"/>
        <w:rPr>
          <w:rFonts w:hint="default"/>
          <w:color w:val="auto"/>
          <w:lang w:val="en-US" w:eastAsia="zh-CN"/>
        </w:rPr>
      </w:pPr>
      <w:bookmarkStart w:id="186" w:name="_Toc4374"/>
      <w:bookmarkStart w:id="187" w:name="_Toc20617"/>
      <w:r>
        <w:rPr>
          <w:rFonts w:hint="default"/>
          <w:color w:val="auto"/>
          <w:lang w:val="en-US" w:eastAsia="zh-CN"/>
        </w:rPr>
        <w:t>7.1</w:t>
      </w:r>
      <w:r>
        <w:rPr>
          <w:rFonts w:hint="eastAsia"/>
          <w:color w:val="auto"/>
          <w:lang w:val="en-US" w:eastAsia="zh-CN"/>
        </w:rPr>
        <w:t xml:space="preserve"> </w:t>
      </w:r>
      <w:r>
        <w:rPr>
          <w:rFonts w:hint="default"/>
          <w:color w:val="auto"/>
          <w:lang w:val="en-US" w:eastAsia="zh-CN"/>
        </w:rPr>
        <w:t>存在的危险有害因素</w:t>
      </w:r>
      <w:bookmarkEnd w:id="186"/>
      <w:bookmarkEnd w:id="187"/>
    </w:p>
    <w:p w14:paraId="407C0456">
      <w:pPr>
        <w:bidi w:val="0"/>
        <w:rPr>
          <w:rFonts w:hint="default"/>
          <w:color w:val="auto"/>
          <w:lang w:val="en-US" w:eastAsia="zh-CN"/>
        </w:rPr>
      </w:pPr>
      <w:r>
        <w:rPr>
          <w:rFonts w:hint="default"/>
          <w:color w:val="auto"/>
          <w:lang w:val="en-US" w:eastAsia="zh-CN"/>
        </w:rPr>
        <w:t>本工程建设施工中存在的主要危险有害因素为坍塌、触电、物体打击、车辆伤害、机械伤害、火灾、噪声、高低温和其他伤害等危险有害因素。应重点防范的危险有害因素是触电、机械伤害、车辆伤害、坍塌，尤其是坍塌伤害，容易造成特大安全事故。既影响交通通行而且破坏公路</w:t>
      </w:r>
      <w:r>
        <w:rPr>
          <w:rFonts w:hint="eastAsia"/>
          <w:color w:val="auto"/>
          <w:lang w:val="en-US" w:eastAsia="zh-CN"/>
        </w:rPr>
        <w:t>及</w:t>
      </w:r>
      <w:r>
        <w:rPr>
          <w:rFonts w:hint="default"/>
          <w:color w:val="auto"/>
          <w:lang w:val="en-US" w:eastAsia="zh-CN"/>
        </w:rPr>
        <w:t>附属设备设施。</w:t>
      </w:r>
    </w:p>
    <w:p w14:paraId="6849D857">
      <w:pPr>
        <w:bidi w:val="0"/>
        <w:rPr>
          <w:rFonts w:hint="default"/>
          <w:color w:val="auto"/>
          <w:lang w:val="en-US" w:eastAsia="zh-CN"/>
        </w:rPr>
      </w:pPr>
      <w:r>
        <w:rPr>
          <w:rFonts w:hint="default"/>
          <w:color w:val="auto"/>
          <w:lang w:val="en-US" w:eastAsia="zh-CN"/>
        </w:rPr>
        <w:t>本工程属于平面交叉道口工程施工，过程中往往引起人员聚集，容易出现拥挤和心理恐慌状态，都是有发安全事故的因素。施工单位要特别引起重视，做好施工现场防护措施拉起警戒线，组织现场指挥人员进行疏散。企业应完善施工方案和应急预案，以保证项目安全施工。</w:t>
      </w:r>
    </w:p>
    <w:p w14:paraId="4FF190C0">
      <w:pPr>
        <w:bidi w:val="0"/>
        <w:rPr>
          <w:rFonts w:hint="default"/>
          <w:color w:val="auto"/>
          <w:lang w:val="en-US" w:eastAsia="zh-CN"/>
        </w:rPr>
      </w:pPr>
      <w:r>
        <w:rPr>
          <w:rFonts w:hint="default"/>
          <w:color w:val="auto"/>
          <w:lang w:val="en-US" w:eastAsia="zh-CN"/>
        </w:rPr>
        <w:t>本工程在日常维护及安全运营方面的建议：</w:t>
      </w:r>
    </w:p>
    <w:p w14:paraId="30E053D8">
      <w:pPr>
        <w:bidi w:val="0"/>
        <w:rPr>
          <w:rFonts w:hint="default"/>
          <w:color w:val="auto"/>
          <w:lang w:val="en-US" w:eastAsia="zh-CN"/>
        </w:rPr>
      </w:pPr>
      <w:r>
        <w:rPr>
          <w:rFonts w:hint="default"/>
          <w:color w:val="auto"/>
          <w:lang w:val="en-US" w:eastAsia="zh-CN"/>
        </w:rPr>
        <w:t>1. 施工期间派专人负责清理该施工范围内的杂物防止伤人；</w:t>
      </w:r>
    </w:p>
    <w:p w14:paraId="050147E6">
      <w:pPr>
        <w:bidi w:val="0"/>
        <w:rPr>
          <w:rFonts w:hint="default"/>
          <w:color w:val="auto"/>
          <w:lang w:val="en-US" w:eastAsia="zh-CN"/>
        </w:rPr>
      </w:pPr>
      <w:r>
        <w:rPr>
          <w:rFonts w:hint="default"/>
          <w:color w:val="auto"/>
          <w:lang w:val="en-US" w:eastAsia="zh-CN"/>
        </w:rPr>
        <w:t>2. 对施工现场的安全设施进行清洗、维护等日常作业，及时恢复损坏构件，确保安全，清洗安全设施，确保醒目；</w:t>
      </w:r>
    </w:p>
    <w:p w14:paraId="3FC7034B">
      <w:pPr>
        <w:bidi w:val="0"/>
        <w:rPr>
          <w:rFonts w:hint="default"/>
          <w:color w:val="auto"/>
          <w:lang w:val="en-US" w:eastAsia="zh-CN"/>
        </w:rPr>
      </w:pPr>
      <w:r>
        <w:rPr>
          <w:rFonts w:hint="eastAsia"/>
          <w:color w:val="auto"/>
          <w:lang w:val="en-US" w:eastAsia="zh-CN"/>
        </w:rPr>
        <w:t>3</w:t>
      </w:r>
      <w:r>
        <w:rPr>
          <w:rFonts w:hint="default"/>
          <w:color w:val="auto"/>
          <w:lang w:val="en-US" w:eastAsia="zh-CN"/>
        </w:rPr>
        <w:t>. 应完善施工方案和应急预案，以保证项目安全施工。</w:t>
      </w:r>
    </w:p>
    <w:p w14:paraId="6474AFEA">
      <w:pPr>
        <w:pStyle w:val="3"/>
        <w:bidi w:val="0"/>
        <w:rPr>
          <w:rFonts w:hint="default"/>
          <w:color w:val="auto"/>
          <w:lang w:val="en-US" w:eastAsia="zh-CN"/>
        </w:rPr>
      </w:pPr>
      <w:bookmarkStart w:id="188" w:name="_Toc28488"/>
      <w:bookmarkStart w:id="189" w:name="_Toc4282"/>
      <w:r>
        <w:rPr>
          <w:rFonts w:hint="default"/>
          <w:color w:val="auto"/>
          <w:lang w:val="en-US" w:eastAsia="zh-CN"/>
        </w:rPr>
        <w:t>7.2</w:t>
      </w:r>
      <w:r>
        <w:rPr>
          <w:rFonts w:hint="eastAsia"/>
          <w:color w:val="auto"/>
          <w:lang w:val="en-US" w:eastAsia="zh-CN"/>
        </w:rPr>
        <w:t xml:space="preserve"> </w:t>
      </w:r>
      <w:r>
        <w:rPr>
          <w:rFonts w:hint="default"/>
          <w:color w:val="auto"/>
          <w:lang w:val="en-US" w:eastAsia="zh-CN"/>
        </w:rPr>
        <w:t>评估结论</w:t>
      </w:r>
      <w:bookmarkEnd w:id="188"/>
      <w:bookmarkEnd w:id="189"/>
    </w:p>
    <w:p w14:paraId="3F970F7F">
      <w:pPr>
        <w:bidi w:val="0"/>
        <w:rPr>
          <w:rFonts w:hint="default"/>
          <w:color w:val="auto"/>
          <w:lang w:val="en-US" w:eastAsia="zh-CN"/>
        </w:rPr>
      </w:pPr>
      <w:r>
        <w:rPr>
          <w:rFonts w:hint="default"/>
          <w:color w:val="auto"/>
          <w:lang w:val="en-US" w:eastAsia="zh-CN"/>
        </w:rPr>
        <w:t>施工方根据设计图纸、现场实际状况以及业主的要求制定了科学合理的施工方案，有施工总体安排、施工组织设计和施工平面布置等文件。施工准备充分，明确了施工方法和工序。建立了技术管理制度和、施工组织设计审批制度、交底制度、质量评定制度、现场材料质量管理、工程技术档案管理等行之有效的管理制度，施工过程安全是有保障的。</w:t>
      </w:r>
    </w:p>
    <w:p w14:paraId="5D1C0692">
      <w:pPr>
        <w:bidi w:val="0"/>
        <w:rPr>
          <w:rFonts w:hint="default"/>
          <w:b/>
          <w:bCs/>
          <w:color w:val="auto"/>
          <w:lang w:val="en-US" w:eastAsia="zh-CN"/>
        </w:rPr>
      </w:pPr>
      <w:r>
        <w:rPr>
          <w:rFonts w:hint="default"/>
          <w:b/>
          <w:bCs/>
          <w:color w:val="auto"/>
          <w:lang w:val="en-US" w:eastAsia="zh-CN"/>
        </w:rPr>
        <w:t>结论：若严格按照施工方案施工，并采取本报告提出的安全对策措施，</w:t>
      </w:r>
      <w:r>
        <w:rPr>
          <w:rFonts w:hint="eastAsia"/>
          <w:b/>
          <w:bCs/>
          <w:color w:val="auto"/>
          <w:lang w:val="en-US" w:eastAsia="zh-CN"/>
        </w:rPr>
        <w:t>艾坦途（宜春）物流有限公司</w:t>
      </w:r>
      <w:r>
        <w:rPr>
          <w:rFonts w:hint="default"/>
          <w:b/>
          <w:bCs/>
          <w:color w:val="auto"/>
          <w:lang w:val="en-US" w:eastAsia="zh-CN"/>
        </w:rPr>
        <w:t>平面交叉道口工程施工作业对G354国道运行的影响较小，施工阶段的安全风险在可接受范围。</w:t>
      </w:r>
    </w:p>
    <w:p w14:paraId="1B205B28">
      <w:pPr>
        <w:rPr>
          <w:rFonts w:hint="default"/>
          <w:color w:val="auto"/>
          <w:lang w:val="en-US" w:eastAsia="zh-CN"/>
        </w:rPr>
      </w:pPr>
      <w:r>
        <w:rPr>
          <w:rFonts w:hint="default"/>
          <w:color w:val="auto"/>
          <w:lang w:val="en-US" w:eastAsia="zh-CN"/>
        </w:rPr>
        <w:br w:type="page"/>
      </w:r>
    </w:p>
    <w:p w14:paraId="25AC7D7F">
      <w:pPr>
        <w:pStyle w:val="2"/>
        <w:numPr>
          <w:ilvl w:val="0"/>
          <w:numId w:val="2"/>
        </w:numPr>
        <w:bidi w:val="0"/>
        <w:ind w:left="0" w:leftChars="0" w:firstLine="0" w:firstLineChars="0"/>
        <w:rPr>
          <w:rFonts w:hint="default" w:ascii="Times New Roman" w:hAnsi="Times New Roman" w:cs="Times New Roman"/>
          <w:color w:val="auto"/>
          <w:lang w:val="en-US" w:eastAsia="zh-CN"/>
        </w:rPr>
      </w:pPr>
      <w:bookmarkStart w:id="190" w:name="_Toc21606"/>
      <w:bookmarkStart w:id="191" w:name="_Toc11464"/>
      <w:r>
        <w:rPr>
          <w:rFonts w:hint="default" w:ascii="Times New Roman" w:hAnsi="Times New Roman" w:cs="Times New Roman"/>
          <w:color w:val="auto"/>
          <w:lang w:val="en-US" w:eastAsia="zh-CN"/>
        </w:rPr>
        <w:t>附件附图</w:t>
      </w:r>
      <w:bookmarkEnd w:id="190"/>
      <w:bookmarkEnd w:id="191"/>
    </w:p>
    <w:p w14:paraId="643F0B58">
      <w:pPr>
        <w:bidi w:val="0"/>
        <w:rPr>
          <w:rFonts w:hint="default"/>
          <w:color w:val="auto"/>
          <w:lang w:val="en-US" w:eastAsia="zh-CN"/>
        </w:rPr>
      </w:pPr>
      <w:r>
        <w:rPr>
          <w:rFonts w:hint="default"/>
          <w:color w:val="auto"/>
          <w:lang w:val="en-US" w:eastAsia="zh-CN"/>
        </w:rPr>
        <w:t>1. 建设单位营业执照</w:t>
      </w:r>
    </w:p>
    <w:p w14:paraId="6CEBB147">
      <w:pPr>
        <w:rPr>
          <w:rFonts w:hint="default"/>
          <w:color w:val="auto"/>
          <w:lang w:val="en-US" w:eastAsia="zh-CN"/>
        </w:rPr>
      </w:pPr>
      <w:r>
        <w:rPr>
          <w:rFonts w:hint="default"/>
          <w:color w:val="auto"/>
          <w:lang w:val="en-US" w:eastAsia="zh-CN"/>
        </w:rPr>
        <w:br w:type="page"/>
      </w:r>
    </w:p>
    <w:p w14:paraId="40EF22A2">
      <w:pPr>
        <w:bidi w:val="0"/>
        <w:rPr>
          <w:rFonts w:hint="default"/>
          <w:b/>
          <w:bCs/>
          <w:color w:val="auto"/>
          <w:lang w:val="en-US" w:eastAsia="zh-CN"/>
        </w:rPr>
      </w:pPr>
      <w:r>
        <w:rPr>
          <w:rFonts w:hint="default"/>
          <w:b/>
          <w:bCs/>
          <w:color w:val="auto"/>
          <w:lang w:val="en-US" w:eastAsia="zh-CN"/>
        </w:rPr>
        <w:t>评估人员现场照片：</w:t>
      </w:r>
    </w:p>
    <w:p w14:paraId="57CE6253">
      <w:pPr>
        <w:bidi w:val="0"/>
        <w:ind w:left="0" w:leftChars="0" w:firstLine="0" w:firstLineChars="0"/>
        <w:jc w:val="center"/>
        <w:rPr>
          <w:rFonts w:hint="default"/>
          <w:b/>
          <w:bCs/>
          <w:color w:val="auto"/>
          <w:lang w:val="en-US" w:eastAsia="zh-CN"/>
        </w:rPr>
      </w:pPr>
      <w:r>
        <w:rPr>
          <w:rFonts w:hint="default"/>
          <w:b/>
          <w:bCs/>
          <w:color w:val="auto"/>
          <w:lang w:val="en-US" w:eastAsia="zh-CN"/>
        </w:rPr>
        <w:drawing>
          <wp:inline distT="0" distB="0" distL="114300" distR="114300">
            <wp:extent cx="5039995" cy="3780155"/>
            <wp:effectExtent l="0" t="0" r="8255" b="10795"/>
            <wp:docPr id="3" name="图片 3" descr="8d4ddb8e250c66f3b716ae2278a65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d4ddb8e250c66f3b716ae2278a65e7"/>
                    <pic:cNvPicPr>
                      <a:picLocks noChangeAspect="1"/>
                    </pic:cNvPicPr>
                  </pic:nvPicPr>
                  <pic:blipFill>
                    <a:blip r:embed="rId13"/>
                    <a:stretch>
                      <a:fillRect/>
                    </a:stretch>
                  </pic:blipFill>
                  <pic:spPr>
                    <a:xfrm>
                      <a:off x="0" y="0"/>
                      <a:ext cx="5039995" cy="3780155"/>
                    </a:xfrm>
                    <a:prstGeom prst="rect">
                      <a:avLst/>
                    </a:prstGeom>
                  </pic:spPr>
                </pic:pic>
              </a:graphicData>
            </a:graphic>
          </wp:inline>
        </w:drawing>
      </w:r>
    </w:p>
    <w:sectPr>
      <w:pgSz w:w="11906" w:h="16839"/>
      <w:pgMar w:top="1417" w:right="1417" w:bottom="1417" w:left="1417" w:header="850" w:footer="992" w:gutter="0"/>
      <w:pgBorders>
        <w:top w:val="none" w:sz="0" w:space="0"/>
        <w:left w:val="none" w:sz="0" w:space="0"/>
        <w:bottom w:val="none" w:sz="0" w:space="0"/>
        <w:right w:val="none" w:sz="0" w:space="0"/>
      </w:pgBorders>
      <w:pgNumType w:fmt="decimal"/>
      <w:cols w:space="72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7F" w:usb3="00000000" w:csb0="203F01FF" w:csb1="DFFF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56680">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1D11A">
    <w:pPr>
      <w:widowControl w:val="0"/>
      <w:pBdr>
        <w:top w:val="single" w:color="auto" w:sz="4" w:space="1"/>
      </w:pBdr>
      <w:snapToGrid w:val="0"/>
      <w:spacing w:line="360" w:lineRule="auto"/>
      <w:ind w:left="0" w:leftChars="0" w:firstLine="0" w:firstLineChars="0"/>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656B02">
                          <w:pPr>
                            <w:pStyle w:val="12"/>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Nz3OT+IBAADCAwAADgAA&#10;AAAAAAABACAAAAAeAQAAZHJzL2Uyb0RvYy54bWxQSwUGAAAAAAYABgBZAQAAcgUAAAAA&#10;">
              <v:fill on="f" focussize="0,0"/>
              <v:stroke on="f"/>
              <v:imagedata o:title=""/>
              <o:lock v:ext="edit" aspectratio="f"/>
              <v:textbox inset="0mm,0mm,0mm,0mm" style="mso-fit-shape-to-text:t;">
                <w:txbxContent>
                  <w:p w14:paraId="4C656B02">
                    <w:pPr>
                      <w:pStyle w:val="1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Style w:val="23"/>
        <w:rFonts w:hint="eastAsia" w:ascii="Times New Roman" w:hAnsi="Times New Roman" w:eastAsia="宋体" w:cs="Times New Roman"/>
        <w:kern w:val="2"/>
        <w:sz w:val="28"/>
        <w:szCs w:val="24"/>
        <w:lang w:val="en-US" w:eastAsia="zh-CN" w:bidi="ar-SA"/>
      </w:rPr>
      <w:t xml:space="preserve">                         </w:t>
    </w:r>
    <w:r>
      <w:rPr>
        <w:rFonts w:hint="default" w:ascii="Times New Roman" w:hAnsi="Times New Roman" w:eastAsia="宋体" w:cs="Times New Roman"/>
        <w:kern w:val="2"/>
        <w:sz w:val="18"/>
        <w:szCs w:val="18"/>
        <w:lang w:val="en-US" w:eastAsia="zh-CN" w:bidi="ar-SA"/>
      </w:rPr>
      <w:t>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7C6A6">
    <w:pPr>
      <w:widowControl w:val="0"/>
      <w:pBdr>
        <w:top w:val="single" w:color="auto" w:sz="4" w:space="1"/>
      </w:pBdr>
      <w:snapToGrid w:val="0"/>
      <w:spacing w:line="360" w:lineRule="auto"/>
      <w:ind w:left="0" w:leftChars="0" w:firstLine="0" w:firstLineChars="0"/>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A044B4">
                          <w:pPr>
                            <w:pStyle w:val="12"/>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LeDA/gAQAAwQMAAA4AAAAA&#10;AAAAAQAgAAAAHgEAAGRycy9lMm9Eb2MueG1sUEsFBgAAAAAGAAYAWQEAAHAFAAAAAA==&#10;">
              <v:fill on="f" focussize="0,0"/>
              <v:stroke on="f"/>
              <v:imagedata o:title=""/>
              <o:lock v:ext="edit" aspectratio="f"/>
              <v:textbox inset="0mm,0mm,0mm,0mm" style="mso-fit-shape-to-text:t;">
                <w:txbxContent>
                  <w:p w14:paraId="00A044B4">
                    <w:pPr>
                      <w:pStyle w:val="12"/>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Style w:val="23"/>
        <w:rFonts w:hint="eastAsia" w:ascii="Times New Roman" w:hAnsi="Times New Roman" w:eastAsia="宋体" w:cs="Times New Roman"/>
        <w:kern w:val="2"/>
        <w:sz w:val="28"/>
        <w:szCs w:val="24"/>
        <w:lang w:val="en-US" w:eastAsia="zh-CN" w:bidi="ar-SA"/>
      </w:rPr>
      <w:t xml:space="preserve">                         </w:t>
    </w:r>
    <w:r>
      <w:rPr>
        <w:rFonts w:hint="default" w:ascii="Times New Roman" w:hAnsi="Times New Roman" w:eastAsia="宋体" w:cs="Times New Roman"/>
        <w:kern w:val="2"/>
        <w:sz w:val="18"/>
        <w:szCs w:val="18"/>
        <w:lang w:val="en-US" w:eastAsia="zh-CN" w:bidi="ar-SA"/>
      </w:rPr>
      <w:t>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EEE03">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BCC8D">
    <w:pPr>
      <w:pStyle w:val="13"/>
      <w:keepNext w:val="0"/>
      <w:keepLines w:val="0"/>
      <w:pageBreakBefore w:val="0"/>
      <w:widowControl w:val="0"/>
      <w:kinsoku/>
      <w:wordWrap/>
      <w:overflowPunct/>
      <w:topLinePunct w:val="0"/>
      <w:bidi w:val="0"/>
      <w:adjustRightInd/>
      <w:snapToGrid w:val="0"/>
      <w:spacing w:line="240" w:lineRule="auto"/>
      <w:ind w:left="6888" w:leftChars="0" w:hanging="6888" w:hangingChars="4100"/>
      <w:jc w:val="both"/>
      <w:textAlignment w:val="auto"/>
      <w:rPr>
        <w:rFonts w:hint="default" w:eastAsia="宋体"/>
        <w:spacing w:val="-6"/>
        <w:sz w:val="18"/>
        <w:lang w:val="en-US" w:eastAsia="zh-CN"/>
      </w:rPr>
    </w:pPr>
    <w:r>
      <w:rPr>
        <w:rFonts w:hint="eastAsia"/>
        <w:spacing w:val="-6"/>
        <w:sz w:val="18"/>
      </w:rPr>
      <w:t>艾坦途（宜春）物流有限公司平面交叉道口工程施工作业安全评估报告</w:t>
    </w:r>
    <w:r>
      <w:rPr>
        <w:rFonts w:hint="eastAsia"/>
        <w:spacing w:val="-6"/>
        <w:sz w:val="18"/>
        <w:lang w:val="en-US" w:eastAsia="zh-CN"/>
      </w:rPr>
      <w:t xml:space="preserve">                            GAAP〔2024〕0535号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8BE2ED"/>
    <w:multiLevelType w:val="singleLevel"/>
    <w:tmpl w:val="BB8BE2ED"/>
    <w:lvl w:ilvl="0" w:tentative="0">
      <w:start w:val="2"/>
      <w:numFmt w:val="decimal"/>
      <w:suff w:val="space"/>
      <w:lvlText w:val="%1."/>
      <w:lvlJc w:val="left"/>
    </w:lvl>
  </w:abstractNum>
  <w:abstractNum w:abstractNumId="1">
    <w:nsid w:val="16F6815B"/>
    <w:multiLevelType w:val="multilevel"/>
    <w:tmpl w:val="16F6815B"/>
    <w:lvl w:ilvl="0" w:tentative="0">
      <w:start w:val="1"/>
      <w:numFmt w:val="decimal"/>
      <w:pStyle w:val="2"/>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2">
    <w:nsid w:val="37CA8F12"/>
    <w:multiLevelType w:val="singleLevel"/>
    <w:tmpl w:val="37CA8F12"/>
    <w:lvl w:ilvl="0" w:tentative="0">
      <w:start w:val="1"/>
      <w:numFmt w:val="decimal"/>
      <w:suff w:val="space"/>
      <w:lvlText w:val="%1."/>
      <w:lvlJc w:val="left"/>
    </w:lvl>
  </w:abstractNum>
  <w:abstractNum w:abstractNumId="3">
    <w:nsid w:val="58510332"/>
    <w:multiLevelType w:val="singleLevel"/>
    <w:tmpl w:val="58510332"/>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OWZjMTdhZDhhZjU4OThiZWFjMGM2NzJiODRlYjYifQ=="/>
  </w:docVars>
  <w:rsids>
    <w:rsidRoot w:val="00172A27"/>
    <w:rsid w:val="002C4556"/>
    <w:rsid w:val="00571A9E"/>
    <w:rsid w:val="00824E33"/>
    <w:rsid w:val="00907506"/>
    <w:rsid w:val="00B1141C"/>
    <w:rsid w:val="00C97CCC"/>
    <w:rsid w:val="01077086"/>
    <w:rsid w:val="01273878"/>
    <w:rsid w:val="01830099"/>
    <w:rsid w:val="01F55459"/>
    <w:rsid w:val="02145195"/>
    <w:rsid w:val="02290253"/>
    <w:rsid w:val="025019E2"/>
    <w:rsid w:val="026B46C2"/>
    <w:rsid w:val="028B18FB"/>
    <w:rsid w:val="02936A01"/>
    <w:rsid w:val="02C83B76"/>
    <w:rsid w:val="030C5205"/>
    <w:rsid w:val="03125B78"/>
    <w:rsid w:val="033569CA"/>
    <w:rsid w:val="03402A63"/>
    <w:rsid w:val="03F90560"/>
    <w:rsid w:val="042B4EF3"/>
    <w:rsid w:val="043849D7"/>
    <w:rsid w:val="043C2B5E"/>
    <w:rsid w:val="04A24CDA"/>
    <w:rsid w:val="04B70785"/>
    <w:rsid w:val="04FC088E"/>
    <w:rsid w:val="05283431"/>
    <w:rsid w:val="0535762D"/>
    <w:rsid w:val="0547196F"/>
    <w:rsid w:val="0548762F"/>
    <w:rsid w:val="05B97C74"/>
    <w:rsid w:val="05E355AA"/>
    <w:rsid w:val="0619721E"/>
    <w:rsid w:val="06383B48"/>
    <w:rsid w:val="06897EFF"/>
    <w:rsid w:val="06954BEF"/>
    <w:rsid w:val="06A52714"/>
    <w:rsid w:val="06C13B3D"/>
    <w:rsid w:val="06C2267E"/>
    <w:rsid w:val="070677A2"/>
    <w:rsid w:val="07087EA7"/>
    <w:rsid w:val="071719AF"/>
    <w:rsid w:val="071A3E14"/>
    <w:rsid w:val="078132CC"/>
    <w:rsid w:val="07B2792A"/>
    <w:rsid w:val="08057A5A"/>
    <w:rsid w:val="08444A26"/>
    <w:rsid w:val="08524424"/>
    <w:rsid w:val="088A61B1"/>
    <w:rsid w:val="08C733B8"/>
    <w:rsid w:val="08E91129"/>
    <w:rsid w:val="09412D13"/>
    <w:rsid w:val="09876CC3"/>
    <w:rsid w:val="099F7A3A"/>
    <w:rsid w:val="09A07A0D"/>
    <w:rsid w:val="09C33728"/>
    <w:rsid w:val="0A4B60BB"/>
    <w:rsid w:val="0A501EF0"/>
    <w:rsid w:val="0A805ABD"/>
    <w:rsid w:val="0A856C30"/>
    <w:rsid w:val="0A8E31DC"/>
    <w:rsid w:val="0AC37758"/>
    <w:rsid w:val="0ACC485F"/>
    <w:rsid w:val="0AEE1FF9"/>
    <w:rsid w:val="0B3F3282"/>
    <w:rsid w:val="0B400066"/>
    <w:rsid w:val="0B745622"/>
    <w:rsid w:val="0BFB1C69"/>
    <w:rsid w:val="0C040028"/>
    <w:rsid w:val="0C627450"/>
    <w:rsid w:val="0C651BCC"/>
    <w:rsid w:val="0C7E676A"/>
    <w:rsid w:val="0CC230B5"/>
    <w:rsid w:val="0CC77250"/>
    <w:rsid w:val="0CD93263"/>
    <w:rsid w:val="0D1A5D55"/>
    <w:rsid w:val="0D373BF3"/>
    <w:rsid w:val="0D417485"/>
    <w:rsid w:val="0D7F305A"/>
    <w:rsid w:val="0DA84D74"/>
    <w:rsid w:val="0DB77A48"/>
    <w:rsid w:val="0E250E55"/>
    <w:rsid w:val="0E2B5D40"/>
    <w:rsid w:val="0E5B4877"/>
    <w:rsid w:val="0E7F1E58"/>
    <w:rsid w:val="0EA97F9C"/>
    <w:rsid w:val="0F5F5CA1"/>
    <w:rsid w:val="0F9B4BC9"/>
    <w:rsid w:val="0FB6788B"/>
    <w:rsid w:val="0FC85F3C"/>
    <w:rsid w:val="0FDC3796"/>
    <w:rsid w:val="107A59A6"/>
    <w:rsid w:val="10ED552F"/>
    <w:rsid w:val="113C03CA"/>
    <w:rsid w:val="115B693C"/>
    <w:rsid w:val="118A115F"/>
    <w:rsid w:val="11B45A05"/>
    <w:rsid w:val="11B855BA"/>
    <w:rsid w:val="11BE5174"/>
    <w:rsid w:val="11D737C8"/>
    <w:rsid w:val="12107DED"/>
    <w:rsid w:val="12240AC3"/>
    <w:rsid w:val="12353631"/>
    <w:rsid w:val="1278482A"/>
    <w:rsid w:val="12863121"/>
    <w:rsid w:val="12AB56A1"/>
    <w:rsid w:val="12B04A66"/>
    <w:rsid w:val="12BF1BF0"/>
    <w:rsid w:val="136729AC"/>
    <w:rsid w:val="13851A37"/>
    <w:rsid w:val="138B5F43"/>
    <w:rsid w:val="13A77D4A"/>
    <w:rsid w:val="13BA2040"/>
    <w:rsid w:val="13F74CFE"/>
    <w:rsid w:val="145B2D70"/>
    <w:rsid w:val="14863CD0"/>
    <w:rsid w:val="14B27E01"/>
    <w:rsid w:val="14B43A04"/>
    <w:rsid w:val="14CF38C9"/>
    <w:rsid w:val="14FB646C"/>
    <w:rsid w:val="15613208"/>
    <w:rsid w:val="15680001"/>
    <w:rsid w:val="15804BC3"/>
    <w:rsid w:val="158521DA"/>
    <w:rsid w:val="15A77C94"/>
    <w:rsid w:val="15C947BC"/>
    <w:rsid w:val="15CC7E09"/>
    <w:rsid w:val="15CF3677"/>
    <w:rsid w:val="15E05662"/>
    <w:rsid w:val="15E30B21"/>
    <w:rsid w:val="16090B7C"/>
    <w:rsid w:val="16470173"/>
    <w:rsid w:val="16557DFE"/>
    <w:rsid w:val="167D7355"/>
    <w:rsid w:val="168D7598"/>
    <w:rsid w:val="1694158B"/>
    <w:rsid w:val="16AF343C"/>
    <w:rsid w:val="16C77C29"/>
    <w:rsid w:val="16CB4564"/>
    <w:rsid w:val="16F225A7"/>
    <w:rsid w:val="176C3651"/>
    <w:rsid w:val="177B0796"/>
    <w:rsid w:val="179606CE"/>
    <w:rsid w:val="17A032FB"/>
    <w:rsid w:val="17A76437"/>
    <w:rsid w:val="17C43C1A"/>
    <w:rsid w:val="17DC4231"/>
    <w:rsid w:val="182B52BA"/>
    <w:rsid w:val="18CB0627"/>
    <w:rsid w:val="18D000DB"/>
    <w:rsid w:val="18D55226"/>
    <w:rsid w:val="18D75D4E"/>
    <w:rsid w:val="18F1518C"/>
    <w:rsid w:val="191A0021"/>
    <w:rsid w:val="191A70DD"/>
    <w:rsid w:val="193965C2"/>
    <w:rsid w:val="198D78AF"/>
    <w:rsid w:val="19A97716"/>
    <w:rsid w:val="19DE1923"/>
    <w:rsid w:val="19E52AA1"/>
    <w:rsid w:val="1A2E1092"/>
    <w:rsid w:val="1A670100"/>
    <w:rsid w:val="1A8875E1"/>
    <w:rsid w:val="1AB31597"/>
    <w:rsid w:val="1AB62E35"/>
    <w:rsid w:val="1B1825AA"/>
    <w:rsid w:val="1B4F7512"/>
    <w:rsid w:val="1B576901"/>
    <w:rsid w:val="1B9B201D"/>
    <w:rsid w:val="1C163621"/>
    <w:rsid w:val="1C7625BC"/>
    <w:rsid w:val="1CAC2742"/>
    <w:rsid w:val="1CD81C08"/>
    <w:rsid w:val="1CE04199"/>
    <w:rsid w:val="1D01655B"/>
    <w:rsid w:val="1D0C4F8F"/>
    <w:rsid w:val="1D332083"/>
    <w:rsid w:val="1D4A08EF"/>
    <w:rsid w:val="1E0D0FBE"/>
    <w:rsid w:val="1E1E54FA"/>
    <w:rsid w:val="1E363B74"/>
    <w:rsid w:val="1E614720"/>
    <w:rsid w:val="1E9422E2"/>
    <w:rsid w:val="1EB140BD"/>
    <w:rsid w:val="1EB44C7D"/>
    <w:rsid w:val="1ED42E02"/>
    <w:rsid w:val="1ED8318B"/>
    <w:rsid w:val="1F1C595D"/>
    <w:rsid w:val="1F2B12BD"/>
    <w:rsid w:val="1F2C1918"/>
    <w:rsid w:val="1F43231F"/>
    <w:rsid w:val="1F647304"/>
    <w:rsid w:val="1F9D659A"/>
    <w:rsid w:val="1FAB3324"/>
    <w:rsid w:val="1FE87F35"/>
    <w:rsid w:val="20062169"/>
    <w:rsid w:val="20237250"/>
    <w:rsid w:val="20307CD5"/>
    <w:rsid w:val="209F6845"/>
    <w:rsid w:val="20A911DE"/>
    <w:rsid w:val="20AA5D86"/>
    <w:rsid w:val="20AE148C"/>
    <w:rsid w:val="20BB73F7"/>
    <w:rsid w:val="20CD36FD"/>
    <w:rsid w:val="20F54E6E"/>
    <w:rsid w:val="21030097"/>
    <w:rsid w:val="21151544"/>
    <w:rsid w:val="214574FA"/>
    <w:rsid w:val="21613CCA"/>
    <w:rsid w:val="21B322C4"/>
    <w:rsid w:val="2237286E"/>
    <w:rsid w:val="22396826"/>
    <w:rsid w:val="224631C9"/>
    <w:rsid w:val="225D758A"/>
    <w:rsid w:val="228E2DB0"/>
    <w:rsid w:val="229D0DE7"/>
    <w:rsid w:val="22C9572A"/>
    <w:rsid w:val="231C2767"/>
    <w:rsid w:val="234611FA"/>
    <w:rsid w:val="23696C97"/>
    <w:rsid w:val="236C49D9"/>
    <w:rsid w:val="239A7798"/>
    <w:rsid w:val="23AF6C1B"/>
    <w:rsid w:val="23DF51AB"/>
    <w:rsid w:val="240864B0"/>
    <w:rsid w:val="240C6695"/>
    <w:rsid w:val="244551D8"/>
    <w:rsid w:val="24741D97"/>
    <w:rsid w:val="247B55B1"/>
    <w:rsid w:val="24A00DDE"/>
    <w:rsid w:val="24A24B56"/>
    <w:rsid w:val="24CA7C09"/>
    <w:rsid w:val="25445C0D"/>
    <w:rsid w:val="25590984"/>
    <w:rsid w:val="257E286D"/>
    <w:rsid w:val="25853B30"/>
    <w:rsid w:val="25983863"/>
    <w:rsid w:val="25B20DC9"/>
    <w:rsid w:val="25B74631"/>
    <w:rsid w:val="25D24FC7"/>
    <w:rsid w:val="264B2FCC"/>
    <w:rsid w:val="265A38D5"/>
    <w:rsid w:val="265C0D6F"/>
    <w:rsid w:val="26605B76"/>
    <w:rsid w:val="26E86A6C"/>
    <w:rsid w:val="27100A48"/>
    <w:rsid w:val="272F6449"/>
    <w:rsid w:val="27367428"/>
    <w:rsid w:val="27455C6D"/>
    <w:rsid w:val="27577DD5"/>
    <w:rsid w:val="27696349"/>
    <w:rsid w:val="27AB7E41"/>
    <w:rsid w:val="27B50523"/>
    <w:rsid w:val="27B626C7"/>
    <w:rsid w:val="27CA353C"/>
    <w:rsid w:val="27F96049"/>
    <w:rsid w:val="27FC457D"/>
    <w:rsid w:val="283D1A97"/>
    <w:rsid w:val="289A5B44"/>
    <w:rsid w:val="28BA6802"/>
    <w:rsid w:val="28EC0C04"/>
    <w:rsid w:val="2909657F"/>
    <w:rsid w:val="290F3A5F"/>
    <w:rsid w:val="291122AA"/>
    <w:rsid w:val="294C422D"/>
    <w:rsid w:val="294E705B"/>
    <w:rsid w:val="29A60D2E"/>
    <w:rsid w:val="29D37560"/>
    <w:rsid w:val="2A0B4F4C"/>
    <w:rsid w:val="2A1E4B2A"/>
    <w:rsid w:val="2A3D51DB"/>
    <w:rsid w:val="2A41096D"/>
    <w:rsid w:val="2AAC181C"/>
    <w:rsid w:val="2AB63109"/>
    <w:rsid w:val="2B0A0673"/>
    <w:rsid w:val="2B163BA8"/>
    <w:rsid w:val="2B6D7ACB"/>
    <w:rsid w:val="2BB86A0D"/>
    <w:rsid w:val="2BEA2D44"/>
    <w:rsid w:val="2C0559CB"/>
    <w:rsid w:val="2C1C4194"/>
    <w:rsid w:val="2C3F3CDD"/>
    <w:rsid w:val="2C450C47"/>
    <w:rsid w:val="2C4B162F"/>
    <w:rsid w:val="2C6A60BC"/>
    <w:rsid w:val="2CEB696E"/>
    <w:rsid w:val="2CF2743D"/>
    <w:rsid w:val="2D2105E2"/>
    <w:rsid w:val="2D3558AF"/>
    <w:rsid w:val="2D5F54FA"/>
    <w:rsid w:val="2DB31B82"/>
    <w:rsid w:val="2DE7182C"/>
    <w:rsid w:val="2E0929AB"/>
    <w:rsid w:val="2E32595E"/>
    <w:rsid w:val="2E39231C"/>
    <w:rsid w:val="2E417E9E"/>
    <w:rsid w:val="2E6469D8"/>
    <w:rsid w:val="2E9279E9"/>
    <w:rsid w:val="2EAE1CF7"/>
    <w:rsid w:val="2ECD6330"/>
    <w:rsid w:val="2ED2428A"/>
    <w:rsid w:val="2EF22714"/>
    <w:rsid w:val="2F3E191F"/>
    <w:rsid w:val="2F432A92"/>
    <w:rsid w:val="2F7E7F6E"/>
    <w:rsid w:val="2F8E270B"/>
    <w:rsid w:val="302D3F11"/>
    <w:rsid w:val="3034687E"/>
    <w:rsid w:val="306F78B6"/>
    <w:rsid w:val="30727760"/>
    <w:rsid w:val="3075311F"/>
    <w:rsid w:val="309317F7"/>
    <w:rsid w:val="312E32CE"/>
    <w:rsid w:val="314011DB"/>
    <w:rsid w:val="31692558"/>
    <w:rsid w:val="31B94249"/>
    <w:rsid w:val="31F52043"/>
    <w:rsid w:val="323B3EF4"/>
    <w:rsid w:val="323B5CA2"/>
    <w:rsid w:val="323F7C3F"/>
    <w:rsid w:val="324A67B5"/>
    <w:rsid w:val="326E52D5"/>
    <w:rsid w:val="32817F4C"/>
    <w:rsid w:val="32B179C7"/>
    <w:rsid w:val="32BF2D77"/>
    <w:rsid w:val="32DE50AA"/>
    <w:rsid w:val="32E34AE1"/>
    <w:rsid w:val="33122EC2"/>
    <w:rsid w:val="33580FBC"/>
    <w:rsid w:val="33680D19"/>
    <w:rsid w:val="336D27D3"/>
    <w:rsid w:val="337551E4"/>
    <w:rsid w:val="33B020B6"/>
    <w:rsid w:val="33BA709B"/>
    <w:rsid w:val="33C56275"/>
    <w:rsid w:val="33D95773"/>
    <w:rsid w:val="33F23CB8"/>
    <w:rsid w:val="341E3ACD"/>
    <w:rsid w:val="34256C0A"/>
    <w:rsid w:val="345E6CDD"/>
    <w:rsid w:val="348B1019"/>
    <w:rsid w:val="348E2A01"/>
    <w:rsid w:val="34A83397"/>
    <w:rsid w:val="34EE16F2"/>
    <w:rsid w:val="35215623"/>
    <w:rsid w:val="3533104D"/>
    <w:rsid w:val="358D28B0"/>
    <w:rsid w:val="35D15BBC"/>
    <w:rsid w:val="363B0967"/>
    <w:rsid w:val="3660230D"/>
    <w:rsid w:val="36877708"/>
    <w:rsid w:val="369D33CF"/>
    <w:rsid w:val="37441A9D"/>
    <w:rsid w:val="37502E0D"/>
    <w:rsid w:val="377803A6"/>
    <w:rsid w:val="37895702"/>
    <w:rsid w:val="379522F8"/>
    <w:rsid w:val="37973F65"/>
    <w:rsid w:val="37A46956"/>
    <w:rsid w:val="37BE2895"/>
    <w:rsid w:val="3812280E"/>
    <w:rsid w:val="385E6B8E"/>
    <w:rsid w:val="38855EC9"/>
    <w:rsid w:val="38DF7CCF"/>
    <w:rsid w:val="3902751A"/>
    <w:rsid w:val="390B6C3F"/>
    <w:rsid w:val="397877DC"/>
    <w:rsid w:val="39962CB8"/>
    <w:rsid w:val="39A71E6F"/>
    <w:rsid w:val="39B44AD7"/>
    <w:rsid w:val="39D1731B"/>
    <w:rsid w:val="3A30687B"/>
    <w:rsid w:val="3A414F2A"/>
    <w:rsid w:val="3A572A0C"/>
    <w:rsid w:val="3A7158D5"/>
    <w:rsid w:val="3A960861"/>
    <w:rsid w:val="3AB6680E"/>
    <w:rsid w:val="3AF31810"/>
    <w:rsid w:val="3B015D67"/>
    <w:rsid w:val="3B1E1FEA"/>
    <w:rsid w:val="3B221820"/>
    <w:rsid w:val="3B4B47A2"/>
    <w:rsid w:val="3B675D5A"/>
    <w:rsid w:val="3B816181"/>
    <w:rsid w:val="3BBD5F23"/>
    <w:rsid w:val="3BE21B2F"/>
    <w:rsid w:val="3C046AB8"/>
    <w:rsid w:val="3C183777"/>
    <w:rsid w:val="3C37572C"/>
    <w:rsid w:val="3C706E90"/>
    <w:rsid w:val="3C7C5835"/>
    <w:rsid w:val="3C830972"/>
    <w:rsid w:val="3CA233BF"/>
    <w:rsid w:val="3CD922A5"/>
    <w:rsid w:val="3D073351"/>
    <w:rsid w:val="3D801355"/>
    <w:rsid w:val="3DBB00BE"/>
    <w:rsid w:val="3E9F580B"/>
    <w:rsid w:val="3EBD2D69"/>
    <w:rsid w:val="3EF64DDA"/>
    <w:rsid w:val="3F212046"/>
    <w:rsid w:val="3F634A8A"/>
    <w:rsid w:val="3F697127"/>
    <w:rsid w:val="3FE05661"/>
    <w:rsid w:val="4004001B"/>
    <w:rsid w:val="401126BE"/>
    <w:rsid w:val="408F1FDB"/>
    <w:rsid w:val="40AD420F"/>
    <w:rsid w:val="40B51316"/>
    <w:rsid w:val="40E031C9"/>
    <w:rsid w:val="40E340D5"/>
    <w:rsid w:val="40E35E83"/>
    <w:rsid w:val="40F938F8"/>
    <w:rsid w:val="413A71CB"/>
    <w:rsid w:val="414F52C6"/>
    <w:rsid w:val="418036D2"/>
    <w:rsid w:val="41F30A12"/>
    <w:rsid w:val="420605A3"/>
    <w:rsid w:val="42366486"/>
    <w:rsid w:val="424B1F31"/>
    <w:rsid w:val="4253528A"/>
    <w:rsid w:val="42997141"/>
    <w:rsid w:val="429A5D42"/>
    <w:rsid w:val="42C27294"/>
    <w:rsid w:val="42C45840"/>
    <w:rsid w:val="42CF60C1"/>
    <w:rsid w:val="435A14A9"/>
    <w:rsid w:val="43655275"/>
    <w:rsid w:val="43E3201A"/>
    <w:rsid w:val="43F839F3"/>
    <w:rsid w:val="44112439"/>
    <w:rsid w:val="441F5424"/>
    <w:rsid w:val="44464165"/>
    <w:rsid w:val="445F1CC4"/>
    <w:rsid w:val="446831B0"/>
    <w:rsid w:val="447E2955"/>
    <w:rsid w:val="44A1408B"/>
    <w:rsid w:val="44B6565C"/>
    <w:rsid w:val="455235D7"/>
    <w:rsid w:val="455D6476"/>
    <w:rsid w:val="460B12FA"/>
    <w:rsid w:val="463C2C63"/>
    <w:rsid w:val="464715CA"/>
    <w:rsid w:val="466A4950"/>
    <w:rsid w:val="467B6DD0"/>
    <w:rsid w:val="46AC02CF"/>
    <w:rsid w:val="46AD19AA"/>
    <w:rsid w:val="46C027C2"/>
    <w:rsid w:val="46E44703"/>
    <w:rsid w:val="46F70C58"/>
    <w:rsid w:val="46FF778E"/>
    <w:rsid w:val="4723522B"/>
    <w:rsid w:val="47525B10"/>
    <w:rsid w:val="477F61D9"/>
    <w:rsid w:val="47841A42"/>
    <w:rsid w:val="47B57E4D"/>
    <w:rsid w:val="47D20CA6"/>
    <w:rsid w:val="47E50732"/>
    <w:rsid w:val="47EE3067"/>
    <w:rsid w:val="48192719"/>
    <w:rsid w:val="4826071F"/>
    <w:rsid w:val="489669BD"/>
    <w:rsid w:val="48AE4FC8"/>
    <w:rsid w:val="48B06F92"/>
    <w:rsid w:val="48D16F09"/>
    <w:rsid w:val="4913307D"/>
    <w:rsid w:val="492670D2"/>
    <w:rsid w:val="4946722B"/>
    <w:rsid w:val="49607A70"/>
    <w:rsid w:val="49724D0C"/>
    <w:rsid w:val="4995452E"/>
    <w:rsid w:val="4A174DEF"/>
    <w:rsid w:val="4A6022F2"/>
    <w:rsid w:val="4AA85A47"/>
    <w:rsid w:val="4AB60164"/>
    <w:rsid w:val="4AC76815"/>
    <w:rsid w:val="4ADD3943"/>
    <w:rsid w:val="4B4475D2"/>
    <w:rsid w:val="4B475260"/>
    <w:rsid w:val="4B644064"/>
    <w:rsid w:val="4B661B8A"/>
    <w:rsid w:val="4B7C315C"/>
    <w:rsid w:val="4B9F3BB2"/>
    <w:rsid w:val="4BA426B2"/>
    <w:rsid w:val="4BCD1C09"/>
    <w:rsid w:val="4C23177E"/>
    <w:rsid w:val="4C86359F"/>
    <w:rsid w:val="4CA25171"/>
    <w:rsid w:val="4D072EF9"/>
    <w:rsid w:val="4D1E4DF7"/>
    <w:rsid w:val="4D2179A0"/>
    <w:rsid w:val="4D3A1520"/>
    <w:rsid w:val="4D472F3D"/>
    <w:rsid w:val="4D4F4053"/>
    <w:rsid w:val="4DA42E3E"/>
    <w:rsid w:val="4DBE3EFF"/>
    <w:rsid w:val="4DD728CB"/>
    <w:rsid w:val="4DDD3AAB"/>
    <w:rsid w:val="4DDF5C24"/>
    <w:rsid w:val="4DE6535D"/>
    <w:rsid w:val="4E061402"/>
    <w:rsid w:val="4E497600"/>
    <w:rsid w:val="4E516B22"/>
    <w:rsid w:val="4E6C5709"/>
    <w:rsid w:val="4E726A98"/>
    <w:rsid w:val="4E766588"/>
    <w:rsid w:val="4E944C60"/>
    <w:rsid w:val="4EE73F8B"/>
    <w:rsid w:val="4F272DEC"/>
    <w:rsid w:val="4F371F35"/>
    <w:rsid w:val="4F6C0426"/>
    <w:rsid w:val="4F735B65"/>
    <w:rsid w:val="4F980780"/>
    <w:rsid w:val="4FE81E63"/>
    <w:rsid w:val="4FEE1983"/>
    <w:rsid w:val="50067498"/>
    <w:rsid w:val="506D3550"/>
    <w:rsid w:val="50BF2DEC"/>
    <w:rsid w:val="51056772"/>
    <w:rsid w:val="514E559A"/>
    <w:rsid w:val="515C2C15"/>
    <w:rsid w:val="5170009C"/>
    <w:rsid w:val="51A76A58"/>
    <w:rsid w:val="51C969CF"/>
    <w:rsid w:val="51E269DA"/>
    <w:rsid w:val="52065EB5"/>
    <w:rsid w:val="520774F7"/>
    <w:rsid w:val="523C1897"/>
    <w:rsid w:val="524D5852"/>
    <w:rsid w:val="52542378"/>
    <w:rsid w:val="52F65D25"/>
    <w:rsid w:val="52FB3500"/>
    <w:rsid w:val="52FC2DD4"/>
    <w:rsid w:val="52FD1026"/>
    <w:rsid w:val="532F6B09"/>
    <w:rsid w:val="535449BE"/>
    <w:rsid w:val="535E74E0"/>
    <w:rsid w:val="538C5F06"/>
    <w:rsid w:val="538E22AC"/>
    <w:rsid w:val="5394408B"/>
    <w:rsid w:val="53A939EF"/>
    <w:rsid w:val="53C54A2F"/>
    <w:rsid w:val="54240360"/>
    <w:rsid w:val="54534C76"/>
    <w:rsid w:val="545D78A2"/>
    <w:rsid w:val="54BF6A11"/>
    <w:rsid w:val="554051FA"/>
    <w:rsid w:val="554271C4"/>
    <w:rsid w:val="557A79D9"/>
    <w:rsid w:val="559531DE"/>
    <w:rsid w:val="559E4304"/>
    <w:rsid w:val="55C7591B"/>
    <w:rsid w:val="55E53FF3"/>
    <w:rsid w:val="560157A1"/>
    <w:rsid w:val="5613290E"/>
    <w:rsid w:val="565C0354"/>
    <w:rsid w:val="56666EE2"/>
    <w:rsid w:val="56ED7D9B"/>
    <w:rsid w:val="570A47CC"/>
    <w:rsid w:val="57361328"/>
    <w:rsid w:val="57827D4C"/>
    <w:rsid w:val="57914433"/>
    <w:rsid w:val="57A777B2"/>
    <w:rsid w:val="57BF1BC9"/>
    <w:rsid w:val="57E6326E"/>
    <w:rsid w:val="57E814D0"/>
    <w:rsid w:val="57FB365A"/>
    <w:rsid w:val="582F73E6"/>
    <w:rsid w:val="58733B38"/>
    <w:rsid w:val="58F74716"/>
    <w:rsid w:val="591744C4"/>
    <w:rsid w:val="592D018B"/>
    <w:rsid w:val="593250E7"/>
    <w:rsid w:val="594902D2"/>
    <w:rsid w:val="59BB24B6"/>
    <w:rsid w:val="5A0C4E48"/>
    <w:rsid w:val="5A2C3F9F"/>
    <w:rsid w:val="5A3A490E"/>
    <w:rsid w:val="5A470DD9"/>
    <w:rsid w:val="5A7476F4"/>
    <w:rsid w:val="5AB3646E"/>
    <w:rsid w:val="5AEB3DAC"/>
    <w:rsid w:val="5B0311A3"/>
    <w:rsid w:val="5B2551F4"/>
    <w:rsid w:val="5B344FE4"/>
    <w:rsid w:val="5B7C7628"/>
    <w:rsid w:val="5BA504AD"/>
    <w:rsid w:val="5BD91C49"/>
    <w:rsid w:val="5BED0326"/>
    <w:rsid w:val="5C2F1392"/>
    <w:rsid w:val="5C4B1054"/>
    <w:rsid w:val="5C596881"/>
    <w:rsid w:val="5C7414C4"/>
    <w:rsid w:val="5C8E01AF"/>
    <w:rsid w:val="5C936933"/>
    <w:rsid w:val="5C99260E"/>
    <w:rsid w:val="5CAC13C7"/>
    <w:rsid w:val="5CC21B66"/>
    <w:rsid w:val="5D0631CD"/>
    <w:rsid w:val="5D276C9F"/>
    <w:rsid w:val="5D4C4397"/>
    <w:rsid w:val="5D890DED"/>
    <w:rsid w:val="5DA66ECD"/>
    <w:rsid w:val="5DB85D8D"/>
    <w:rsid w:val="5DC71B9F"/>
    <w:rsid w:val="5E111E29"/>
    <w:rsid w:val="5E510478"/>
    <w:rsid w:val="5E744166"/>
    <w:rsid w:val="5E9E65B2"/>
    <w:rsid w:val="5EB250B7"/>
    <w:rsid w:val="5EC83355"/>
    <w:rsid w:val="5EDF5A84"/>
    <w:rsid w:val="5F2B2A77"/>
    <w:rsid w:val="5F3E3824"/>
    <w:rsid w:val="5F8D1984"/>
    <w:rsid w:val="5FD200AD"/>
    <w:rsid w:val="5FD27396"/>
    <w:rsid w:val="5FD30456"/>
    <w:rsid w:val="5FD44EBD"/>
    <w:rsid w:val="5FE40CB2"/>
    <w:rsid w:val="600523D3"/>
    <w:rsid w:val="60331883"/>
    <w:rsid w:val="605472DD"/>
    <w:rsid w:val="60AE63FE"/>
    <w:rsid w:val="610608D3"/>
    <w:rsid w:val="611D1A76"/>
    <w:rsid w:val="61300818"/>
    <w:rsid w:val="61857C06"/>
    <w:rsid w:val="619012B7"/>
    <w:rsid w:val="61CA73E7"/>
    <w:rsid w:val="61DF79A0"/>
    <w:rsid w:val="61F77588"/>
    <w:rsid w:val="62040791"/>
    <w:rsid w:val="621041A6"/>
    <w:rsid w:val="625816D6"/>
    <w:rsid w:val="62851733"/>
    <w:rsid w:val="62A07483"/>
    <w:rsid w:val="6304773C"/>
    <w:rsid w:val="63730E90"/>
    <w:rsid w:val="637C31BE"/>
    <w:rsid w:val="63F43D7F"/>
    <w:rsid w:val="63FA6EBC"/>
    <w:rsid w:val="64216B3E"/>
    <w:rsid w:val="644B7717"/>
    <w:rsid w:val="645C36D2"/>
    <w:rsid w:val="647C1FC7"/>
    <w:rsid w:val="64A90948"/>
    <w:rsid w:val="64AA6B34"/>
    <w:rsid w:val="64EA6F30"/>
    <w:rsid w:val="64FA08A5"/>
    <w:rsid w:val="65240698"/>
    <w:rsid w:val="652630B9"/>
    <w:rsid w:val="652D7C77"/>
    <w:rsid w:val="65875B8B"/>
    <w:rsid w:val="65F242EE"/>
    <w:rsid w:val="66524D8D"/>
    <w:rsid w:val="666F7E07"/>
    <w:rsid w:val="667747F4"/>
    <w:rsid w:val="670D5158"/>
    <w:rsid w:val="6718581E"/>
    <w:rsid w:val="6719094F"/>
    <w:rsid w:val="6759214B"/>
    <w:rsid w:val="6765041B"/>
    <w:rsid w:val="677F7E04"/>
    <w:rsid w:val="678E44EB"/>
    <w:rsid w:val="67B9615C"/>
    <w:rsid w:val="67E61308"/>
    <w:rsid w:val="67E71070"/>
    <w:rsid w:val="68000819"/>
    <w:rsid w:val="68386205"/>
    <w:rsid w:val="68E0136D"/>
    <w:rsid w:val="68EB5291"/>
    <w:rsid w:val="69245997"/>
    <w:rsid w:val="693924D4"/>
    <w:rsid w:val="69431305"/>
    <w:rsid w:val="69701C8D"/>
    <w:rsid w:val="69B420B5"/>
    <w:rsid w:val="69CC4E56"/>
    <w:rsid w:val="69D370C5"/>
    <w:rsid w:val="69F61ED3"/>
    <w:rsid w:val="6A020EDC"/>
    <w:rsid w:val="6A072332"/>
    <w:rsid w:val="6A640D8F"/>
    <w:rsid w:val="6AF24DBB"/>
    <w:rsid w:val="6B1E2737"/>
    <w:rsid w:val="6B3F1F80"/>
    <w:rsid w:val="6C0C3C30"/>
    <w:rsid w:val="6C0E2555"/>
    <w:rsid w:val="6C517895"/>
    <w:rsid w:val="6C8A7724"/>
    <w:rsid w:val="6C9D03CE"/>
    <w:rsid w:val="6CEF1588"/>
    <w:rsid w:val="6CF90658"/>
    <w:rsid w:val="6D062D75"/>
    <w:rsid w:val="6D1234C8"/>
    <w:rsid w:val="6D467CD3"/>
    <w:rsid w:val="6D4D62AE"/>
    <w:rsid w:val="6D793547"/>
    <w:rsid w:val="6D800432"/>
    <w:rsid w:val="6D865144"/>
    <w:rsid w:val="6D8E2E7E"/>
    <w:rsid w:val="6D8E6FF3"/>
    <w:rsid w:val="6DBB3B60"/>
    <w:rsid w:val="6DED319C"/>
    <w:rsid w:val="6E1868BC"/>
    <w:rsid w:val="6E1D0376"/>
    <w:rsid w:val="6E217876"/>
    <w:rsid w:val="6E565636"/>
    <w:rsid w:val="6EA2087C"/>
    <w:rsid w:val="6EA325D7"/>
    <w:rsid w:val="6EF53022"/>
    <w:rsid w:val="6F1D3D63"/>
    <w:rsid w:val="6F247264"/>
    <w:rsid w:val="6F92269E"/>
    <w:rsid w:val="6FE62BC5"/>
    <w:rsid w:val="70085806"/>
    <w:rsid w:val="70350A2D"/>
    <w:rsid w:val="705362D1"/>
    <w:rsid w:val="705F07D2"/>
    <w:rsid w:val="707B75D6"/>
    <w:rsid w:val="70A14E15"/>
    <w:rsid w:val="70B87E32"/>
    <w:rsid w:val="70E94540"/>
    <w:rsid w:val="70FE448F"/>
    <w:rsid w:val="716D33C3"/>
    <w:rsid w:val="718801FD"/>
    <w:rsid w:val="71902C0D"/>
    <w:rsid w:val="71AA1F21"/>
    <w:rsid w:val="71B52674"/>
    <w:rsid w:val="71C31235"/>
    <w:rsid w:val="71D76CCE"/>
    <w:rsid w:val="722225DB"/>
    <w:rsid w:val="723143F0"/>
    <w:rsid w:val="729329B5"/>
    <w:rsid w:val="72A2709C"/>
    <w:rsid w:val="72C60FDD"/>
    <w:rsid w:val="7300727B"/>
    <w:rsid w:val="73027B3B"/>
    <w:rsid w:val="734343DB"/>
    <w:rsid w:val="736F3682"/>
    <w:rsid w:val="73A65AFE"/>
    <w:rsid w:val="73D67F7A"/>
    <w:rsid w:val="73E536E4"/>
    <w:rsid w:val="74185A8C"/>
    <w:rsid w:val="7440091B"/>
    <w:rsid w:val="7494340B"/>
    <w:rsid w:val="74A23383"/>
    <w:rsid w:val="74B23D44"/>
    <w:rsid w:val="74DD704E"/>
    <w:rsid w:val="752E4C17"/>
    <w:rsid w:val="75F81663"/>
    <w:rsid w:val="76311B65"/>
    <w:rsid w:val="76630D4C"/>
    <w:rsid w:val="76740D50"/>
    <w:rsid w:val="76B36162"/>
    <w:rsid w:val="76C73713"/>
    <w:rsid w:val="76DC6FEB"/>
    <w:rsid w:val="76E25CB9"/>
    <w:rsid w:val="770910A8"/>
    <w:rsid w:val="771A08AE"/>
    <w:rsid w:val="77440722"/>
    <w:rsid w:val="777128B1"/>
    <w:rsid w:val="77901BB9"/>
    <w:rsid w:val="77AA696A"/>
    <w:rsid w:val="77B604D5"/>
    <w:rsid w:val="77CB7D2F"/>
    <w:rsid w:val="77E93077"/>
    <w:rsid w:val="781B5927"/>
    <w:rsid w:val="78387B4C"/>
    <w:rsid w:val="783E66FE"/>
    <w:rsid w:val="784C3D32"/>
    <w:rsid w:val="784F737E"/>
    <w:rsid w:val="78520C1D"/>
    <w:rsid w:val="78545197"/>
    <w:rsid w:val="787E1A12"/>
    <w:rsid w:val="79053EE1"/>
    <w:rsid w:val="79144124"/>
    <w:rsid w:val="7923015C"/>
    <w:rsid w:val="793D48A8"/>
    <w:rsid w:val="79506026"/>
    <w:rsid w:val="79595125"/>
    <w:rsid w:val="796230E1"/>
    <w:rsid w:val="798200B7"/>
    <w:rsid w:val="798902DE"/>
    <w:rsid w:val="798E02E4"/>
    <w:rsid w:val="79CE2CFE"/>
    <w:rsid w:val="79D008E6"/>
    <w:rsid w:val="79D044EF"/>
    <w:rsid w:val="7A2605B3"/>
    <w:rsid w:val="7A2A2CC5"/>
    <w:rsid w:val="7A3E36D0"/>
    <w:rsid w:val="7A765096"/>
    <w:rsid w:val="7AAB2866"/>
    <w:rsid w:val="7AE9377F"/>
    <w:rsid w:val="7B142536"/>
    <w:rsid w:val="7B225A30"/>
    <w:rsid w:val="7B5D1DB2"/>
    <w:rsid w:val="7B664481"/>
    <w:rsid w:val="7B8B4A70"/>
    <w:rsid w:val="7B8F2A7B"/>
    <w:rsid w:val="7B9334F5"/>
    <w:rsid w:val="7BE646C2"/>
    <w:rsid w:val="7C120DEF"/>
    <w:rsid w:val="7C30396B"/>
    <w:rsid w:val="7CCD740C"/>
    <w:rsid w:val="7CDE33C7"/>
    <w:rsid w:val="7CE464A4"/>
    <w:rsid w:val="7D362C80"/>
    <w:rsid w:val="7D404A71"/>
    <w:rsid w:val="7D433490"/>
    <w:rsid w:val="7D502CB8"/>
    <w:rsid w:val="7D550142"/>
    <w:rsid w:val="7DD17CA7"/>
    <w:rsid w:val="7DD2150D"/>
    <w:rsid w:val="7DE62533"/>
    <w:rsid w:val="7DFF7C63"/>
    <w:rsid w:val="7E33329E"/>
    <w:rsid w:val="7E464BBC"/>
    <w:rsid w:val="7E5D4DAC"/>
    <w:rsid w:val="7EA92FCB"/>
    <w:rsid w:val="7ED71E7C"/>
    <w:rsid w:val="7F0E5296"/>
    <w:rsid w:val="7F0F2700"/>
    <w:rsid w:val="7F392B36"/>
    <w:rsid w:val="7F4734A5"/>
    <w:rsid w:val="7F932059"/>
    <w:rsid w:val="7FA802AC"/>
    <w:rsid w:val="7FCC2B42"/>
    <w:rsid w:val="7FE40CF4"/>
    <w:rsid w:val="7FE7253A"/>
    <w:rsid w:val="7FEC1957"/>
    <w:rsid w:val="7FF014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bidi w:val="0"/>
      <w:spacing w:line="360" w:lineRule="auto"/>
      <w:ind w:firstLine="480"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26"/>
    <w:qFormat/>
    <w:uiPriority w:val="0"/>
    <w:pPr>
      <w:keepNext/>
      <w:keepLines/>
      <w:numPr>
        <w:ilvl w:val="0"/>
        <w:numId w:val="1"/>
      </w:numPr>
      <w:spacing w:beforeLines="0" w:afterLines="0"/>
      <w:ind w:firstLine="0" w:firstLineChars="0"/>
      <w:jc w:val="center"/>
      <w:outlineLvl w:val="0"/>
    </w:pPr>
    <w:rPr>
      <w:rFonts w:eastAsia="黑体"/>
      <w:b/>
      <w:kern w:val="44"/>
      <w:sz w:val="32"/>
    </w:rPr>
  </w:style>
  <w:style w:type="paragraph" w:styleId="3">
    <w:name w:val="heading 2"/>
    <w:basedOn w:val="1"/>
    <w:next w:val="1"/>
    <w:link w:val="25"/>
    <w:autoRedefine/>
    <w:unhideWhenUsed/>
    <w:qFormat/>
    <w:uiPriority w:val="0"/>
    <w:pPr>
      <w:keepNext/>
      <w:keepLines/>
      <w:spacing w:beforeLines="0" w:beforeAutospacing="0" w:afterLines="0" w:afterAutospacing="0" w:line="360" w:lineRule="auto"/>
      <w:ind w:left="240" w:leftChars="100" w:firstLine="0" w:firstLineChars="0"/>
      <w:outlineLvl w:val="1"/>
    </w:pPr>
    <w:rPr>
      <w:rFonts w:eastAsia="黑体"/>
      <w:b/>
      <w:sz w:val="30"/>
    </w:rPr>
  </w:style>
  <w:style w:type="paragraph" w:styleId="4">
    <w:name w:val="heading 3"/>
    <w:basedOn w:val="1"/>
    <w:next w:val="1"/>
    <w:link w:val="36"/>
    <w:autoRedefine/>
    <w:unhideWhenUsed/>
    <w:qFormat/>
    <w:uiPriority w:val="0"/>
    <w:pPr>
      <w:keepNext/>
      <w:keepLines/>
      <w:spacing w:beforeLines="0" w:beforeAutospacing="0" w:afterLines="0" w:afterAutospacing="0" w:line="360" w:lineRule="auto"/>
      <w:ind w:left="480" w:leftChars="200" w:firstLine="0" w:firstLineChars="0"/>
      <w:outlineLvl w:val="2"/>
    </w:pPr>
    <w:rPr>
      <w:rFonts w:eastAsia="黑体"/>
      <w:b/>
      <w:sz w:val="28"/>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autoRedefine/>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rmal Indent"/>
    <w:qFormat/>
    <w:uiPriority w:val="0"/>
    <w:pPr>
      <w:widowControl/>
      <w:spacing w:line="360" w:lineRule="auto"/>
      <w:ind w:firstLine="560" w:firstLineChars="200"/>
      <w:jc w:val="left"/>
    </w:pPr>
    <w:rPr>
      <w:rFonts w:ascii="Times New Roman" w:hAnsi="Times New Roman" w:eastAsia="宋体" w:cs="Times New Roman"/>
      <w:kern w:val="0"/>
      <w:sz w:val="28"/>
      <w:szCs w:val="20"/>
      <w:lang w:val="en-US" w:eastAsia="zh-CN" w:bidi="ar-SA"/>
    </w:rPr>
  </w:style>
  <w:style w:type="paragraph" w:styleId="7">
    <w:name w:val="toa heading"/>
    <w:next w:val="1"/>
    <w:qFormat/>
    <w:uiPriority w:val="0"/>
    <w:pPr>
      <w:widowControl w:val="0"/>
      <w:spacing w:before="120"/>
      <w:jc w:val="both"/>
    </w:pPr>
    <w:rPr>
      <w:rFonts w:ascii="Cambria" w:hAnsi="Cambria" w:eastAsia="宋体" w:cs="Times New Roman"/>
      <w:kern w:val="2"/>
      <w:sz w:val="24"/>
      <w:szCs w:val="24"/>
      <w:lang w:val="en-US" w:eastAsia="zh-CN" w:bidi="ar-SA"/>
    </w:rPr>
  </w:style>
  <w:style w:type="paragraph" w:styleId="8">
    <w:name w:val="annotation text"/>
    <w:basedOn w:val="1"/>
    <w:autoRedefine/>
    <w:qFormat/>
    <w:uiPriority w:val="0"/>
    <w:pPr>
      <w:jc w:val="left"/>
    </w:pPr>
  </w:style>
  <w:style w:type="paragraph" w:styleId="9">
    <w:name w:val="Body Text"/>
    <w:basedOn w:val="1"/>
    <w:next w:val="1"/>
    <w:autoRedefine/>
    <w:semiHidden/>
    <w:qFormat/>
    <w:uiPriority w:val="0"/>
    <w:rPr>
      <w:rFonts w:ascii="Arial" w:hAnsi="Arial" w:eastAsia="Arial" w:cs="Arial"/>
      <w:sz w:val="21"/>
      <w:szCs w:val="21"/>
      <w:lang w:val="en-US" w:eastAsia="en-US" w:bidi="ar-SA"/>
    </w:rPr>
  </w:style>
  <w:style w:type="paragraph" w:styleId="10">
    <w:name w:val="Body Text Indent"/>
    <w:autoRedefine/>
    <w:qFormat/>
    <w:uiPriority w:val="0"/>
    <w:pPr>
      <w:widowControl w:val="0"/>
      <w:ind w:firstLine="560" w:firstLineChars="200"/>
      <w:jc w:val="both"/>
    </w:pPr>
    <w:rPr>
      <w:rFonts w:ascii="Times New Roman" w:hAnsi="Times New Roman" w:eastAsia="宋体" w:cs="Times New Roman"/>
      <w:kern w:val="2"/>
      <w:sz w:val="28"/>
      <w:szCs w:val="24"/>
      <w:lang w:val="en-US" w:eastAsia="zh-CN" w:bidi="ar-SA"/>
    </w:rPr>
  </w:style>
  <w:style w:type="paragraph" w:styleId="11">
    <w:name w:val="toc 3"/>
    <w:basedOn w:val="1"/>
    <w:next w:val="1"/>
    <w:autoRedefine/>
    <w:qFormat/>
    <w:uiPriority w:val="0"/>
    <w:pPr>
      <w:spacing w:line="240" w:lineRule="auto"/>
      <w:ind w:left="840" w:leftChars="400" w:firstLine="0" w:firstLineChars="0"/>
    </w:pPr>
    <w:rPr>
      <w:rFonts w:ascii="Times New Roman" w:hAnsi="Times New Roman" w:eastAsia="宋体"/>
      <w:sz w:val="21"/>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link w:val="28"/>
    <w:autoRedefine/>
    <w:qFormat/>
    <w:uiPriority w:val="0"/>
    <w:pPr>
      <w:spacing w:line="240" w:lineRule="auto"/>
      <w:ind w:firstLine="0" w:firstLineChars="0"/>
    </w:pPr>
    <w:rPr>
      <w:rFonts w:ascii="Times New Roman" w:hAnsi="Times New Roman" w:eastAsia="宋体"/>
    </w:rPr>
  </w:style>
  <w:style w:type="paragraph" w:styleId="15">
    <w:name w:val="toc 2"/>
    <w:basedOn w:val="1"/>
    <w:next w:val="1"/>
    <w:autoRedefine/>
    <w:qFormat/>
    <w:uiPriority w:val="0"/>
    <w:pPr>
      <w:spacing w:line="240" w:lineRule="auto"/>
      <w:ind w:left="420" w:leftChars="200" w:firstLine="0" w:firstLineChars="0"/>
    </w:pPr>
    <w:rPr>
      <w:rFonts w:ascii="Times New Roman" w:hAnsi="Times New Roman" w:eastAsia="宋体"/>
      <w:sz w:val="24"/>
    </w:rPr>
  </w:style>
  <w:style w:type="paragraph" w:styleId="16">
    <w:name w:val="Normal (Web)"/>
    <w:autoRedefine/>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styleId="17">
    <w:name w:val="Title"/>
    <w:next w:val="1"/>
    <w:qFormat/>
    <w:uiPriority w:val="0"/>
    <w:pPr>
      <w:keepNext/>
      <w:keepLines/>
      <w:widowControl w:val="0"/>
      <w:tabs>
        <w:tab w:val="left" w:pos="360"/>
      </w:tabs>
      <w:autoSpaceDE/>
      <w:autoSpaceDN/>
      <w:spacing w:before="120" w:beforeLines="0" w:after="120" w:afterLines="0"/>
      <w:ind w:left="360" w:hanging="360" w:firstLineChars="0"/>
      <w:jc w:val="both"/>
      <w:outlineLvl w:val="9"/>
    </w:pPr>
    <w:rPr>
      <w:rFonts w:ascii="Times New Roman" w:hAnsi="Times New Roman" w:eastAsia="宋体" w:cs="Times New Roman"/>
      <w:b/>
      <w:kern w:val="44"/>
      <w:sz w:val="21"/>
      <w:szCs w:val="44"/>
      <w:lang w:val="en-US" w:eastAsia="zh-CN" w:bidi="ar-SA"/>
    </w:rPr>
  </w:style>
  <w:style w:type="paragraph" w:styleId="18">
    <w:name w:val="Body Text First Indent 2"/>
    <w:next w:val="1"/>
    <w:autoRedefine/>
    <w:qFormat/>
    <w:uiPriority w:val="0"/>
    <w:pPr>
      <w:spacing w:after="120" w:afterLines="0" w:line="600" w:lineRule="exact"/>
      <w:ind w:left="420" w:leftChars="200" w:firstLine="420" w:firstLineChars="200"/>
    </w:pPr>
    <w:rPr>
      <w:rFonts w:ascii="宋体" w:hAnsi="宋体" w:eastAsia="宋体" w:cs="宋体"/>
      <w:kern w:val="0"/>
      <w:sz w:val="24"/>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basedOn w:val="21"/>
    <w:autoRedefine/>
    <w:qFormat/>
    <w:uiPriority w:val="0"/>
  </w:style>
  <w:style w:type="paragraph" w:customStyle="1" w:styleId="24">
    <w:name w:val=" Char Char1 Char Char Char Char"/>
    <w:qFormat/>
    <w:uiPriority w:val="0"/>
    <w:pPr>
      <w:widowControl w:val="0"/>
      <w:spacing w:line="360" w:lineRule="auto"/>
      <w:ind w:firstLine="880" w:firstLineChars="200"/>
      <w:jc w:val="both"/>
    </w:pPr>
    <w:rPr>
      <w:rFonts w:ascii="Times New Roman" w:hAnsi="Times New Roman" w:eastAsia="宋体" w:cs="Times New Roman"/>
      <w:kern w:val="2"/>
      <w:sz w:val="28"/>
      <w:szCs w:val="24"/>
      <w:lang w:val="en-US" w:eastAsia="zh-CN" w:bidi="ar-SA"/>
    </w:rPr>
  </w:style>
  <w:style w:type="character" w:customStyle="1" w:styleId="25">
    <w:name w:val="标题 2 Char"/>
    <w:link w:val="3"/>
    <w:qFormat/>
    <w:uiPriority w:val="0"/>
    <w:rPr>
      <w:rFonts w:eastAsia="黑体"/>
      <w:b/>
      <w:sz w:val="30"/>
    </w:rPr>
  </w:style>
  <w:style w:type="character" w:customStyle="1" w:styleId="26">
    <w:name w:val="标题 1 Char"/>
    <w:link w:val="2"/>
    <w:autoRedefine/>
    <w:qFormat/>
    <w:uiPriority w:val="0"/>
    <w:rPr>
      <w:rFonts w:ascii="Times New Roman" w:hAnsi="Times New Roman" w:eastAsia="黑体" w:cs="Times New Roman"/>
      <w:b/>
      <w:kern w:val="44"/>
      <w:sz w:val="32"/>
      <w:szCs w:val="24"/>
      <w:lang w:val="en-US" w:eastAsia="zh-CN" w:bidi="ar-SA"/>
    </w:rPr>
  </w:style>
  <w:style w:type="paragraph" w:customStyle="1" w:styleId="27">
    <w:name w:val="Default"/>
    <w:next w:val="1"/>
    <w:autoRedefine/>
    <w:qFormat/>
    <w:uiPriority w:val="0"/>
    <w:pPr>
      <w:widowControl w:val="0"/>
      <w:autoSpaceDE w:val="0"/>
      <w:autoSpaceDN w:val="0"/>
      <w:adjustRightInd w:val="0"/>
    </w:pPr>
    <w:rPr>
      <w:rFonts w:ascii="Arial Unicode MS" w:hAnsi="Arial Unicode MS" w:eastAsia="宋体" w:cs="Arial Unicode MS"/>
      <w:color w:val="000000"/>
      <w:sz w:val="24"/>
      <w:szCs w:val="24"/>
      <w:lang w:val="en-US" w:eastAsia="zh-CN" w:bidi="ar-SA"/>
    </w:rPr>
  </w:style>
  <w:style w:type="character" w:customStyle="1" w:styleId="28">
    <w:name w:val="目录 1 Char"/>
    <w:link w:val="14"/>
    <w:qFormat/>
    <w:uiPriority w:val="0"/>
    <w:rPr>
      <w:rFonts w:ascii="Times New Roman" w:hAnsi="Times New Roman" w:eastAsia="宋体"/>
    </w:rPr>
  </w:style>
  <w:style w:type="paragraph" w:customStyle="1" w:styleId="29">
    <w:name w:val="样式 小四 首行缩进:  0.85 厘米 行距: 固定值 22 磅"/>
    <w:basedOn w:val="1"/>
    <w:autoRedefine/>
    <w:qFormat/>
    <w:uiPriority w:val="0"/>
    <w:pPr>
      <w:widowControl/>
      <w:spacing w:line="440" w:lineRule="exact"/>
      <w:ind w:firstLine="480" w:firstLineChars="200"/>
    </w:pPr>
    <w:rPr>
      <w:rFonts w:ascii="新宋体" w:hAnsi="新宋体" w:eastAsia="新宋体" w:cs="新宋体"/>
      <w:kern w:val="0"/>
      <w:sz w:val="24"/>
      <w:szCs w:val="20"/>
      <w:lang w:eastAsia="en-US" w:bidi="en-US"/>
    </w:rPr>
  </w:style>
  <w:style w:type="paragraph" w:customStyle="1" w:styleId="30">
    <w:name w:val="Table Text"/>
    <w:autoRedefine/>
    <w:semiHidden/>
    <w:qFormat/>
    <w:uiPriority w:val="0"/>
    <w:pPr>
      <w:kinsoku w:val="0"/>
      <w:autoSpaceDE w:val="0"/>
      <w:autoSpaceDN w:val="0"/>
      <w:adjustRightInd w:val="0"/>
      <w:snapToGrid w:val="0"/>
      <w:spacing w:line="240" w:lineRule="auto"/>
      <w:jc w:val="left"/>
      <w:textAlignment w:val="baseline"/>
    </w:pPr>
    <w:rPr>
      <w:rFonts w:ascii="宋体" w:hAnsi="宋体" w:eastAsia="宋体" w:cs="宋体"/>
      <w:snapToGrid w:val="0"/>
      <w:color w:val="000000"/>
      <w:kern w:val="0"/>
      <w:sz w:val="28"/>
      <w:szCs w:val="28"/>
      <w:lang w:val="en-US" w:eastAsia="en-US" w:bidi="ar-SA"/>
    </w:rPr>
  </w:style>
  <w:style w:type="table" w:customStyle="1" w:styleId="31">
    <w:name w:val="Table Normal"/>
    <w:autoRedefine/>
    <w:unhideWhenUsed/>
    <w:qFormat/>
    <w:uiPriority w:val="0"/>
    <w:tblPr>
      <w:tblCellMar>
        <w:top w:w="0" w:type="dxa"/>
        <w:left w:w="0" w:type="dxa"/>
        <w:bottom w:w="0" w:type="dxa"/>
        <w:right w:w="0" w:type="dxa"/>
      </w:tblCellMar>
    </w:tblPr>
  </w:style>
  <w:style w:type="paragraph" w:customStyle="1" w:styleId="32">
    <w:name w:val="表内容"/>
    <w:autoRedefine/>
    <w:qFormat/>
    <w:uiPriority w:val="0"/>
    <w:pPr>
      <w:widowControl/>
      <w:snapToGrid w:val="0"/>
      <w:spacing w:line="320" w:lineRule="exact"/>
      <w:ind w:firstLine="560" w:firstLineChars="200"/>
      <w:jc w:val="center"/>
    </w:pPr>
    <w:rPr>
      <w:rFonts w:ascii="Times New Roman" w:hAnsi="Times New Roman" w:eastAsia="宋体" w:cs="Times New Roman"/>
      <w:kern w:val="0"/>
      <w:sz w:val="24"/>
      <w:szCs w:val="20"/>
      <w:lang w:val="en-US" w:eastAsia="zh-CN" w:bidi="ar-SA"/>
    </w:rPr>
  </w:style>
  <w:style w:type="paragraph" w:customStyle="1" w:styleId="33">
    <w:name w:val="样式 黑体 四号 黑色 行距: 固定值 30 磅"/>
    <w:qFormat/>
    <w:uiPriority w:val="0"/>
    <w:pPr>
      <w:spacing w:line="600" w:lineRule="exact"/>
      <w:ind w:firstLine="560" w:firstLineChars="200"/>
    </w:pPr>
    <w:rPr>
      <w:rFonts w:ascii="黑体" w:hAnsi="宋体" w:eastAsia="黑体" w:cs="宋体"/>
      <w:color w:val="000000"/>
      <w:sz w:val="30"/>
      <w:szCs w:val="20"/>
      <w:lang w:val="en-US" w:eastAsia="zh-CN" w:bidi="ar-SA"/>
    </w:rPr>
  </w:style>
  <w:style w:type="paragraph" w:customStyle="1" w:styleId="34">
    <w:name w:val="样式2222"/>
    <w:autoRedefine/>
    <w:qFormat/>
    <w:uiPriority w:val="0"/>
    <w:pPr>
      <w:spacing w:line="600" w:lineRule="exact"/>
      <w:ind w:firstLine="200" w:firstLineChars="200"/>
    </w:pPr>
    <w:rPr>
      <w:rFonts w:ascii="Times New Roman" w:hAnsi="Times New Roman" w:eastAsia="宋体" w:cs="Times New Roman"/>
      <w:color w:val="000000"/>
      <w:kern w:val="2"/>
      <w:sz w:val="28"/>
      <w:szCs w:val="28"/>
      <w:lang w:val="en-US" w:eastAsia="zh-CN" w:bidi="ar-SA"/>
    </w:rPr>
  </w:style>
  <w:style w:type="paragraph" w:customStyle="1" w:styleId="35">
    <w:name w:val="标准段落"/>
    <w:qFormat/>
    <w:uiPriority w:val="0"/>
    <w:pPr>
      <w:adjustRightInd w:val="0"/>
      <w:snapToGrid w:val="0"/>
      <w:spacing w:before="156" w:beforeLines="50" w:line="360" w:lineRule="auto"/>
      <w:ind w:firstLine="200" w:firstLineChars="200"/>
    </w:pPr>
    <w:rPr>
      <w:rFonts w:ascii="Times New Roman" w:hAnsi="Times New Roman" w:eastAsia="宋体" w:cs="Times New Roman"/>
      <w:color w:val="000000"/>
      <w:kern w:val="2"/>
      <w:sz w:val="28"/>
      <w:szCs w:val="28"/>
      <w:lang w:val="en-US" w:eastAsia="zh-CN" w:bidi="ar-SA"/>
    </w:rPr>
  </w:style>
  <w:style w:type="character" w:customStyle="1" w:styleId="36">
    <w:name w:val="标题 3 Char"/>
    <w:link w:val="4"/>
    <w:qFormat/>
    <w:uiPriority w:val="0"/>
    <w:rPr>
      <w:rFonts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18129</Words>
  <Characters>19682</Characters>
  <Lines>0</Lines>
  <Paragraphs>0</Paragraphs>
  <TotalTime>4</TotalTime>
  <ScaleCrop>false</ScaleCrop>
  <LinksUpToDate>false</LinksUpToDate>
  <CharactersWithSpaces>20558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长青藤</cp:lastModifiedBy>
  <cp:lastPrinted>2023-10-18T06:50:00Z</cp:lastPrinted>
  <dcterms:modified xsi:type="dcterms:W3CDTF">2024-12-26T07:03:15Z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5172B3BA749E47418B7AC06158E02C43_13</vt:lpwstr>
  </property>
  <property fmtid="{D5CDD505-2E9C-101B-9397-08002B2CF9AE}" pid="4" name="KSOTemplateDocerSaveRecord">
    <vt:lpwstr>eyJoZGlkIjoiZTUyYWUxNGNmMmUyZTIxY2FmM2YyMWFiMjM3Y2U3MzAiLCJ1c2VySWQiOiI2OTk0MDQxMDkifQ==</vt:lpwstr>
  </property>
</Properties>
</file>