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style1.xml" ContentType="application/vnd.ms-office.chartstyle+xml"/>
  <Override PartName="/word/charts/style2.xml" ContentType="application/vnd.ms-office.chartstyle+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6E5BA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b/>
          <w:color w:val="auto"/>
          <w:sz w:val="44"/>
          <w:szCs w:val="44"/>
          <w:lang w:val="en-US" w:eastAsia="zh-CN"/>
        </w:rPr>
      </w:pPr>
    </w:p>
    <w:p w14:paraId="74EB56C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color w:val="auto"/>
          <w:sz w:val="44"/>
          <w:szCs w:val="44"/>
        </w:rPr>
      </w:pPr>
    </w:p>
    <w:p w14:paraId="10E5F27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color w:val="auto"/>
          <w:sz w:val="28"/>
          <w:szCs w:val="28"/>
        </w:rPr>
      </w:pPr>
    </w:p>
    <w:p w14:paraId="7D019F0F">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color w:val="auto"/>
          <w:sz w:val="52"/>
          <w:szCs w:val="52"/>
        </w:rPr>
      </w:pPr>
      <w:r>
        <w:rPr>
          <w:rFonts w:hint="default" w:ascii="Times New Roman" w:hAnsi="Times New Roman" w:cs="Times New Roman"/>
          <w:b/>
          <w:color w:val="auto"/>
          <w:sz w:val="52"/>
          <w:szCs w:val="52"/>
        </w:rPr>
        <w:t>江西浒坑钨业有限公司</w:t>
      </w:r>
    </w:p>
    <w:p w14:paraId="2387D4B6">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color w:val="auto"/>
          <w:sz w:val="52"/>
          <w:szCs w:val="52"/>
        </w:rPr>
      </w:pPr>
      <w:r>
        <w:rPr>
          <w:rFonts w:hint="default" w:ascii="Times New Roman" w:hAnsi="Times New Roman" w:cs="Times New Roman"/>
          <w:b/>
          <w:color w:val="auto"/>
          <w:sz w:val="52"/>
          <w:szCs w:val="52"/>
        </w:rPr>
        <w:t>杨家店尾矿库</w:t>
      </w:r>
    </w:p>
    <w:p w14:paraId="3D2F7692">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eastAsia="黑体"/>
          <w:b/>
          <w:color w:val="auto"/>
          <w:sz w:val="52"/>
          <w:szCs w:val="52"/>
        </w:rPr>
      </w:pPr>
      <w:r>
        <w:rPr>
          <w:rFonts w:hint="eastAsia" w:eastAsia="黑体"/>
          <w:b/>
          <w:color w:val="auto"/>
          <w:sz w:val="52"/>
          <w:szCs w:val="52"/>
        </w:rPr>
        <w:t>安全风险评估报告</w:t>
      </w:r>
    </w:p>
    <w:p w14:paraId="1164278A">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eastAsia="黑体"/>
          <w:b/>
          <w:color w:val="auto"/>
          <w:sz w:val="52"/>
          <w:szCs w:val="52"/>
          <w:lang w:eastAsia="zh-CN"/>
        </w:rPr>
      </w:pPr>
      <w:r>
        <w:rPr>
          <w:rFonts w:hint="eastAsia" w:eastAsia="黑体"/>
          <w:b/>
          <w:color w:val="auto"/>
          <w:sz w:val="52"/>
          <w:szCs w:val="52"/>
          <w:lang w:eastAsia="zh-CN"/>
        </w:rPr>
        <w:t>（</w:t>
      </w:r>
      <w:r>
        <w:rPr>
          <w:rFonts w:hint="eastAsia" w:eastAsia="黑体"/>
          <w:b/>
          <w:color w:val="auto"/>
          <w:sz w:val="52"/>
          <w:szCs w:val="52"/>
          <w:lang w:val="en-US" w:eastAsia="zh-CN"/>
        </w:rPr>
        <w:t>终稿</w:t>
      </w:r>
      <w:r>
        <w:rPr>
          <w:rFonts w:hint="eastAsia" w:eastAsia="黑体"/>
          <w:b/>
          <w:color w:val="auto"/>
          <w:sz w:val="52"/>
          <w:szCs w:val="52"/>
          <w:lang w:eastAsia="zh-CN"/>
        </w:rPr>
        <w:t>）</w:t>
      </w:r>
    </w:p>
    <w:p w14:paraId="013AE291">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eastAsia="黑体"/>
          <w:b/>
          <w:color w:val="auto"/>
          <w:sz w:val="52"/>
          <w:szCs w:val="52"/>
        </w:rPr>
      </w:pPr>
    </w:p>
    <w:p w14:paraId="0B03FB41">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eastAsia="黑体"/>
          <w:b/>
          <w:color w:val="auto"/>
          <w:sz w:val="52"/>
          <w:szCs w:val="52"/>
        </w:rPr>
      </w:pPr>
    </w:p>
    <w:p w14:paraId="0FEB9504">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eastAsia="黑体"/>
          <w:b/>
          <w:color w:val="auto"/>
          <w:sz w:val="52"/>
          <w:szCs w:val="52"/>
        </w:rPr>
      </w:pPr>
    </w:p>
    <w:p w14:paraId="2A0EF81F">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eastAsia="黑体"/>
          <w:b/>
          <w:color w:val="auto"/>
          <w:sz w:val="28"/>
          <w:szCs w:val="28"/>
        </w:rPr>
      </w:pPr>
    </w:p>
    <w:p w14:paraId="335C6064">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eastAsia="黑体"/>
          <w:b/>
          <w:color w:val="auto"/>
          <w:sz w:val="28"/>
          <w:szCs w:val="28"/>
        </w:rPr>
      </w:pPr>
    </w:p>
    <w:p w14:paraId="41D7CDED">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b/>
          <w:bCs/>
          <w:color w:val="auto"/>
          <w:sz w:val="44"/>
        </w:rPr>
      </w:pPr>
    </w:p>
    <w:p w14:paraId="539E5479">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b/>
          <w:bCs/>
          <w:color w:val="auto"/>
          <w:sz w:val="44"/>
        </w:rPr>
      </w:pPr>
    </w:p>
    <w:p w14:paraId="0F2AADD7">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b/>
          <w:bCs/>
          <w:color w:val="auto"/>
          <w:sz w:val="44"/>
        </w:rPr>
      </w:pPr>
      <w:r>
        <w:rPr>
          <w:b/>
          <w:bCs/>
          <w:color w:val="auto"/>
          <w:sz w:val="44"/>
        </w:rPr>
        <w:t>江西赣安安全生产科学技术咨询服务中心</w:t>
      </w:r>
    </w:p>
    <w:p w14:paraId="0DEE1DAC">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b/>
          <w:bCs/>
          <w:color w:val="auto"/>
          <w:sz w:val="32"/>
        </w:rPr>
      </w:pPr>
      <w:r>
        <w:rPr>
          <w:b/>
          <w:bCs/>
          <w:color w:val="auto"/>
          <w:sz w:val="32"/>
        </w:rPr>
        <w:t>APJ</w:t>
      </w:r>
      <w:r>
        <w:rPr>
          <w:rFonts w:hint="eastAsia"/>
          <w:b/>
          <w:bCs/>
          <w:color w:val="auto"/>
          <w:sz w:val="32"/>
        </w:rPr>
        <w:t>-（赣）-002</w:t>
      </w:r>
    </w:p>
    <w:p w14:paraId="0A5A6D96">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b/>
          <w:bCs/>
          <w:color w:val="FF0000"/>
          <w:sz w:val="32"/>
        </w:rPr>
      </w:pPr>
      <w:r>
        <w:rPr>
          <w:rFonts w:hint="eastAsia" w:hAnsi="宋体"/>
          <w:b/>
          <w:bCs/>
          <w:color w:val="FF0000"/>
          <w:sz w:val="32"/>
        </w:rPr>
        <w:t>202</w:t>
      </w:r>
      <w:r>
        <w:rPr>
          <w:rFonts w:hint="eastAsia" w:hAnsi="宋体"/>
          <w:b/>
          <w:bCs/>
          <w:color w:val="FF0000"/>
          <w:sz w:val="32"/>
          <w:lang w:val="en-US" w:eastAsia="zh-CN"/>
        </w:rPr>
        <w:t>5</w:t>
      </w:r>
      <w:r>
        <w:rPr>
          <w:rFonts w:hAnsi="宋体"/>
          <w:b/>
          <w:bCs/>
          <w:color w:val="FF0000"/>
          <w:sz w:val="32"/>
        </w:rPr>
        <w:t>年</w:t>
      </w:r>
      <w:r>
        <w:rPr>
          <w:rFonts w:hint="eastAsia" w:hAnsi="宋体"/>
          <w:b/>
          <w:bCs/>
          <w:color w:val="FF0000"/>
          <w:sz w:val="32"/>
          <w:lang w:val="en-US" w:eastAsia="zh-CN"/>
        </w:rPr>
        <w:t>5</w:t>
      </w:r>
      <w:r>
        <w:rPr>
          <w:rFonts w:hAnsi="宋体"/>
          <w:b/>
          <w:bCs/>
          <w:color w:val="FF0000"/>
          <w:sz w:val="32"/>
        </w:rPr>
        <w:t>月</w:t>
      </w:r>
      <w:r>
        <w:rPr>
          <w:rFonts w:hint="eastAsia" w:hAnsi="宋体"/>
          <w:b/>
          <w:bCs/>
          <w:color w:val="FF0000"/>
          <w:sz w:val="32"/>
          <w:lang w:val="en-US" w:eastAsia="zh-CN"/>
        </w:rPr>
        <w:t>19</w:t>
      </w:r>
      <w:r>
        <w:rPr>
          <w:rFonts w:hint="eastAsia" w:hAnsi="宋体"/>
          <w:b/>
          <w:bCs/>
          <w:color w:val="FF0000"/>
          <w:sz w:val="32"/>
        </w:rPr>
        <w:t>日</w:t>
      </w:r>
    </w:p>
    <w:p w14:paraId="30952803">
      <w:pPr>
        <w:spacing w:line="600" w:lineRule="exact"/>
        <w:jc w:val="center"/>
        <w:rPr>
          <w:b/>
          <w:color w:val="auto"/>
          <w:sz w:val="32"/>
          <w:szCs w:val="32"/>
        </w:rPr>
        <w:sectPr>
          <w:pgSz w:w="11906" w:h="16839"/>
          <w:pgMar w:top="1417" w:right="1417" w:bottom="1417" w:left="1417" w:header="850" w:footer="964" w:gutter="0"/>
          <w:cols w:space="425" w:num="1"/>
          <w:rtlGutter w:val="0"/>
          <w:docGrid w:linePitch="312" w:charSpace="0"/>
        </w:sectPr>
      </w:pPr>
    </w:p>
    <w:p w14:paraId="4A0F7EDA">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b/>
          <w:color w:val="auto"/>
          <w:sz w:val="32"/>
          <w:szCs w:val="32"/>
        </w:rPr>
      </w:pPr>
    </w:p>
    <w:p w14:paraId="439B32A8">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b/>
          <w:color w:val="auto"/>
          <w:sz w:val="32"/>
          <w:szCs w:val="32"/>
        </w:rPr>
      </w:pPr>
    </w:p>
    <w:p w14:paraId="4606063F">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b/>
          <w:color w:val="auto"/>
          <w:sz w:val="32"/>
          <w:szCs w:val="32"/>
        </w:rPr>
      </w:pPr>
    </w:p>
    <w:p w14:paraId="0461D0D4">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b/>
          <w:color w:val="auto"/>
          <w:sz w:val="36"/>
          <w:szCs w:val="36"/>
        </w:rPr>
      </w:pPr>
      <w:r>
        <w:rPr>
          <w:rFonts w:hint="eastAsia"/>
          <w:b/>
          <w:color w:val="auto"/>
          <w:sz w:val="36"/>
          <w:szCs w:val="36"/>
        </w:rPr>
        <w:t>江西浒坑钨业有限公司</w:t>
      </w:r>
    </w:p>
    <w:p w14:paraId="481985DD">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b/>
          <w:color w:val="auto"/>
          <w:sz w:val="36"/>
          <w:szCs w:val="36"/>
        </w:rPr>
      </w:pPr>
      <w:r>
        <w:rPr>
          <w:rFonts w:hint="eastAsia"/>
          <w:b/>
          <w:color w:val="auto"/>
          <w:sz w:val="36"/>
          <w:szCs w:val="36"/>
        </w:rPr>
        <w:t>杨家店尾矿库</w:t>
      </w:r>
    </w:p>
    <w:p w14:paraId="1BDF6151">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b/>
          <w:color w:val="auto"/>
          <w:sz w:val="44"/>
          <w:szCs w:val="44"/>
        </w:rPr>
      </w:pPr>
      <w:r>
        <w:rPr>
          <w:rFonts w:hint="eastAsia"/>
          <w:b/>
          <w:color w:val="auto"/>
          <w:sz w:val="44"/>
          <w:szCs w:val="44"/>
        </w:rPr>
        <w:t>安全风险评估报告</w:t>
      </w:r>
    </w:p>
    <w:p w14:paraId="1044D5C6">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b/>
          <w:color w:val="auto"/>
          <w:sz w:val="44"/>
          <w:szCs w:val="44"/>
        </w:rPr>
      </w:pPr>
      <w:r>
        <w:rPr>
          <w:rFonts w:hint="eastAsia"/>
          <w:b/>
          <w:color w:val="auto"/>
          <w:sz w:val="44"/>
          <w:szCs w:val="44"/>
        </w:rPr>
        <w:t>（</w:t>
      </w:r>
      <w:r>
        <w:rPr>
          <w:rFonts w:hint="eastAsia"/>
          <w:b/>
          <w:color w:val="auto"/>
          <w:sz w:val="44"/>
          <w:szCs w:val="44"/>
          <w:lang w:val="en-US" w:eastAsia="zh-CN"/>
        </w:rPr>
        <w:t>终</w:t>
      </w:r>
      <w:r>
        <w:rPr>
          <w:rFonts w:hint="eastAsia"/>
          <w:b/>
          <w:color w:val="auto"/>
          <w:sz w:val="44"/>
          <w:szCs w:val="44"/>
        </w:rPr>
        <w:t>稿）</w:t>
      </w:r>
    </w:p>
    <w:p w14:paraId="74959F7E">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eastAsia="黑体"/>
          <w:b/>
          <w:color w:val="auto"/>
          <w:sz w:val="44"/>
          <w:szCs w:val="44"/>
        </w:rPr>
      </w:pPr>
    </w:p>
    <w:p w14:paraId="6CB6D052">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eastAsia="黑体"/>
          <w:b/>
          <w:color w:val="auto"/>
          <w:sz w:val="44"/>
          <w:szCs w:val="44"/>
        </w:rPr>
      </w:pPr>
    </w:p>
    <w:p w14:paraId="44B869D4">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eastAsia="黑体"/>
          <w:b/>
          <w:color w:val="auto"/>
          <w:sz w:val="44"/>
          <w:szCs w:val="44"/>
        </w:rPr>
      </w:pPr>
    </w:p>
    <w:p w14:paraId="6770B870">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eastAsia="黑体"/>
          <w:b/>
          <w:color w:val="auto"/>
          <w:sz w:val="44"/>
          <w:szCs w:val="44"/>
        </w:rPr>
      </w:pPr>
    </w:p>
    <w:p w14:paraId="06417EA2">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黑体"/>
          <w:b/>
          <w:color w:val="auto"/>
          <w:sz w:val="44"/>
          <w:szCs w:val="44"/>
        </w:rPr>
      </w:pPr>
    </w:p>
    <w:p w14:paraId="60C9A190">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黑体"/>
          <w:b/>
          <w:color w:val="auto"/>
          <w:sz w:val="44"/>
          <w:szCs w:val="44"/>
        </w:rPr>
      </w:pPr>
    </w:p>
    <w:p w14:paraId="13B9EDFE">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宋体"/>
          <w:color w:val="auto"/>
          <w:lang w:eastAsia="zh-CN"/>
        </w:rPr>
      </w:pPr>
      <w:r>
        <w:rPr>
          <w:color w:val="auto"/>
        </w:rPr>
        <w:t>法</w:t>
      </w:r>
      <w:r>
        <w:rPr>
          <w:rFonts w:hint="eastAsia"/>
          <w:color w:val="auto"/>
        </w:rPr>
        <w:t xml:space="preserve"> 定 </w:t>
      </w:r>
      <w:r>
        <w:rPr>
          <w:color w:val="auto"/>
        </w:rPr>
        <w:t>代</w:t>
      </w:r>
      <w:r>
        <w:rPr>
          <w:rFonts w:hint="eastAsia"/>
          <w:color w:val="auto"/>
        </w:rPr>
        <w:t xml:space="preserve"> </w:t>
      </w:r>
      <w:r>
        <w:rPr>
          <w:color w:val="auto"/>
        </w:rPr>
        <w:t>表</w:t>
      </w:r>
      <w:r>
        <w:rPr>
          <w:rFonts w:hint="eastAsia"/>
          <w:color w:val="auto"/>
        </w:rPr>
        <w:t xml:space="preserve"> </w:t>
      </w:r>
      <w:r>
        <w:rPr>
          <w:color w:val="auto"/>
        </w:rPr>
        <w:t>人：</w:t>
      </w:r>
      <w:r>
        <w:rPr>
          <w:rFonts w:hint="eastAsia"/>
          <w:color w:val="auto"/>
          <w:lang w:val="en-US" w:eastAsia="zh-CN"/>
        </w:rPr>
        <w:t>应  宏</w:t>
      </w:r>
    </w:p>
    <w:p w14:paraId="35FF3EE0">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rPr>
      </w:pPr>
      <w:r>
        <w:rPr>
          <w:color w:val="auto"/>
        </w:rPr>
        <w:t>技</w:t>
      </w:r>
      <w:r>
        <w:rPr>
          <w:rFonts w:hint="eastAsia"/>
          <w:color w:val="auto"/>
        </w:rPr>
        <w:t xml:space="preserve"> </w:t>
      </w:r>
      <w:r>
        <w:rPr>
          <w:color w:val="auto"/>
        </w:rPr>
        <w:t>术</w:t>
      </w:r>
      <w:r>
        <w:rPr>
          <w:rFonts w:hint="eastAsia"/>
          <w:color w:val="auto"/>
        </w:rPr>
        <w:t xml:space="preserve"> </w:t>
      </w:r>
      <w:r>
        <w:rPr>
          <w:color w:val="auto"/>
        </w:rPr>
        <w:t>负</w:t>
      </w:r>
      <w:r>
        <w:rPr>
          <w:rFonts w:hint="eastAsia"/>
          <w:color w:val="auto"/>
        </w:rPr>
        <w:t xml:space="preserve"> </w:t>
      </w:r>
      <w:r>
        <w:rPr>
          <w:color w:val="auto"/>
        </w:rPr>
        <w:t>责</w:t>
      </w:r>
      <w:r>
        <w:rPr>
          <w:rFonts w:hint="eastAsia"/>
          <w:color w:val="auto"/>
        </w:rPr>
        <w:t xml:space="preserve"> </w:t>
      </w:r>
      <w:r>
        <w:rPr>
          <w:color w:val="auto"/>
        </w:rPr>
        <w:t>人：</w:t>
      </w:r>
      <w:r>
        <w:rPr>
          <w:rFonts w:hint="eastAsia"/>
          <w:color w:val="auto"/>
        </w:rPr>
        <w:t>管自强</w:t>
      </w:r>
    </w:p>
    <w:p w14:paraId="70F18205">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宋体"/>
          <w:color w:val="auto"/>
          <w:lang w:eastAsia="zh-CN"/>
        </w:rPr>
      </w:pPr>
      <w:r>
        <w:rPr>
          <w:rFonts w:hint="eastAsia"/>
          <w:color w:val="auto"/>
          <w:lang w:eastAsia="zh-CN"/>
        </w:rPr>
        <w:t>评估</w:t>
      </w:r>
      <w:r>
        <w:rPr>
          <w:color w:val="auto"/>
        </w:rPr>
        <w:t>项目负责人：</w:t>
      </w:r>
      <w:r>
        <w:rPr>
          <w:rFonts w:hint="eastAsia"/>
          <w:color w:val="auto"/>
          <w:lang w:val="en-US" w:eastAsia="zh-CN"/>
        </w:rPr>
        <w:t>许玉才</w:t>
      </w:r>
    </w:p>
    <w:p w14:paraId="3C6E82BC">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rPr>
      </w:pPr>
    </w:p>
    <w:p w14:paraId="014634B3">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rPr>
      </w:pPr>
    </w:p>
    <w:p w14:paraId="48C6B79A">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auto"/>
        </w:rPr>
      </w:pPr>
      <w:r>
        <w:rPr>
          <w:rFonts w:hint="eastAsia"/>
          <w:b/>
          <w:bCs/>
          <w:color w:val="auto"/>
          <w:sz w:val="24"/>
          <w:lang w:eastAsia="zh-CN"/>
        </w:rPr>
        <w:t>评估</w:t>
      </w:r>
      <w:r>
        <w:rPr>
          <w:b/>
          <w:bCs/>
          <w:color w:val="auto"/>
          <w:sz w:val="24"/>
        </w:rPr>
        <w:t>报告完成日期：</w:t>
      </w:r>
      <w:r>
        <w:rPr>
          <w:rFonts w:hint="eastAsia" w:hAnsi="宋体"/>
          <w:b/>
          <w:bCs/>
          <w:color w:val="FF0000"/>
          <w:spacing w:val="20"/>
          <w:sz w:val="24"/>
        </w:rPr>
        <w:t>2025年</w:t>
      </w:r>
      <w:r>
        <w:rPr>
          <w:rFonts w:hint="eastAsia" w:hAnsi="宋体"/>
          <w:b/>
          <w:bCs/>
          <w:color w:val="FF0000"/>
          <w:spacing w:val="20"/>
          <w:sz w:val="24"/>
          <w:lang w:val="en-US" w:eastAsia="zh-CN"/>
        </w:rPr>
        <w:t>5</w:t>
      </w:r>
      <w:r>
        <w:rPr>
          <w:rFonts w:hint="eastAsia" w:hAnsi="宋体"/>
          <w:b/>
          <w:bCs/>
          <w:color w:val="FF0000"/>
          <w:spacing w:val="20"/>
          <w:sz w:val="24"/>
        </w:rPr>
        <w:t>月</w:t>
      </w:r>
      <w:r>
        <w:rPr>
          <w:rFonts w:hint="eastAsia" w:hAnsi="宋体"/>
          <w:b/>
          <w:bCs/>
          <w:color w:val="FF0000"/>
          <w:spacing w:val="20"/>
          <w:sz w:val="24"/>
          <w:lang w:val="en-US" w:eastAsia="zh-CN"/>
        </w:rPr>
        <w:t>19</w:t>
      </w:r>
      <w:r>
        <w:rPr>
          <w:rFonts w:hint="eastAsia" w:hAnsi="宋体"/>
          <w:b/>
          <w:bCs/>
          <w:color w:val="FF0000"/>
          <w:spacing w:val="20"/>
          <w:sz w:val="24"/>
        </w:rPr>
        <w:t>日</w:t>
      </w:r>
    </w:p>
    <w:p w14:paraId="6CB34F2E">
      <w:pPr>
        <w:spacing w:line="600" w:lineRule="exact"/>
        <w:jc w:val="center"/>
        <w:rPr>
          <w:b/>
          <w:color w:val="auto"/>
          <w:sz w:val="32"/>
          <w:szCs w:val="32"/>
        </w:rPr>
      </w:pPr>
      <w:r>
        <w:rPr>
          <w:b/>
          <w:color w:val="auto"/>
          <w:sz w:val="32"/>
          <w:szCs w:val="32"/>
        </w:rPr>
        <w:br w:type="page"/>
      </w:r>
    </w:p>
    <w:p w14:paraId="7A612026">
      <w:pPr>
        <w:keepNext w:val="0"/>
        <w:keepLines w:val="0"/>
        <w:pageBreakBefore w:val="0"/>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color w:val="auto"/>
          <w:sz w:val="36"/>
          <w:szCs w:val="36"/>
        </w:rPr>
      </w:pPr>
      <w:r>
        <w:rPr>
          <w:rFonts w:hint="eastAsia" w:ascii="宋体" w:hAnsi="宋体"/>
          <w:color w:val="auto"/>
          <w:sz w:val="36"/>
          <w:szCs w:val="36"/>
        </w:rPr>
        <w:t>江西浒坑钨业有限公司</w:t>
      </w:r>
    </w:p>
    <w:p w14:paraId="50F1057C">
      <w:pPr>
        <w:keepNext w:val="0"/>
        <w:keepLines w:val="0"/>
        <w:pageBreakBefore w:val="0"/>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color w:val="auto"/>
          <w:sz w:val="36"/>
          <w:szCs w:val="36"/>
        </w:rPr>
      </w:pPr>
      <w:r>
        <w:rPr>
          <w:rFonts w:hint="eastAsia" w:ascii="宋体" w:hAnsi="宋体"/>
          <w:color w:val="auto"/>
          <w:sz w:val="36"/>
          <w:szCs w:val="36"/>
        </w:rPr>
        <w:t>杨家店尾矿库</w:t>
      </w:r>
    </w:p>
    <w:p w14:paraId="00A25C37">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cs="宋体"/>
          <w:color w:val="auto"/>
          <w:kern w:val="0"/>
          <w:sz w:val="36"/>
          <w:szCs w:val="36"/>
        </w:rPr>
      </w:pPr>
      <w:r>
        <w:rPr>
          <w:rFonts w:hint="eastAsia" w:ascii="宋体" w:hAnsi="宋体" w:cs="宋体"/>
          <w:color w:val="auto"/>
          <w:kern w:val="0"/>
          <w:sz w:val="36"/>
          <w:szCs w:val="36"/>
        </w:rPr>
        <w:t>安全风险评估技术服务</w:t>
      </w:r>
      <w:r>
        <w:rPr>
          <w:rFonts w:ascii="宋体" w:hAnsi="宋体" w:cs="宋体"/>
          <w:color w:val="auto"/>
          <w:kern w:val="0"/>
          <w:sz w:val="36"/>
          <w:szCs w:val="36"/>
        </w:rPr>
        <w:t>承诺书</w:t>
      </w:r>
    </w:p>
    <w:p w14:paraId="6A0E05A7">
      <w:pPr>
        <w:keepNext w:val="0"/>
        <w:keepLines w:val="0"/>
        <w:pageBreakBefore w:val="0"/>
        <w:widowControl/>
        <w:kinsoku/>
        <w:wordWrap/>
        <w:overflowPunct/>
        <w:topLinePunct w:val="0"/>
        <w:autoSpaceDE/>
        <w:autoSpaceDN/>
        <w:bidi w:val="0"/>
        <w:adjustRightInd/>
        <w:snapToGrid/>
        <w:spacing w:line="480" w:lineRule="auto"/>
        <w:ind w:firstLine="640" w:firstLineChars="200"/>
        <w:textAlignment w:val="auto"/>
        <w:rPr>
          <w:rFonts w:hint="eastAsia" w:ascii="仿宋" w:hAnsi="仿宋" w:eastAsia="仿宋" w:cs="宋体"/>
          <w:color w:val="auto"/>
          <w:kern w:val="0"/>
          <w:sz w:val="32"/>
          <w:szCs w:val="32"/>
        </w:rPr>
      </w:pPr>
      <w:r>
        <w:rPr>
          <w:rFonts w:hint="eastAsia" w:ascii="仿宋" w:hAnsi="仿宋" w:eastAsia="仿宋" w:cs="宋体"/>
          <w:color w:val="auto"/>
          <w:kern w:val="0"/>
          <w:sz w:val="32"/>
          <w:szCs w:val="32"/>
        </w:rPr>
        <w:t>一、在本项目安全</w:t>
      </w:r>
      <w:r>
        <w:rPr>
          <w:rFonts w:hint="eastAsia" w:ascii="仿宋" w:hAnsi="仿宋" w:eastAsia="仿宋" w:cs="宋体"/>
          <w:color w:val="auto"/>
          <w:kern w:val="0"/>
          <w:sz w:val="32"/>
          <w:szCs w:val="32"/>
          <w:lang w:eastAsia="zh-CN"/>
        </w:rPr>
        <w:t>评估</w:t>
      </w:r>
      <w:r>
        <w:rPr>
          <w:rFonts w:hint="eastAsia" w:ascii="仿宋" w:hAnsi="仿宋" w:eastAsia="仿宋" w:cs="宋体"/>
          <w:color w:val="auto"/>
          <w:kern w:val="0"/>
          <w:sz w:val="32"/>
          <w:szCs w:val="32"/>
        </w:rPr>
        <w:t>活动过程中，我单位严格遵守《安全生产法》及相关法律、法规和标准的要求。</w:t>
      </w:r>
    </w:p>
    <w:p w14:paraId="522E8E4A">
      <w:pPr>
        <w:keepNext w:val="0"/>
        <w:keepLines w:val="0"/>
        <w:pageBreakBefore w:val="0"/>
        <w:widowControl/>
        <w:kinsoku/>
        <w:wordWrap/>
        <w:overflowPunct/>
        <w:topLinePunct w:val="0"/>
        <w:autoSpaceDE/>
        <w:autoSpaceDN/>
        <w:bidi w:val="0"/>
        <w:adjustRightInd/>
        <w:snapToGrid/>
        <w:spacing w:line="480" w:lineRule="auto"/>
        <w:ind w:firstLine="640" w:firstLineChars="200"/>
        <w:textAlignment w:val="auto"/>
        <w:rPr>
          <w:rFonts w:hint="eastAsia" w:ascii="宋体" w:hAnsi="宋体" w:cs="宋体"/>
          <w:color w:val="auto"/>
          <w:kern w:val="0"/>
          <w:sz w:val="36"/>
          <w:szCs w:val="36"/>
        </w:rPr>
      </w:pPr>
      <w:r>
        <w:rPr>
          <w:rFonts w:hint="eastAsia" w:ascii="仿宋" w:hAnsi="仿宋" w:eastAsia="仿宋" w:cs="宋体"/>
          <w:color w:val="auto"/>
          <w:kern w:val="0"/>
          <w:sz w:val="32"/>
          <w:szCs w:val="32"/>
        </w:rPr>
        <w:t>二、在本项目安全</w:t>
      </w:r>
      <w:r>
        <w:rPr>
          <w:rFonts w:hint="eastAsia" w:ascii="仿宋" w:hAnsi="仿宋" w:eastAsia="仿宋" w:cs="宋体"/>
          <w:color w:val="auto"/>
          <w:kern w:val="0"/>
          <w:sz w:val="32"/>
          <w:szCs w:val="32"/>
          <w:lang w:eastAsia="zh-CN"/>
        </w:rPr>
        <w:t>评估</w:t>
      </w:r>
      <w:r>
        <w:rPr>
          <w:rFonts w:hint="eastAsia" w:ascii="仿宋" w:hAnsi="仿宋" w:eastAsia="仿宋" w:cs="宋体"/>
          <w:color w:val="auto"/>
          <w:kern w:val="0"/>
          <w:sz w:val="32"/>
          <w:szCs w:val="32"/>
        </w:rPr>
        <w:t>活动过程中，我单位作为第三方，未受到任何组织和个人的干预和影响，依法独立开展工作，保证了技术服务活动的客观公正性。</w:t>
      </w:r>
    </w:p>
    <w:p w14:paraId="338974C1">
      <w:pPr>
        <w:keepNext w:val="0"/>
        <w:keepLines w:val="0"/>
        <w:pageBreakBefore w:val="0"/>
        <w:widowControl/>
        <w:kinsoku/>
        <w:wordWrap/>
        <w:overflowPunct/>
        <w:topLinePunct w:val="0"/>
        <w:autoSpaceDE/>
        <w:autoSpaceDN/>
        <w:bidi w:val="0"/>
        <w:adjustRightInd/>
        <w:snapToGrid/>
        <w:spacing w:line="480" w:lineRule="auto"/>
        <w:ind w:firstLine="640" w:firstLineChars="200"/>
        <w:jc w:val="left"/>
        <w:textAlignment w:val="auto"/>
        <w:rPr>
          <w:rFonts w:hint="eastAsia" w:ascii="仿宋" w:hAnsi="仿宋" w:eastAsia="仿宋" w:cs="宋体"/>
          <w:color w:val="auto"/>
          <w:kern w:val="0"/>
          <w:sz w:val="32"/>
          <w:szCs w:val="32"/>
        </w:rPr>
      </w:pPr>
      <w:r>
        <w:rPr>
          <w:rFonts w:hint="eastAsia" w:ascii="仿宋" w:hAnsi="仿宋" w:eastAsia="仿宋" w:cs="宋体"/>
          <w:color w:val="auto"/>
          <w:kern w:val="0"/>
          <w:sz w:val="32"/>
          <w:szCs w:val="32"/>
        </w:rPr>
        <w:t>三、我单位按照实事求是的原则，对本项目进行安全</w:t>
      </w:r>
      <w:r>
        <w:rPr>
          <w:rFonts w:hint="eastAsia" w:ascii="仿宋" w:hAnsi="仿宋" w:eastAsia="仿宋" w:cs="宋体"/>
          <w:color w:val="auto"/>
          <w:kern w:val="0"/>
          <w:sz w:val="32"/>
          <w:szCs w:val="32"/>
          <w:lang w:eastAsia="zh-CN"/>
        </w:rPr>
        <w:t>评估</w:t>
      </w:r>
      <w:r>
        <w:rPr>
          <w:rFonts w:hint="eastAsia" w:ascii="仿宋" w:hAnsi="仿宋" w:eastAsia="仿宋" w:cs="宋体"/>
          <w:color w:val="auto"/>
          <w:kern w:val="0"/>
          <w:sz w:val="32"/>
          <w:szCs w:val="32"/>
        </w:rPr>
        <w:t>，确保出具的报告均真实有效，报告所提出的措施具有针对性、有效性和可行性。</w:t>
      </w:r>
    </w:p>
    <w:p w14:paraId="301E2149">
      <w:pPr>
        <w:keepNext w:val="0"/>
        <w:keepLines w:val="0"/>
        <w:pageBreakBefore w:val="0"/>
        <w:widowControl/>
        <w:kinsoku/>
        <w:wordWrap/>
        <w:overflowPunct/>
        <w:topLinePunct w:val="0"/>
        <w:autoSpaceDE/>
        <w:autoSpaceDN/>
        <w:bidi w:val="0"/>
        <w:adjustRightInd/>
        <w:snapToGrid/>
        <w:spacing w:line="480" w:lineRule="auto"/>
        <w:ind w:firstLine="640" w:firstLineChars="200"/>
        <w:jc w:val="left"/>
        <w:textAlignment w:val="auto"/>
        <w:rPr>
          <w:rFonts w:hint="eastAsia" w:ascii="仿宋" w:hAnsi="仿宋" w:eastAsia="仿宋" w:cs="宋体"/>
          <w:color w:val="auto"/>
          <w:kern w:val="0"/>
          <w:sz w:val="32"/>
          <w:szCs w:val="32"/>
        </w:rPr>
      </w:pPr>
      <w:r>
        <w:rPr>
          <w:rFonts w:hint="eastAsia" w:ascii="仿宋" w:hAnsi="仿宋" w:eastAsia="仿宋" w:cs="宋体"/>
          <w:color w:val="auto"/>
          <w:kern w:val="0"/>
          <w:sz w:val="32"/>
          <w:szCs w:val="32"/>
        </w:rPr>
        <w:t>四、我单位对本项目安全</w:t>
      </w:r>
      <w:r>
        <w:rPr>
          <w:rFonts w:hint="eastAsia" w:ascii="仿宋" w:hAnsi="仿宋" w:eastAsia="仿宋" w:cs="宋体"/>
          <w:color w:val="auto"/>
          <w:kern w:val="0"/>
          <w:sz w:val="32"/>
          <w:szCs w:val="32"/>
          <w:lang w:eastAsia="zh-CN"/>
        </w:rPr>
        <w:t>评估</w:t>
      </w:r>
      <w:r>
        <w:rPr>
          <w:rFonts w:hint="eastAsia" w:ascii="仿宋" w:hAnsi="仿宋" w:eastAsia="仿宋" w:cs="宋体"/>
          <w:color w:val="auto"/>
          <w:kern w:val="0"/>
          <w:sz w:val="32"/>
          <w:szCs w:val="32"/>
        </w:rPr>
        <w:t>报告中结论性内容承担法律责任。</w:t>
      </w:r>
    </w:p>
    <w:p w14:paraId="248DBA77">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left="5258" w:leftChars="228" w:hanging="4620" w:hangingChars="1650"/>
        <w:jc w:val="right"/>
        <w:textAlignment w:val="auto"/>
        <w:rPr>
          <w:rFonts w:hint="eastAsia" w:hAnsi="宋体"/>
          <w:color w:val="auto"/>
          <w:szCs w:val="28"/>
        </w:rPr>
      </w:pPr>
    </w:p>
    <w:p w14:paraId="2C8AD663">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left="5258" w:leftChars="228" w:hanging="4620" w:hangingChars="1650"/>
        <w:jc w:val="right"/>
        <w:textAlignment w:val="auto"/>
        <w:rPr>
          <w:color w:val="auto"/>
          <w:kern w:val="0"/>
          <w:szCs w:val="28"/>
        </w:rPr>
      </w:pPr>
      <w:r>
        <w:rPr>
          <w:color w:val="auto"/>
          <w:szCs w:val="28"/>
        </w:rPr>
        <w:t>江西赣安安全生产科学技术咨询服务中心</w:t>
      </w:r>
    </w:p>
    <w:p w14:paraId="6FF5D5F5">
      <w:pPr>
        <w:keepNext w:val="0"/>
        <w:keepLines w:val="0"/>
        <w:pageBreakBefore w:val="0"/>
        <w:widowControl/>
        <w:kinsoku/>
        <w:wordWrap/>
        <w:overflowPunct/>
        <w:topLinePunct w:val="0"/>
        <w:autoSpaceDE/>
        <w:autoSpaceDN/>
        <w:bidi w:val="0"/>
        <w:adjustRightInd/>
        <w:snapToGrid/>
        <w:spacing w:beforeAutospacing="0" w:afterAutospacing="0" w:line="400" w:lineRule="exact"/>
        <w:ind w:firstLine="0" w:firstLineChars="0"/>
        <w:jc w:val="center"/>
        <w:textAlignment w:val="auto"/>
        <w:rPr>
          <w:b/>
          <w:color w:val="auto"/>
          <w:szCs w:val="28"/>
        </w:rPr>
      </w:pPr>
      <w:r>
        <w:rPr>
          <w:rFonts w:hint="eastAsia"/>
          <w:color w:val="auto"/>
          <w:kern w:val="0"/>
          <w:szCs w:val="28"/>
          <w:lang w:val="en-US" w:eastAsia="zh-CN"/>
        </w:rPr>
        <w:t xml:space="preserve">                              </w:t>
      </w:r>
      <w:r>
        <w:rPr>
          <w:rFonts w:hint="eastAsia"/>
          <w:color w:val="FF0000"/>
          <w:kern w:val="0"/>
          <w:szCs w:val="28"/>
        </w:rPr>
        <w:t>2025年</w:t>
      </w:r>
      <w:r>
        <w:rPr>
          <w:rFonts w:hint="eastAsia"/>
          <w:color w:val="FF0000"/>
          <w:kern w:val="0"/>
          <w:szCs w:val="28"/>
          <w:lang w:val="en-US" w:eastAsia="zh-CN"/>
        </w:rPr>
        <w:t>5</w:t>
      </w:r>
      <w:r>
        <w:rPr>
          <w:rFonts w:hint="eastAsia"/>
          <w:color w:val="FF0000"/>
          <w:kern w:val="0"/>
          <w:szCs w:val="28"/>
        </w:rPr>
        <w:t>月</w:t>
      </w:r>
      <w:r>
        <w:rPr>
          <w:rFonts w:hint="eastAsia"/>
          <w:color w:val="FF0000"/>
          <w:kern w:val="0"/>
          <w:szCs w:val="28"/>
          <w:lang w:val="en-US" w:eastAsia="zh-CN"/>
        </w:rPr>
        <w:t>19</w:t>
      </w:r>
      <w:r>
        <w:rPr>
          <w:rFonts w:hint="eastAsia"/>
          <w:color w:val="FF0000"/>
          <w:kern w:val="0"/>
          <w:szCs w:val="28"/>
        </w:rPr>
        <w:t>日</w:t>
      </w:r>
      <w:r>
        <w:rPr>
          <w:b/>
          <w:color w:val="auto"/>
          <w:szCs w:val="28"/>
        </w:rPr>
        <w:br w:type="page"/>
      </w:r>
    </w:p>
    <w:p w14:paraId="17492A56">
      <w:pPr>
        <w:keepNext w:val="0"/>
        <w:keepLines w:val="0"/>
        <w:pageBreakBefore w:val="0"/>
        <w:widowControl/>
        <w:kinsoku/>
        <w:wordWrap/>
        <w:overflowPunct/>
        <w:topLinePunct w:val="0"/>
        <w:autoSpaceDE/>
        <w:autoSpaceDN/>
        <w:bidi w:val="0"/>
        <w:adjustRightInd/>
        <w:snapToGrid/>
        <w:spacing w:beforeAutospacing="0" w:afterAutospacing="0" w:line="400" w:lineRule="exact"/>
        <w:ind w:firstLine="0" w:firstLineChars="0"/>
        <w:jc w:val="center"/>
        <w:textAlignment w:val="auto"/>
        <w:rPr>
          <w:b/>
          <w:color w:val="auto"/>
          <w:szCs w:val="28"/>
        </w:rPr>
      </w:pPr>
    </w:p>
    <w:p w14:paraId="29FAE40B">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auto"/>
        <w:ind w:firstLine="0" w:firstLineChars="0"/>
        <w:jc w:val="center"/>
        <w:textAlignment w:val="auto"/>
        <w:rPr>
          <w:rFonts w:hint="eastAsia" w:ascii="Times New Roman" w:hAnsi="Times New Roman" w:eastAsia="方正小标宋简体" w:cs="Times New Roman"/>
          <w:color w:val="auto"/>
          <w:kern w:val="0"/>
          <w:sz w:val="44"/>
          <w:szCs w:val="44"/>
          <w:lang w:val="en-US" w:eastAsia="zh-CN" w:bidi="ar-SA"/>
        </w:rPr>
      </w:pPr>
      <w:r>
        <w:rPr>
          <w:rFonts w:hint="eastAsia" w:ascii="Times New Roman" w:hAnsi="Times New Roman" w:eastAsia="方正小标宋简体" w:cs="Times New Roman"/>
          <w:color w:val="auto"/>
          <w:kern w:val="0"/>
          <w:sz w:val="44"/>
          <w:szCs w:val="44"/>
          <w:lang w:val="en-US" w:eastAsia="zh-CN" w:bidi="ar-SA"/>
        </w:rPr>
        <w:t>规范安全生产中介行为的九条禁令</w:t>
      </w:r>
    </w:p>
    <w:p w14:paraId="4194D9FF">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auto"/>
        <w:ind w:firstLine="0" w:firstLineChars="0"/>
        <w:jc w:val="center"/>
        <w:textAlignment w:val="auto"/>
        <w:rPr>
          <w:rFonts w:hint="eastAsia" w:ascii="Times New Roman" w:hAnsi="Times New Roman" w:eastAsia="方正小标宋简体" w:cs="Times New Roman"/>
          <w:color w:val="auto"/>
          <w:kern w:val="0"/>
          <w:sz w:val="32"/>
          <w:szCs w:val="32"/>
          <w:lang w:val="en-US" w:eastAsia="zh-CN" w:bidi="ar-SA"/>
        </w:rPr>
      </w:pPr>
      <w:r>
        <w:rPr>
          <w:rFonts w:hint="eastAsia" w:ascii="Times New Roman" w:hAnsi="Times New Roman" w:eastAsia="方正小标宋简体" w:cs="Times New Roman"/>
          <w:color w:val="auto"/>
          <w:kern w:val="0"/>
          <w:sz w:val="32"/>
          <w:szCs w:val="32"/>
          <w:lang w:val="en-US" w:eastAsia="zh-CN" w:bidi="ar-SA"/>
        </w:rPr>
        <w:t>赣安监管规划字〔2017〕178号</w:t>
      </w:r>
    </w:p>
    <w:p w14:paraId="77F321EB">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一、禁止从事安全生产服务的中介服务机构（以下统称中介机构）租借资质证书、非法挂靠、转包服务项目的行为</w:t>
      </w:r>
      <w:r>
        <w:rPr>
          <w:rFonts w:hint="eastAsia" w:ascii="Times New Roman" w:hAnsi="Times New Roman" w:eastAsia="宋体" w:cs="Times New Roman"/>
          <w:color w:val="auto"/>
          <w:kern w:val="0"/>
          <w:sz w:val="28"/>
          <w:szCs w:val="28"/>
          <w:lang w:val="en-US" w:eastAsia="zh-CN" w:bidi="ar-SA"/>
        </w:rPr>
        <w:t>；</w:t>
      </w:r>
    </w:p>
    <w:p w14:paraId="63308A7F">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二、禁止中介机构假借、冒用他人名义要求服务对象接受有偿服务，或者恶意低价竞争以及采取串标、围标等不正当竞争手段，扰乱技术服务市场秩序的行为；</w:t>
      </w:r>
    </w:p>
    <w:p w14:paraId="4216FD63">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三、禁止中介机构出具虚假或漏项、缺项技术报告的行为；</w:t>
      </w:r>
    </w:p>
    <w:p w14:paraId="4FA30D18">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四</w:t>
      </w:r>
      <w:r>
        <w:rPr>
          <w:rFonts w:ascii="Times New Roman" w:hAnsi="Times New Roman" w:eastAsia="宋体"/>
          <w:color w:val="auto"/>
          <w:kern w:val="0"/>
          <w:sz w:val="28"/>
          <w:szCs w:val="28"/>
        </w:rPr>
        <w:t>、</w:t>
      </w:r>
      <w:r>
        <w:rPr>
          <w:rFonts w:hint="eastAsia" w:ascii="Times New Roman" w:hAnsi="Times New Roman" w:eastAsia="宋体" w:cs="Times New Roman"/>
          <w:color w:val="auto"/>
          <w:kern w:val="0"/>
          <w:sz w:val="28"/>
          <w:szCs w:val="28"/>
          <w:lang w:val="en-US" w:eastAsia="zh-CN" w:bidi="ar-SA"/>
        </w:rPr>
        <w:t>禁止中介机构出租、出借资格证书、在报告上冒用他人签名的行为；</w:t>
      </w:r>
    </w:p>
    <w:p w14:paraId="22D55C78">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五、禁止中介机构有应到而不到现场开展技术服务的行为；</w:t>
      </w:r>
    </w:p>
    <w:p w14:paraId="305E9EF9">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六、禁止安全生产监管部门及其工作人员要求生产经营单位接受指定的中介机构开展技术服务的行为；</w:t>
      </w:r>
    </w:p>
    <w:p w14:paraId="50DB7715">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七、禁止安全生产监管部门及其工作人员没有法律依据组织由生产经营单位或机构支付费用的行政性评审的行为；</w:t>
      </w:r>
    </w:p>
    <w:p w14:paraId="2C234CF8">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八、禁止安全生产监管部门及其工作人员干预市场定价，违规擅自出台技术服务收费标准的行为；</w:t>
      </w:r>
    </w:p>
    <w:p w14:paraId="490F08CB">
      <w:pPr>
        <w:keepNext w:val="0"/>
        <w:keepLines w:val="0"/>
        <w:pageBreakBefore w:val="0"/>
        <w:kinsoku/>
        <w:wordWrap/>
        <w:overflowPunct/>
        <w:topLinePunct w:val="0"/>
        <w:autoSpaceDE/>
        <w:autoSpaceDN/>
        <w:bidi w:val="0"/>
        <w:adjustRightInd/>
        <w:snapToGrid/>
        <w:spacing w:line="420" w:lineRule="auto"/>
        <w:ind w:firstLine="560" w:firstLineChars="200"/>
        <w:jc w:val="left"/>
        <w:textAlignment w:val="auto"/>
        <w:rPr>
          <w:rFonts w:ascii="Times New Roman" w:hAnsi="Times New Roman" w:eastAsia="宋体"/>
          <w:color w:val="auto"/>
          <w:kern w:val="0"/>
          <w:szCs w:val="28"/>
        </w:rPr>
      </w:pPr>
      <w:r>
        <w:rPr>
          <w:rFonts w:ascii="Times New Roman" w:hAnsi="Times New Roman" w:eastAsia="宋体"/>
          <w:color w:val="auto"/>
          <w:kern w:val="0"/>
          <w:szCs w:val="28"/>
        </w:rPr>
        <w:t>九、禁止安全生产监管部门及其工作人员参与、擅自干预中介机构从业活动，或者有获取不正当利益的行为。</w:t>
      </w:r>
    </w:p>
    <w:p w14:paraId="3CB608A5">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640" w:firstLineChars="200"/>
        <w:textAlignment w:val="auto"/>
        <w:rPr>
          <w:rFonts w:hint="default" w:ascii="Times New Roman" w:hAnsi="Times New Roman" w:cs="Times New Roman"/>
          <w:color w:val="auto"/>
          <w:sz w:val="32"/>
          <w:szCs w:val="32"/>
        </w:rPr>
      </w:pPr>
    </w:p>
    <w:p w14:paraId="4E77486D">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640" w:firstLineChars="200"/>
        <w:textAlignment w:val="auto"/>
        <w:rPr>
          <w:rFonts w:hint="default" w:ascii="Times New Roman" w:hAnsi="Times New Roman" w:cs="Times New Roman"/>
          <w:color w:val="auto"/>
          <w:sz w:val="32"/>
          <w:szCs w:val="32"/>
        </w:rPr>
      </w:pPr>
    </w:p>
    <w:p w14:paraId="425FE16D">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Times New Roman" w:hAnsi="Times New Roman" w:eastAsia="黑体" w:cs="Times New Roman"/>
          <w:b/>
          <w:color w:val="auto"/>
          <w:sz w:val="32"/>
          <w:szCs w:val="32"/>
        </w:rPr>
      </w:pPr>
    </w:p>
    <w:p w14:paraId="3D4BB78A">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Times New Roman" w:hAnsi="Times New Roman" w:eastAsia="黑体" w:cs="Times New Roman"/>
          <w:b/>
          <w:color w:val="auto"/>
          <w:sz w:val="32"/>
          <w:szCs w:val="32"/>
        </w:rPr>
      </w:pPr>
      <w:r>
        <w:rPr>
          <w:rFonts w:ascii="Times New Roman" w:hAnsi="Times New Roman" w:eastAsia="黑体" w:cs="Times New Roman"/>
          <w:b/>
          <w:color w:val="auto"/>
          <w:sz w:val="32"/>
          <w:szCs w:val="32"/>
        </w:rPr>
        <w:t>评 价 人 员</w:t>
      </w:r>
    </w:p>
    <w:p w14:paraId="0AF46855">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Times New Roman" w:hAnsi="Times New Roman" w:eastAsia="黑体" w:cs="Times New Roman"/>
          <w:b/>
          <w:color w:val="auto"/>
          <w:sz w:val="32"/>
          <w:szCs w:val="32"/>
        </w:rPr>
      </w:pPr>
    </w:p>
    <w:p w14:paraId="6BB95049">
      <w:pPr>
        <w:pStyle w:val="26"/>
        <w:rPr>
          <w:color w:val="auto"/>
        </w:rPr>
      </w:pP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7"/>
        <w:gridCol w:w="1290"/>
        <w:gridCol w:w="3018"/>
        <w:gridCol w:w="1564"/>
        <w:gridCol w:w="1301"/>
      </w:tblGrid>
      <w:tr w14:paraId="72A9C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exact"/>
          <w:jc w:val="center"/>
        </w:trPr>
        <w:tc>
          <w:tcPr>
            <w:tcW w:w="1947" w:type="dxa"/>
            <w:tcBorders>
              <w:top w:val="single" w:color="auto" w:sz="4" w:space="0"/>
              <w:left w:val="single" w:color="auto" w:sz="4" w:space="0"/>
              <w:bottom w:val="single" w:color="auto" w:sz="4" w:space="0"/>
              <w:right w:val="single" w:color="auto" w:sz="4" w:space="0"/>
            </w:tcBorders>
            <w:noWrap w:val="0"/>
            <w:vAlign w:val="center"/>
          </w:tcPr>
          <w:p w14:paraId="3A4AFFF8">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c>
          <w:tcPr>
            <w:tcW w:w="1290" w:type="dxa"/>
            <w:tcBorders>
              <w:top w:val="single" w:color="auto" w:sz="4" w:space="0"/>
              <w:left w:val="single" w:color="auto" w:sz="4" w:space="0"/>
              <w:bottom w:val="single" w:color="auto" w:sz="4" w:space="0"/>
              <w:right w:val="single" w:color="auto" w:sz="4" w:space="0"/>
            </w:tcBorders>
            <w:noWrap w:val="0"/>
            <w:vAlign w:val="center"/>
          </w:tcPr>
          <w:p w14:paraId="6B311BB5">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姓  名</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04B6E938">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证书编号</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6C94CACF">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从业登记号</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1651FACA">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签字</w:t>
            </w:r>
          </w:p>
        </w:tc>
      </w:tr>
      <w:tr w14:paraId="6B97C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exact"/>
          <w:jc w:val="center"/>
        </w:trPr>
        <w:tc>
          <w:tcPr>
            <w:tcW w:w="1947" w:type="dxa"/>
            <w:tcBorders>
              <w:top w:val="single" w:color="auto" w:sz="4" w:space="0"/>
              <w:left w:val="single" w:color="auto" w:sz="4" w:space="0"/>
              <w:bottom w:val="single" w:color="auto" w:sz="4" w:space="0"/>
              <w:right w:val="single" w:color="auto" w:sz="4" w:space="0"/>
            </w:tcBorders>
            <w:noWrap w:val="0"/>
            <w:vAlign w:val="center"/>
          </w:tcPr>
          <w:p w14:paraId="23B51FD4">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项目负责人</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64990F36">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许玉才</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22644293">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1800000000200658</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5469B6F1">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033460</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692FFA8F">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1E812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exact"/>
          <w:jc w:val="center"/>
        </w:trPr>
        <w:tc>
          <w:tcPr>
            <w:tcW w:w="1947" w:type="dxa"/>
            <w:vMerge w:val="restart"/>
            <w:tcBorders>
              <w:top w:val="single" w:color="auto" w:sz="4" w:space="0"/>
              <w:left w:val="single" w:color="auto" w:sz="4" w:space="0"/>
              <w:right w:val="single" w:color="auto" w:sz="4" w:space="0"/>
            </w:tcBorders>
            <w:noWrap w:val="0"/>
            <w:vAlign w:val="center"/>
          </w:tcPr>
          <w:p w14:paraId="5528E202">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项目组成员</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6C747956">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管自强</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06838B77">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S011035000110191000614</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05B2AF0E">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020516</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585386E4">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6A6095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exact"/>
          <w:jc w:val="center"/>
        </w:trPr>
        <w:tc>
          <w:tcPr>
            <w:tcW w:w="1947" w:type="dxa"/>
            <w:vMerge w:val="continue"/>
            <w:tcBorders>
              <w:left w:val="single" w:color="auto" w:sz="4" w:space="0"/>
              <w:right w:val="single" w:color="auto" w:sz="4" w:space="0"/>
            </w:tcBorders>
            <w:noWrap w:val="0"/>
            <w:vAlign w:val="center"/>
          </w:tcPr>
          <w:p w14:paraId="24464CC7">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c>
          <w:tcPr>
            <w:tcW w:w="1290" w:type="dxa"/>
            <w:tcBorders>
              <w:top w:val="single" w:color="auto" w:sz="4" w:space="0"/>
              <w:left w:val="single" w:color="auto" w:sz="4" w:space="0"/>
              <w:bottom w:val="single" w:color="auto" w:sz="4" w:space="0"/>
              <w:right w:val="single" w:color="auto" w:sz="4" w:space="0"/>
            </w:tcBorders>
            <w:noWrap w:val="0"/>
            <w:vAlign w:val="center"/>
          </w:tcPr>
          <w:p w14:paraId="2CA18B5F">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郑  强</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19320020">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0800000000101605</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1AEBEE4F">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001851</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58D5C139">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17D4F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exact"/>
          <w:jc w:val="center"/>
        </w:trPr>
        <w:tc>
          <w:tcPr>
            <w:tcW w:w="1947" w:type="dxa"/>
            <w:vMerge w:val="continue"/>
            <w:tcBorders>
              <w:left w:val="single" w:color="auto" w:sz="4" w:space="0"/>
              <w:right w:val="single" w:color="auto" w:sz="4" w:space="0"/>
            </w:tcBorders>
            <w:noWrap w:val="0"/>
            <w:vAlign w:val="center"/>
          </w:tcPr>
          <w:p w14:paraId="05A4C205">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c>
          <w:tcPr>
            <w:tcW w:w="1290" w:type="dxa"/>
            <w:tcBorders>
              <w:top w:val="single" w:color="auto" w:sz="4" w:space="0"/>
              <w:left w:val="single" w:color="auto" w:sz="4" w:space="0"/>
              <w:bottom w:val="single" w:color="auto" w:sz="4" w:space="0"/>
              <w:right w:val="single" w:color="auto" w:sz="4" w:space="0"/>
            </w:tcBorders>
            <w:noWrap w:val="0"/>
            <w:vAlign w:val="center"/>
          </w:tcPr>
          <w:p w14:paraId="0F202A55">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黄伯扬</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17F54AE1">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CAWS350000230200232</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184C7D89">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032737</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126CA83A">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6AAEB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exact"/>
          <w:jc w:val="center"/>
        </w:trPr>
        <w:tc>
          <w:tcPr>
            <w:tcW w:w="1947" w:type="dxa"/>
            <w:vMerge w:val="continue"/>
            <w:tcBorders>
              <w:left w:val="single" w:color="auto" w:sz="4" w:space="0"/>
              <w:right w:val="single" w:color="auto" w:sz="4" w:space="0"/>
            </w:tcBorders>
            <w:noWrap w:val="0"/>
            <w:vAlign w:val="center"/>
          </w:tcPr>
          <w:p w14:paraId="03DA24EA">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c>
          <w:tcPr>
            <w:tcW w:w="1290" w:type="dxa"/>
            <w:tcBorders>
              <w:top w:val="single" w:color="auto" w:sz="4" w:space="0"/>
              <w:left w:val="single" w:color="auto" w:sz="4" w:space="0"/>
              <w:bottom w:val="single" w:color="auto" w:sz="4" w:space="0"/>
              <w:right w:val="single" w:color="auto" w:sz="4" w:space="0"/>
            </w:tcBorders>
            <w:noWrap w:val="0"/>
            <w:vAlign w:val="center"/>
          </w:tcPr>
          <w:p w14:paraId="3621BC97">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许玉才</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1D078611">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1800000000200658</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78DC5AF5">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033460</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7835EC04">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04160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exact"/>
          <w:jc w:val="center"/>
        </w:trPr>
        <w:tc>
          <w:tcPr>
            <w:tcW w:w="1947" w:type="dxa"/>
            <w:vMerge w:val="continue"/>
            <w:tcBorders>
              <w:left w:val="single" w:color="auto" w:sz="4" w:space="0"/>
              <w:right w:val="single" w:color="auto" w:sz="4" w:space="0"/>
            </w:tcBorders>
            <w:noWrap w:val="0"/>
            <w:vAlign w:val="center"/>
          </w:tcPr>
          <w:p w14:paraId="68C10DB5">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c>
          <w:tcPr>
            <w:tcW w:w="1290" w:type="dxa"/>
            <w:tcBorders>
              <w:top w:val="single" w:color="auto" w:sz="4" w:space="0"/>
              <w:left w:val="single" w:color="auto" w:sz="4" w:space="0"/>
              <w:bottom w:val="single" w:color="auto" w:sz="4" w:space="0"/>
              <w:right w:val="single" w:color="auto" w:sz="4" w:space="0"/>
            </w:tcBorders>
            <w:noWrap w:val="0"/>
            <w:vAlign w:val="center"/>
          </w:tcPr>
          <w:p w14:paraId="7E26D9BA">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sz w:val="24"/>
              </w:rPr>
              <w:t>王纪鹏</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27D51E95">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sz w:val="24"/>
              </w:rPr>
              <w:t>S01103500011019</w:t>
            </w:r>
            <w:r>
              <w:rPr>
                <w:rFonts w:hint="default" w:ascii="Times New Roman" w:hAnsi="Times New Roman" w:cs="Times New Roman"/>
                <w:color w:val="auto"/>
                <w:sz w:val="24"/>
                <w:lang w:val="en-US" w:eastAsia="zh-CN"/>
              </w:rPr>
              <w:t>2</w:t>
            </w:r>
            <w:r>
              <w:rPr>
                <w:rFonts w:hint="default" w:ascii="Times New Roman" w:hAnsi="Times New Roman" w:eastAsia="宋体" w:cs="Times New Roman"/>
                <w:color w:val="auto"/>
                <w:sz w:val="24"/>
              </w:rPr>
              <w:t>00</w:t>
            </w:r>
            <w:r>
              <w:rPr>
                <w:rFonts w:hint="default" w:ascii="Times New Roman" w:hAnsi="Times New Roman" w:cs="Times New Roman"/>
                <w:color w:val="auto"/>
                <w:sz w:val="24"/>
                <w:lang w:val="en-US" w:eastAsia="zh-CN"/>
              </w:rPr>
              <w:t>155</w:t>
            </w:r>
            <w:r>
              <w:rPr>
                <w:rFonts w:hint="eastAsia" w:cs="Times New Roman"/>
                <w:color w:val="auto"/>
                <w:sz w:val="24"/>
                <w:lang w:val="en-US" w:eastAsia="zh-CN"/>
              </w:rPr>
              <w:t>2</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59E2DBCF">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sz w:val="24"/>
              </w:rPr>
              <w:t>036830</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3826168B">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7EC8E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exact"/>
          <w:jc w:val="center"/>
        </w:trPr>
        <w:tc>
          <w:tcPr>
            <w:tcW w:w="1947" w:type="dxa"/>
            <w:tcBorders>
              <w:top w:val="single" w:color="auto" w:sz="4" w:space="0"/>
              <w:left w:val="single" w:color="auto" w:sz="4" w:space="0"/>
              <w:right w:val="single" w:color="auto" w:sz="4" w:space="0"/>
            </w:tcBorders>
            <w:noWrap w:val="0"/>
            <w:vAlign w:val="center"/>
          </w:tcPr>
          <w:p w14:paraId="27E54449">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报告编制人</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3B6D3AFA">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许玉才</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709D9570">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1800000000200658</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51B975F3">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033460</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4EDEC407">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bookmarkStart w:id="152" w:name="_GoBack"/>
            <w:bookmarkEnd w:id="152"/>
          </w:p>
        </w:tc>
      </w:tr>
      <w:tr w14:paraId="58B6A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exact"/>
          <w:jc w:val="center"/>
        </w:trPr>
        <w:tc>
          <w:tcPr>
            <w:tcW w:w="1947" w:type="dxa"/>
            <w:tcBorders>
              <w:top w:val="single" w:color="auto" w:sz="4" w:space="0"/>
              <w:left w:val="single" w:color="auto" w:sz="4" w:space="0"/>
              <w:bottom w:val="single" w:color="auto" w:sz="4" w:space="0"/>
              <w:right w:val="single" w:color="auto" w:sz="4" w:space="0"/>
            </w:tcBorders>
            <w:noWrap w:val="0"/>
            <w:vAlign w:val="center"/>
          </w:tcPr>
          <w:p w14:paraId="709C597E">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报告审核人</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1CC7AC94">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李强</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50AB4F63">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0800000000204055</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286CC255">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007079</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79007A28">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4828E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exact"/>
          <w:jc w:val="center"/>
        </w:trPr>
        <w:tc>
          <w:tcPr>
            <w:tcW w:w="1947" w:type="dxa"/>
            <w:tcBorders>
              <w:top w:val="single" w:color="auto" w:sz="4" w:space="0"/>
              <w:left w:val="single" w:color="auto" w:sz="4" w:space="0"/>
              <w:bottom w:val="single" w:color="auto" w:sz="4" w:space="0"/>
              <w:right w:val="single" w:color="auto" w:sz="4" w:space="0"/>
            </w:tcBorders>
            <w:noWrap w:val="0"/>
            <w:vAlign w:val="center"/>
          </w:tcPr>
          <w:p w14:paraId="7D86BF6F">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过程控制负责</w:t>
            </w:r>
            <w:r>
              <w:rPr>
                <w:rFonts w:hint="eastAsia" w:ascii="Times New Roman" w:hAnsi="Times New Roman" w:cs="Times New Roman"/>
                <w:color w:val="auto"/>
                <w:sz w:val="24"/>
                <w:lang w:val="en-US" w:eastAsia="zh-CN"/>
              </w:rPr>
              <w:t>人</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1C1F6C0F">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檀廷斌</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250DB476">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1600000000200717</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38C7C0E6">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029648</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58CD7EAE">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6ECBB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exact"/>
          <w:jc w:val="center"/>
        </w:trPr>
        <w:tc>
          <w:tcPr>
            <w:tcW w:w="1947" w:type="dxa"/>
            <w:tcBorders>
              <w:top w:val="single" w:color="auto" w:sz="4" w:space="0"/>
              <w:left w:val="single" w:color="auto" w:sz="4" w:space="0"/>
              <w:bottom w:val="single" w:color="auto" w:sz="4" w:space="0"/>
              <w:right w:val="single" w:color="auto" w:sz="4" w:space="0"/>
            </w:tcBorders>
            <w:noWrap w:val="0"/>
            <w:vAlign w:val="center"/>
          </w:tcPr>
          <w:p w14:paraId="74BC25AE">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技术负责人</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0F957522">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管自强</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097CFA80">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S011035000110191000614</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003D801D">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020516</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0FBCF6FB">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bl>
    <w:p w14:paraId="5EC14737">
      <w:pPr>
        <w:spacing w:before="234" w:beforeLines="75" w:after="234" w:afterLines="75" w:line="560" w:lineRule="exact"/>
        <w:jc w:val="center"/>
        <w:rPr>
          <w:rFonts w:ascii="宋体" w:hAnsi="宋体" w:eastAsia="宋体" w:cs="Times New Roman"/>
          <w:b/>
          <w:color w:val="auto"/>
          <w:sz w:val="36"/>
          <w:szCs w:val="36"/>
        </w:rPr>
      </w:pPr>
    </w:p>
    <w:p w14:paraId="71D1C154">
      <w:pPr>
        <w:rPr>
          <w:color w:val="auto"/>
        </w:rPr>
      </w:pPr>
    </w:p>
    <w:p w14:paraId="2401C47E">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b/>
          <w:bCs/>
          <w:color w:val="auto"/>
          <w:szCs w:val="28"/>
        </w:rPr>
      </w:pPr>
      <w:r>
        <w:rPr>
          <w:rFonts w:ascii="宋体" w:hAnsi="宋体"/>
          <w:color w:val="auto"/>
          <w:sz w:val="28"/>
          <w:szCs w:val="28"/>
        </w:rPr>
        <w:br w:type="page"/>
      </w:r>
      <w:r>
        <w:rPr>
          <w:rFonts w:hint="eastAsia" w:ascii="黑体" w:hAnsi="黑体" w:eastAsia="黑体" w:cs="黑体"/>
          <w:b/>
          <w:bCs/>
          <w:color w:val="auto"/>
          <w:sz w:val="32"/>
          <w:szCs w:val="32"/>
        </w:rPr>
        <w:t>前    言</w:t>
      </w:r>
    </w:p>
    <w:p w14:paraId="61D93A0D">
      <w:pPr>
        <w:keepNext w:val="0"/>
        <w:keepLines w:val="0"/>
        <w:pageBreakBefore w:val="0"/>
        <w:widowControl w:val="0"/>
        <w:kinsoku/>
        <w:wordWrap/>
        <w:overflowPunct/>
        <w:topLinePunct w:val="0"/>
        <w:autoSpaceDE/>
        <w:autoSpaceDN/>
        <w:bidi w:val="0"/>
        <w:adjustRightInd/>
        <w:snapToGrid/>
        <w:spacing w:line="348" w:lineRule="auto"/>
        <w:textAlignment w:val="auto"/>
        <w:rPr>
          <w:rFonts w:hint="eastAsia"/>
          <w:color w:val="auto"/>
        </w:rPr>
      </w:pPr>
      <w:r>
        <w:rPr>
          <w:rFonts w:hint="eastAsia"/>
          <w:color w:val="auto"/>
        </w:rPr>
        <w:t>江西浒坑钨业有限公司地处江西省吉安市安福县浒坑镇，北距宜春市54km，南距安福县城46km，距吉安市105km，交通比较方便。</w:t>
      </w:r>
    </w:p>
    <w:p w14:paraId="1F3AD38B">
      <w:pPr>
        <w:keepNext w:val="0"/>
        <w:keepLines w:val="0"/>
        <w:pageBreakBefore w:val="0"/>
        <w:widowControl w:val="0"/>
        <w:kinsoku/>
        <w:wordWrap/>
        <w:overflowPunct/>
        <w:topLinePunct w:val="0"/>
        <w:autoSpaceDE/>
        <w:autoSpaceDN/>
        <w:bidi w:val="0"/>
        <w:adjustRightInd/>
        <w:snapToGrid/>
        <w:spacing w:line="348" w:lineRule="auto"/>
        <w:textAlignment w:val="auto"/>
        <w:rPr>
          <w:rFonts w:hint="eastAsia"/>
          <w:color w:val="auto"/>
        </w:rPr>
      </w:pPr>
      <w:r>
        <w:rPr>
          <w:rFonts w:hint="eastAsia"/>
          <w:color w:val="auto"/>
        </w:rPr>
        <w:t>江西浒坑钨业有限公司杨家店尾矿库位于选厂东北方向0.8km处的一狭长沟内，尾矿坝由初期坝+堆积坝组成，初期坝采用土石混合坝，坝顶高程为+282.22m，坝顶宽为6.0m；后期采用尾砂筑坝，堆积至+292.0m高程，总设计坝高为55.0m，根据规定该库应定为四等库。由于下游居民较多，2012年由长沙有色冶金设计研究院有限公司对杨家店尾矿库进行综合隐患治理设计，综合隐患治理设计时将杨家店尾矿库定为三等库，防洪标准为500年一遇。排洪系统采用框架式排水井+排洪隧洞的方式。</w:t>
      </w:r>
    </w:p>
    <w:p w14:paraId="364E77AA">
      <w:pPr>
        <w:keepNext w:val="0"/>
        <w:keepLines w:val="0"/>
        <w:pageBreakBefore w:val="0"/>
        <w:widowControl w:val="0"/>
        <w:kinsoku/>
        <w:wordWrap/>
        <w:overflowPunct/>
        <w:topLinePunct w:val="0"/>
        <w:autoSpaceDE/>
        <w:autoSpaceDN/>
        <w:bidi w:val="0"/>
        <w:adjustRightInd/>
        <w:snapToGrid/>
        <w:spacing w:line="348" w:lineRule="auto"/>
        <w:textAlignment w:val="auto"/>
        <w:rPr>
          <w:rFonts w:hint="eastAsia"/>
          <w:color w:val="auto"/>
        </w:rPr>
      </w:pPr>
      <w:r>
        <w:rPr>
          <w:rFonts w:hint="eastAsia"/>
          <w:color w:val="auto"/>
        </w:rPr>
        <w:t>按照《关于印发防范化解尾矿库安全风险工作方案的通知》（应急〔2020〕15号）、《关于印发江西省防范化解尾矿库安全风险工作实施方案的通知》（赣应急字〔2020〕64号）、《国家矿山安全监察局综合司关于进一步推进防范化解尾矿库安全风险重点工作的通知》（矿安综〔2021〕16号）、《国家矿山安全监察局综合司关于全面推进防范化解尾矿库安全风险重点工作的通知》（矿安综〔2022〕6号）等规范性文件的有关要求，“头顶库”企业每年要对“头顶库”进行一次安全风险评估。</w:t>
      </w:r>
    </w:p>
    <w:p w14:paraId="7FB87F49">
      <w:pPr>
        <w:keepNext w:val="0"/>
        <w:keepLines w:val="0"/>
        <w:pageBreakBefore w:val="0"/>
        <w:widowControl w:val="0"/>
        <w:kinsoku/>
        <w:wordWrap/>
        <w:overflowPunct/>
        <w:topLinePunct w:val="0"/>
        <w:autoSpaceDE/>
        <w:autoSpaceDN/>
        <w:bidi w:val="0"/>
        <w:adjustRightInd/>
        <w:snapToGrid/>
        <w:spacing w:line="348" w:lineRule="auto"/>
        <w:textAlignment w:val="auto"/>
        <w:rPr>
          <w:rFonts w:hint="eastAsia"/>
          <w:color w:val="auto"/>
        </w:rPr>
      </w:pPr>
      <w:r>
        <w:rPr>
          <w:rFonts w:hint="eastAsia"/>
          <w:color w:val="auto"/>
        </w:rPr>
        <w:t>受江西浒坑钨业有限公司委托，江西赣安安全生产科学技术咨询服务中心承担杨家店尾矿库的安全风险评估工作。按照国家有关法律、法规和技术标准的要求，评估专家组到现场考察和调研、复查，收集了相关的资料数据。通过对该库潜在的危险有害因素辨识和危险程度分析，对该库的周边环境、安全设施、安全运行、安全管理与有关安全生产法律法规及标准、规程的符合性和适应性进行安全风险评估，提出较为合理可行的安全对策措施建议，在此基础上编制形成本报告。</w:t>
      </w:r>
    </w:p>
    <w:p w14:paraId="40A2BBE8">
      <w:pPr>
        <w:keepNext w:val="0"/>
        <w:keepLines w:val="0"/>
        <w:pageBreakBefore w:val="0"/>
        <w:widowControl w:val="0"/>
        <w:kinsoku/>
        <w:wordWrap/>
        <w:overflowPunct/>
        <w:topLinePunct w:val="0"/>
        <w:autoSpaceDE/>
        <w:autoSpaceDN/>
        <w:bidi w:val="0"/>
        <w:adjustRightInd/>
        <w:snapToGrid/>
        <w:spacing w:line="348" w:lineRule="auto"/>
        <w:textAlignment w:val="auto"/>
        <w:rPr>
          <w:rFonts w:hint="eastAsia"/>
          <w:color w:val="auto"/>
        </w:rPr>
      </w:pPr>
      <w:r>
        <w:rPr>
          <w:rFonts w:hint="eastAsia"/>
          <w:color w:val="auto"/>
        </w:rPr>
        <w:t>在评估过程中得到了江西浒坑钨业有限公司领导、安全生产管理人员及员工的大力支持，在此表示感谢！</w:t>
      </w:r>
    </w:p>
    <w:p w14:paraId="73F468FC">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rPr>
      </w:pPr>
      <w:r>
        <w:rPr>
          <w:color w:val="auto"/>
        </w:rPr>
        <w:br w:type="page"/>
      </w:r>
    </w:p>
    <w:p w14:paraId="215C7C02">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
          <w:bCs/>
          <w:color w:val="auto"/>
          <w:sz w:val="32"/>
          <w:szCs w:val="32"/>
          <w:lang w:val="en-US" w:eastAsia="zh-CN"/>
        </w:rPr>
      </w:pPr>
      <w:r>
        <w:rPr>
          <w:rFonts w:hint="eastAsia" w:ascii="黑体" w:hAnsi="黑体" w:eastAsia="黑体" w:cs="黑体"/>
          <w:b/>
          <w:bCs/>
          <w:color w:val="auto"/>
          <w:sz w:val="32"/>
          <w:szCs w:val="32"/>
          <w:lang w:val="en-US" w:eastAsia="zh-CN"/>
        </w:rPr>
        <w:t>目    录</w:t>
      </w:r>
    </w:p>
    <w:p w14:paraId="6CFD3E7E">
      <w:pPr>
        <w:pStyle w:val="14"/>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TOC \o "1-3" \h \u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_Toc5320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 概述</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_Toc5320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3A29F7A4">
      <w:pPr>
        <w:pStyle w:val="15"/>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_Toc29423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1.1</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eastAsia="zh-CN"/>
        </w:rPr>
        <w:t>评估</w:t>
      </w:r>
      <w:r>
        <w:rPr>
          <w:rFonts w:hint="default" w:ascii="Times New Roman" w:hAnsi="Times New Roman" w:eastAsia="宋体" w:cs="Times New Roman"/>
          <w:color w:val="auto"/>
        </w:rPr>
        <w:t>目的和原则</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_Toc29423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2DF4B1BB">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_Toc6960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1.1.1</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eastAsia="zh-CN"/>
        </w:rPr>
        <w:t>评估</w:t>
      </w:r>
      <w:r>
        <w:rPr>
          <w:rFonts w:hint="default" w:ascii="Times New Roman" w:hAnsi="Times New Roman" w:eastAsia="宋体" w:cs="Times New Roman"/>
          <w:color w:val="auto"/>
        </w:rPr>
        <w:t>目的</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_Toc6960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03107C08">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_Toc24895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1.1.2</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eastAsia="zh-CN"/>
        </w:rPr>
        <w:t>评估</w:t>
      </w:r>
      <w:r>
        <w:rPr>
          <w:rFonts w:hint="default" w:ascii="Times New Roman" w:hAnsi="Times New Roman" w:eastAsia="宋体" w:cs="Times New Roman"/>
          <w:color w:val="auto"/>
        </w:rPr>
        <w:t>原则</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_Toc24895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68CBDC2B">
      <w:pPr>
        <w:pStyle w:val="15"/>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_Toc32206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bCs/>
          <w:color w:val="auto"/>
          <w:kern w:val="2"/>
          <w:szCs w:val="32"/>
          <w:lang w:val="en-US" w:eastAsia="zh-CN" w:bidi="ar-SA"/>
        </w:rPr>
        <w:t>1.2 评估依据</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_Toc32206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28281E1C">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_Toc6748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bCs/>
          <w:color w:val="auto"/>
          <w:kern w:val="2"/>
          <w:szCs w:val="32"/>
          <w:lang w:val="en-US" w:eastAsia="zh-CN" w:bidi="ar-SA"/>
        </w:rPr>
        <w:t>1.2.1 法律、法规</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_Toc6748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2C6B6E16">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_Toc29366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1.2.2</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rPr>
        <w:t>规章、</w:t>
      </w:r>
      <w:r>
        <w:rPr>
          <w:rFonts w:hint="default" w:ascii="Times New Roman" w:hAnsi="Times New Roman" w:eastAsia="宋体" w:cs="Times New Roman"/>
          <w:color w:val="auto"/>
          <w:lang w:val="en-US" w:eastAsia="zh-CN"/>
        </w:rPr>
        <w:t>规定</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_Toc29366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7D914251">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_Toc4492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1.2.3 规范性文件</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_Toc4492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1E8F0424">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_Toc26507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bCs/>
          <w:color w:val="auto"/>
          <w:kern w:val="2"/>
          <w:szCs w:val="32"/>
          <w:lang w:val="en-US" w:eastAsia="zh-CN" w:bidi="ar-SA"/>
        </w:rPr>
        <w:t>1.2.4 标准、规范</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_Toc26507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670B199A">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_Toc3961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1.2.</w:t>
      </w:r>
      <w:r>
        <w:rPr>
          <w:rFonts w:hint="default" w:ascii="Times New Roman" w:hAnsi="Times New Roman" w:eastAsia="宋体" w:cs="Times New Roman"/>
          <w:color w:val="auto"/>
          <w:lang w:val="en-US" w:eastAsia="zh-CN"/>
        </w:rPr>
        <w:t xml:space="preserve">5 </w:t>
      </w:r>
      <w:r>
        <w:rPr>
          <w:rFonts w:hint="default" w:ascii="Times New Roman" w:hAnsi="Times New Roman" w:eastAsia="宋体" w:cs="Times New Roman"/>
          <w:color w:val="auto"/>
        </w:rPr>
        <w:t>其他依据和主要参考资料</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_Toc3961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10E7216E">
      <w:pPr>
        <w:pStyle w:val="15"/>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_Toc5535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1.3</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eastAsia="zh-CN"/>
        </w:rPr>
        <w:t>评估</w:t>
      </w:r>
      <w:r>
        <w:rPr>
          <w:rFonts w:hint="default" w:ascii="Times New Roman" w:hAnsi="Times New Roman" w:eastAsia="宋体" w:cs="Times New Roman"/>
          <w:color w:val="auto"/>
        </w:rPr>
        <w:t>对象、范围和内容</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_Toc5535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3E117F88">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_Toc22096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1.3.1</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eastAsia="zh-CN"/>
        </w:rPr>
        <w:t>评估</w:t>
      </w:r>
      <w:r>
        <w:rPr>
          <w:rFonts w:hint="default" w:ascii="Times New Roman" w:hAnsi="Times New Roman" w:eastAsia="宋体" w:cs="Times New Roman"/>
          <w:color w:val="auto"/>
        </w:rPr>
        <w:t>对象、范围</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_Toc22096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2920ED8A">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_Toc29696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1.3.2</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eastAsia="zh-CN"/>
        </w:rPr>
        <w:t>评估</w:t>
      </w:r>
      <w:r>
        <w:rPr>
          <w:rFonts w:hint="default" w:ascii="Times New Roman" w:hAnsi="Times New Roman" w:eastAsia="宋体" w:cs="Times New Roman"/>
          <w:color w:val="auto"/>
        </w:rPr>
        <w:t>内容</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_Toc29696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103C8EE1">
      <w:pPr>
        <w:pStyle w:val="15"/>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_Toc12314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1.4</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eastAsia="zh-CN"/>
        </w:rPr>
        <w:t>评估</w:t>
      </w:r>
      <w:r>
        <w:rPr>
          <w:rFonts w:hint="default" w:ascii="Times New Roman" w:hAnsi="Times New Roman" w:eastAsia="宋体" w:cs="Times New Roman"/>
          <w:color w:val="auto"/>
        </w:rPr>
        <w:t>程序</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_Toc12314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9</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5478DF21">
      <w:pPr>
        <w:pStyle w:val="14"/>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_Toc24320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 尾矿库概况</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_Toc24320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12</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1B7A9EA5">
      <w:pPr>
        <w:pStyle w:val="15"/>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_Toc159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2.1</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rPr>
        <w:t>企业简介</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_Toc159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12</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580FB9A6">
      <w:pPr>
        <w:pStyle w:val="15"/>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_Toc18690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2.2 尾矿库概况</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_Toc18690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12</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5E6F3666">
      <w:pPr>
        <w:pStyle w:val="15"/>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_Toc32651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2.3 气候条件</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_Toc32651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14</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636AD9AC">
      <w:pPr>
        <w:pStyle w:val="15"/>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_Toc9863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2.4 地质概况</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_Toc9863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15</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54FF7E9E">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_Toc9404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2.4.1 区域地质概况</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_Toc9404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15</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2C121BEE">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_Toc6101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2.4.2 库区岩土工程条件</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_Toc6101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16</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6B53FBA8">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_Toc24530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2.4.3 库区水文地质条件</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_Toc24530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2643C5BE">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_Toc9393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2.4.4 地震效应</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_Toc9393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404ACA8E">
      <w:pPr>
        <w:pStyle w:val="15"/>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_Toc15745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2.5 安全综合管理</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_Toc15745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024C6F62">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_Toc17148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2.5.1 安全机构设置</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_Toc17148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4509BB27">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_Toc28725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2.5.2 安全生产管理制度</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_Toc28725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19</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43968249">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_Toc26428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2.5.3 安全生产应急救援与措施</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_Toc26428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20</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6FE5EDD5">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_Toc7937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2.5.4 安全教育培训</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_Toc7937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20</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2E09AA98">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_Toc5712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2.5.5 安全措施费用</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_Toc5712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20</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06FEE0E9">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_Toc13564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2.5.6 安全检查</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_Toc13564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39C3A9C7">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_Toc27104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2.5.7 安全生产标准化</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_Toc27104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67A2B611">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_Toc31853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2.5.8 现场管理</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_Toc31853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71E54EBB">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_Toc17744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2.5.9 事故情况</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_Toc17744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22</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34BD6F85">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_Toc27768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2.5.10 安全生产责任保险</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_Toc27768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22</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5A08B5D0">
      <w:pPr>
        <w:pStyle w:val="15"/>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_Toc10042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2.6 周边环境及其影响分析</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_Toc10042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22</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06649EDC">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_Toc1332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2.6.1 尾矿库周边环境</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_Toc1332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22</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05395F40">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_Toc9144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2.6.2 废石堆现状</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_Toc9144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23</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281436F2">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_Toc13636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2.6.3 原盗采矿硐现状</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_Toc13636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24</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2EAEDB42">
      <w:pPr>
        <w:pStyle w:val="15"/>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_Toc13833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2.7 “头顶库”综合治理</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_Toc13833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26</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7D5DB091">
      <w:pPr>
        <w:pStyle w:val="14"/>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_Toc23918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3. 尾矿库设计及现状概况</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_Toc23918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480EA479">
      <w:pPr>
        <w:pStyle w:val="15"/>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_Toc19541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3.1 尾矿库设计概况</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_Toc19541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497FAB5B">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_Toc27083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3.1.1 1963年设计</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_Toc27083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1B15F8AA">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_Toc18076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3.1.2 1983年改造设计</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_Toc18076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29C93837">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_Toc30075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3.1.3 2008年加高扩容设计</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_Toc30075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44F79609">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_Toc10775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3.1.4 2012年综合隐患治理设计</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_Toc10775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29</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27A2AA1D">
      <w:pPr>
        <w:pStyle w:val="15"/>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_Toc21770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3.2 现状尾矿设施情况</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_Toc21770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30</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5862D44F">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_Toc5259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3.2.1 尾矿库基本情况</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_Toc5259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30</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23371E91">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_Toc1255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3.2.2 尾矿坝现状情况</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_Toc1255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29FC2EA1">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_Toc5992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3.2.3 排洪系统现状情况</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_Toc5992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314B7AFA">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_Toc9368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3.2.4 人工监测设施</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_Toc9368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32</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1156A841">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_Toc8358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3.2.5 在线监测设施</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_Toc8358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32</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5380C9A2">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_Toc11409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3.2.6 尾矿库辅助设施</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_Toc11409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33</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165A201B">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_Toc1980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3.2.7 放矿工艺</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_Toc1980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34</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4B78218A">
      <w:pPr>
        <w:pStyle w:val="14"/>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_Toc15331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4. 安全评估</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_Toc15331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35</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06214E60">
      <w:pPr>
        <w:pStyle w:val="15"/>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_Toc18219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4.1 安全管理单元</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_Toc18219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35</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27AFA3CC">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_Toc1037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4.1.1 安全检查表评估</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_Toc1037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35</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58260468">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_Toc28521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4.1.2 评估结果</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_Toc28521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36</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5076D120">
      <w:pPr>
        <w:pStyle w:val="15"/>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_Toc19644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4.2 尾矿库安全设施单元</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_Toc19644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08DD86CE">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_Toc1596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4.2.1 安全检查表评估</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_Toc1596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601BA7BA">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_Toc5702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4.2.2 尾矿坝稳定性分析</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_Toc5702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5759382E">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_Toc23994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4.2.3 尾矿库安全设施单元评估小结</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_Toc23994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42</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0AFB5934">
      <w:pPr>
        <w:pStyle w:val="15"/>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_Toc22806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4.3 尾矿库调洪演算</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_Toc22806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42</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6B48A3C3">
      <w:pPr>
        <w:pStyle w:val="15"/>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_Toc2191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4.5 尾矿库安全运行单元</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_Toc2191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50</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599C0DEB">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_Toc4456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4.5.1 安全检查表评估</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_Toc4456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50</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6B90A0AC">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_Toc32062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4.5.2 评估单元小结</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_Toc32062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52</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64F249C8">
      <w:pPr>
        <w:pStyle w:val="14"/>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_Toc522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5. 尾矿库危险有害因素辨识与风险评估</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_Toc522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53</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2AEF28D9">
      <w:pPr>
        <w:pStyle w:val="15"/>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_Toc18536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5.1 危险有害因素辨识</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_Toc18536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53</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7B3C6981">
      <w:pPr>
        <w:pStyle w:val="15"/>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_Toc11773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5.2 危险、有害因素分析结果</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_Toc11773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62</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5163A0E9">
      <w:pPr>
        <w:pStyle w:val="15"/>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_Toc28262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5.3 风险度分析与评估方法</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_Toc28262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62</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2A5DAEE2">
      <w:pPr>
        <w:pStyle w:val="15"/>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_Toc18463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5.4 尾矿库风险分析</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_Toc18463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4C16DA71">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_Toc24260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5.4.1 LEC法分析</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_Toc24260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73326879">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_Toc4438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5.4.2 LS法分析</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_Toc4438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78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51711E53">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_Toc12367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5.4.3 尾矿库重大危险源判定</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_Toc12367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84</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1EC137EC">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_Toc8393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5.4.4 安全监管风险分级评定法</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_Toc8393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84</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08AC53D9">
      <w:pPr>
        <w:pStyle w:val="15"/>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_Toc21207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5.5 尾矿库事故风险评价</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_Toc21207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90</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1D527AED">
      <w:pPr>
        <w:pStyle w:val="15"/>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_Toc12076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5.6 风险分级管控</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_Toc12076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97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063E6273">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_Toc3037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5.6.1 组织管理</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_Toc3037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97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6C1E47AD">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_Toc1327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5.6.2 安全风险管控实施流程</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_Toc1327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99</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5BC94545">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_Toc32185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5.6.3 安全风险公告与培训</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_Toc32185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101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7D25CDFE">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_Toc28295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5.6.4 安全风险管控绩效考核</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_Toc28295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102</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3DA533AD">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_Toc13577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5.6.5 安全风险管控措施清单</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_Toc13577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103</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159AAB0C">
      <w:pPr>
        <w:pStyle w:val="10"/>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_Toc24113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5.6.6 安全风险评估小结</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_Toc24113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119</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523805FF">
      <w:pPr>
        <w:pStyle w:val="14"/>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_Toc22109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6. 安全对策措施建议</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_Toc22109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123</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4B3EC9F7">
      <w:pPr>
        <w:pStyle w:val="15"/>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_Toc5599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6.1 安全管理对策措施建议</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_Toc5599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123</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62768756">
      <w:pPr>
        <w:pStyle w:val="15"/>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_Toc5756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6.2 安全技术对策措施建议</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_Toc5756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124</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062BDEDF">
      <w:pPr>
        <w:pStyle w:val="14"/>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_Toc29098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7. 安全评估结论</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_Toc29098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126</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319FE1E1">
      <w:pPr>
        <w:pStyle w:val="14"/>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_Toc14786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8. 附图附件</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_Toc14786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128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0BC285C9">
      <w:pPr>
        <w:pStyle w:val="15"/>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_Toc17025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8.1 附图</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_Toc17025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128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0FEC236A">
      <w:pPr>
        <w:pStyle w:val="15"/>
        <w:tabs>
          <w:tab w:val="right" w:leader="dot" w:pos="9072"/>
        </w:tabs>
        <w:rPr>
          <w:rFonts w:hint="default" w:ascii="Times New Roman" w:hAnsi="Times New Roman" w:eastAsia="宋体" w:cs="Times New Roman"/>
          <w:color w:val="auto"/>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\l _Toc31580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lang w:val="en-US" w:eastAsia="zh-CN"/>
        </w:rPr>
        <w:t>8.2 附件</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_Toc31580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128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fldChar w:fldCharType="end"/>
      </w:r>
    </w:p>
    <w:p w14:paraId="2872B25A">
      <w:pPr>
        <w:rPr>
          <w:color w:val="auto"/>
        </w:rPr>
      </w:pPr>
      <w:r>
        <w:rPr>
          <w:rFonts w:hint="default" w:ascii="Times New Roman" w:hAnsi="Times New Roman" w:eastAsia="宋体" w:cs="Times New Roman"/>
          <w:color w:val="auto"/>
        </w:rPr>
        <w:fldChar w:fldCharType="end"/>
      </w:r>
    </w:p>
    <w:p w14:paraId="647FC42F">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color w:val="auto"/>
        </w:rPr>
      </w:pPr>
      <w:r>
        <w:rPr>
          <w:color w:val="auto"/>
        </w:rPr>
        <w:br w:type="page"/>
      </w:r>
    </w:p>
    <w:p w14:paraId="5A58A2CB">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b/>
          <w:bCs/>
          <w:color w:val="auto"/>
          <w:sz w:val="32"/>
          <w:szCs w:val="32"/>
          <w:lang w:eastAsia="zh-CN"/>
        </w:rPr>
        <w:sectPr>
          <w:headerReference r:id="rId5" w:type="default"/>
          <w:footerReference r:id="rId6" w:type="default"/>
          <w:pgSz w:w="11906" w:h="16839"/>
          <w:pgMar w:top="1417" w:right="1417" w:bottom="1417" w:left="1417" w:header="850" w:footer="992" w:gutter="0"/>
          <w:pgNumType w:fmt="upperRoman" w:start="1"/>
          <w:cols w:space="425" w:num="1"/>
          <w:rtlGutter w:val="0"/>
          <w:docGrid w:linePitch="312" w:charSpace="0"/>
        </w:sectPr>
      </w:pPr>
    </w:p>
    <w:p w14:paraId="671CED02">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b/>
          <w:bCs/>
          <w:color w:val="auto"/>
          <w:sz w:val="32"/>
          <w:szCs w:val="32"/>
        </w:rPr>
      </w:pPr>
      <w:r>
        <w:rPr>
          <w:rFonts w:hint="eastAsia" w:ascii="宋体" w:hAnsi="宋体"/>
          <w:b/>
          <w:bCs/>
          <w:color w:val="auto"/>
          <w:sz w:val="32"/>
          <w:szCs w:val="32"/>
        </w:rPr>
        <w:t>江西浒坑钨业有限公司</w:t>
      </w:r>
    </w:p>
    <w:p w14:paraId="6F2C5636">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b/>
          <w:bCs/>
          <w:color w:val="auto"/>
          <w:sz w:val="32"/>
          <w:szCs w:val="32"/>
        </w:rPr>
      </w:pPr>
      <w:r>
        <w:rPr>
          <w:rFonts w:hint="eastAsia" w:ascii="宋体" w:hAnsi="宋体"/>
          <w:b/>
          <w:bCs/>
          <w:color w:val="auto"/>
          <w:sz w:val="32"/>
          <w:szCs w:val="32"/>
        </w:rPr>
        <w:t>杨家店尾矿库</w:t>
      </w:r>
    </w:p>
    <w:p w14:paraId="09246871">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b/>
          <w:bCs/>
          <w:color w:val="auto"/>
          <w:sz w:val="32"/>
          <w:szCs w:val="32"/>
        </w:rPr>
      </w:pPr>
      <w:r>
        <w:rPr>
          <w:rFonts w:hint="eastAsia" w:ascii="宋体" w:hAnsi="宋体"/>
          <w:b/>
          <w:bCs/>
          <w:color w:val="auto"/>
          <w:sz w:val="32"/>
          <w:szCs w:val="32"/>
        </w:rPr>
        <w:t>安全风险评估报告</w:t>
      </w:r>
    </w:p>
    <w:p w14:paraId="456666A9">
      <w:pPr>
        <w:pStyle w:val="2"/>
        <w:numPr>
          <w:ilvl w:val="0"/>
          <w:numId w:val="2"/>
        </w:numPr>
        <w:bidi w:val="0"/>
        <w:ind w:left="0" w:leftChars="0" w:firstLine="0" w:firstLineChars="0"/>
        <w:rPr>
          <w:rFonts w:hint="eastAsia"/>
          <w:color w:val="auto"/>
        </w:rPr>
      </w:pPr>
      <w:bookmarkStart w:id="0" w:name="_Toc18615"/>
      <w:bookmarkStart w:id="1" w:name="_Toc57620327"/>
      <w:bookmarkStart w:id="2" w:name="_Toc5320"/>
      <w:bookmarkStart w:id="3" w:name="_Toc2422"/>
      <w:bookmarkStart w:id="4" w:name="_Toc17873"/>
      <w:bookmarkStart w:id="5" w:name="_Toc4742"/>
      <w:r>
        <w:rPr>
          <w:rFonts w:hint="eastAsia"/>
          <w:color w:val="auto"/>
        </w:rPr>
        <w:t>概述</w:t>
      </w:r>
      <w:bookmarkEnd w:id="0"/>
      <w:bookmarkEnd w:id="1"/>
      <w:bookmarkEnd w:id="2"/>
      <w:bookmarkEnd w:id="3"/>
      <w:bookmarkEnd w:id="4"/>
      <w:bookmarkEnd w:id="5"/>
    </w:p>
    <w:p w14:paraId="2A02EB2B">
      <w:pPr>
        <w:pStyle w:val="3"/>
        <w:bidi w:val="0"/>
        <w:rPr>
          <w:rFonts w:hint="eastAsia"/>
          <w:color w:val="auto"/>
        </w:rPr>
      </w:pPr>
      <w:bookmarkStart w:id="6" w:name="_Toc29423"/>
      <w:bookmarkStart w:id="7" w:name="_Toc21198"/>
      <w:bookmarkStart w:id="8" w:name="_Toc21858"/>
      <w:bookmarkStart w:id="9" w:name="_Toc24990"/>
      <w:r>
        <w:rPr>
          <w:rFonts w:hint="eastAsia"/>
          <w:color w:val="auto"/>
        </w:rPr>
        <w:t>1.1</w:t>
      </w:r>
      <w:r>
        <w:rPr>
          <w:rFonts w:hint="eastAsia"/>
          <w:color w:val="auto"/>
          <w:lang w:val="en-US" w:eastAsia="zh-CN"/>
        </w:rPr>
        <w:t xml:space="preserve"> </w:t>
      </w:r>
      <w:r>
        <w:rPr>
          <w:rFonts w:hint="eastAsia"/>
          <w:color w:val="auto"/>
          <w:lang w:eastAsia="zh-CN"/>
        </w:rPr>
        <w:t>评估</w:t>
      </w:r>
      <w:r>
        <w:rPr>
          <w:rFonts w:hint="eastAsia"/>
          <w:color w:val="auto"/>
        </w:rPr>
        <w:t>目的和原则</w:t>
      </w:r>
      <w:bookmarkEnd w:id="6"/>
      <w:bookmarkEnd w:id="7"/>
      <w:bookmarkEnd w:id="8"/>
      <w:bookmarkEnd w:id="9"/>
    </w:p>
    <w:p w14:paraId="13CC5B72">
      <w:pPr>
        <w:pStyle w:val="4"/>
        <w:bidi w:val="0"/>
        <w:rPr>
          <w:rFonts w:hint="eastAsia"/>
          <w:color w:val="auto"/>
        </w:rPr>
      </w:pPr>
      <w:bookmarkStart w:id="10" w:name="_Toc3150"/>
      <w:bookmarkStart w:id="11" w:name="_Toc6960"/>
      <w:bookmarkStart w:id="12" w:name="_Toc9539"/>
      <w:bookmarkStart w:id="13" w:name="_Toc30703"/>
      <w:r>
        <w:rPr>
          <w:rFonts w:hint="eastAsia"/>
          <w:color w:val="auto"/>
        </w:rPr>
        <w:t>1.1.1</w:t>
      </w:r>
      <w:r>
        <w:rPr>
          <w:rFonts w:hint="eastAsia"/>
          <w:color w:val="auto"/>
          <w:lang w:val="en-US" w:eastAsia="zh-CN"/>
        </w:rPr>
        <w:t xml:space="preserve"> </w:t>
      </w:r>
      <w:r>
        <w:rPr>
          <w:rFonts w:hint="eastAsia"/>
          <w:color w:val="auto"/>
          <w:lang w:eastAsia="zh-CN"/>
        </w:rPr>
        <w:t>评估</w:t>
      </w:r>
      <w:r>
        <w:rPr>
          <w:rFonts w:hint="eastAsia"/>
          <w:color w:val="auto"/>
        </w:rPr>
        <w:t>目的</w:t>
      </w:r>
      <w:bookmarkEnd w:id="10"/>
      <w:bookmarkEnd w:id="11"/>
      <w:bookmarkEnd w:id="12"/>
      <w:bookmarkEnd w:id="13"/>
    </w:p>
    <w:p w14:paraId="291CF48C">
      <w:pPr>
        <w:rPr>
          <w:rFonts w:hint="eastAsia"/>
          <w:color w:val="auto"/>
        </w:rPr>
      </w:pPr>
      <w:r>
        <w:rPr>
          <w:rFonts w:hint="eastAsia"/>
          <w:color w:val="auto"/>
        </w:rPr>
        <w:t>为了贯彻“安全第一、预防为主、综合治理”的方针，通过对尾矿库的安全管理状况、安全设施符合性、运行状况及其与周边环境相互影响进行检查、分析，评估其与安全设施设计及有关安全生产法律法规、规章和标准的符合性，针对检查过程中发现的问题，提出合理可行的安全对策措施建议，为江西浒坑钨业有限公司杨家店尾矿库的安全管理提供技术依据。</w:t>
      </w:r>
    </w:p>
    <w:p w14:paraId="507D49EA">
      <w:pPr>
        <w:pStyle w:val="4"/>
        <w:bidi w:val="0"/>
        <w:rPr>
          <w:rFonts w:hint="eastAsia"/>
          <w:color w:val="auto"/>
        </w:rPr>
      </w:pPr>
      <w:bookmarkStart w:id="14" w:name="_Toc24895"/>
      <w:bookmarkStart w:id="15" w:name="_Toc10853"/>
      <w:bookmarkStart w:id="16" w:name="_Toc25554"/>
      <w:bookmarkStart w:id="17" w:name="_Toc1972"/>
      <w:r>
        <w:rPr>
          <w:rFonts w:hint="eastAsia"/>
          <w:color w:val="auto"/>
        </w:rPr>
        <w:t>1.1.2</w:t>
      </w:r>
      <w:r>
        <w:rPr>
          <w:rFonts w:hint="eastAsia"/>
          <w:color w:val="auto"/>
          <w:lang w:val="en-US" w:eastAsia="zh-CN"/>
        </w:rPr>
        <w:t xml:space="preserve"> </w:t>
      </w:r>
      <w:r>
        <w:rPr>
          <w:rFonts w:hint="eastAsia"/>
          <w:color w:val="auto"/>
          <w:lang w:eastAsia="zh-CN"/>
        </w:rPr>
        <w:t>评估</w:t>
      </w:r>
      <w:r>
        <w:rPr>
          <w:rFonts w:hint="eastAsia"/>
          <w:color w:val="auto"/>
        </w:rPr>
        <w:t>原则</w:t>
      </w:r>
      <w:bookmarkEnd w:id="14"/>
      <w:bookmarkEnd w:id="15"/>
      <w:bookmarkEnd w:id="16"/>
      <w:bookmarkEnd w:id="17"/>
    </w:p>
    <w:p w14:paraId="7183E0E9">
      <w:pPr>
        <w:rPr>
          <w:rFonts w:hint="eastAsia"/>
          <w:color w:val="auto"/>
        </w:rPr>
      </w:pPr>
      <w:r>
        <w:rPr>
          <w:rFonts w:hint="eastAsia"/>
          <w:color w:val="auto"/>
        </w:rPr>
        <w:t>突出重点，兼顾全面，条理清楚，数据准确完整，取值合理，整改意见具有可操作性，</w:t>
      </w:r>
      <w:r>
        <w:rPr>
          <w:rFonts w:hint="eastAsia"/>
          <w:color w:val="auto"/>
          <w:lang w:eastAsia="zh-CN"/>
        </w:rPr>
        <w:t>评估</w:t>
      </w:r>
      <w:r>
        <w:rPr>
          <w:rFonts w:hint="eastAsia"/>
          <w:color w:val="auto"/>
        </w:rPr>
        <w:t>结论科学、客观、公正。</w:t>
      </w:r>
    </w:p>
    <w:p w14:paraId="2238BFB5">
      <w:pPr>
        <w:keepNext/>
        <w:keepLines/>
        <w:widowControl w:val="0"/>
        <w:bidi w:val="0"/>
        <w:spacing w:line="360" w:lineRule="auto"/>
        <w:ind w:left="280" w:leftChars="100" w:firstLine="0" w:firstLineChars="0"/>
        <w:jc w:val="both"/>
        <w:outlineLvl w:val="1"/>
        <w:rPr>
          <w:rFonts w:hint="eastAsia" w:ascii="Times New Roman" w:hAnsi="Times New Roman" w:eastAsia="黑体" w:cs="Times New Roman"/>
          <w:b/>
          <w:bCs/>
          <w:color w:val="auto"/>
          <w:kern w:val="2"/>
          <w:sz w:val="30"/>
          <w:szCs w:val="32"/>
          <w:lang w:val="en-US" w:eastAsia="zh-CN" w:bidi="ar-SA"/>
        </w:rPr>
      </w:pPr>
      <w:bookmarkStart w:id="18" w:name="_Toc32206"/>
      <w:bookmarkStart w:id="19" w:name="_Toc6403"/>
      <w:bookmarkStart w:id="20" w:name="_Toc11816"/>
      <w:bookmarkStart w:id="21" w:name="_Toc12826"/>
      <w:bookmarkStart w:id="22" w:name="_Toc24541"/>
      <w:bookmarkStart w:id="23" w:name="_Toc7922"/>
      <w:r>
        <w:rPr>
          <w:rFonts w:hint="eastAsia" w:ascii="Times New Roman" w:hAnsi="Times New Roman" w:eastAsia="黑体" w:cs="Times New Roman"/>
          <w:b/>
          <w:bCs/>
          <w:color w:val="auto"/>
          <w:kern w:val="2"/>
          <w:sz w:val="30"/>
          <w:szCs w:val="32"/>
          <w:lang w:val="en-US" w:eastAsia="zh-CN" w:bidi="ar-SA"/>
        </w:rPr>
        <w:t xml:space="preserve">1.2 </w:t>
      </w:r>
      <w:r>
        <w:rPr>
          <w:rFonts w:hint="eastAsia" w:eastAsia="黑体" w:cs="Times New Roman"/>
          <w:b/>
          <w:bCs/>
          <w:color w:val="auto"/>
          <w:kern w:val="2"/>
          <w:sz w:val="30"/>
          <w:szCs w:val="32"/>
          <w:lang w:val="en-US" w:eastAsia="zh-CN" w:bidi="ar-SA"/>
        </w:rPr>
        <w:t>评估</w:t>
      </w:r>
      <w:r>
        <w:rPr>
          <w:rFonts w:hint="eastAsia" w:ascii="Times New Roman" w:hAnsi="Times New Roman" w:eastAsia="黑体" w:cs="Times New Roman"/>
          <w:b/>
          <w:bCs/>
          <w:color w:val="auto"/>
          <w:kern w:val="2"/>
          <w:sz w:val="30"/>
          <w:szCs w:val="32"/>
          <w:lang w:val="en-US" w:eastAsia="zh-CN" w:bidi="ar-SA"/>
        </w:rPr>
        <w:t>依据</w:t>
      </w:r>
      <w:bookmarkEnd w:id="18"/>
      <w:bookmarkEnd w:id="19"/>
      <w:bookmarkEnd w:id="20"/>
      <w:bookmarkEnd w:id="21"/>
      <w:bookmarkEnd w:id="22"/>
    </w:p>
    <w:p w14:paraId="2BAF2770">
      <w:pPr>
        <w:keepNext/>
        <w:keepLines/>
        <w:widowControl w:val="0"/>
        <w:bidi w:val="0"/>
        <w:spacing w:line="360" w:lineRule="auto"/>
        <w:ind w:left="560" w:leftChars="200" w:firstLine="0" w:firstLineChars="0"/>
        <w:jc w:val="both"/>
        <w:outlineLvl w:val="2"/>
        <w:rPr>
          <w:rFonts w:hint="eastAsia" w:ascii="Times New Roman" w:hAnsi="Times New Roman" w:eastAsia="黑体" w:cs="Times New Roman"/>
          <w:b/>
          <w:bCs/>
          <w:color w:val="auto"/>
          <w:kern w:val="2"/>
          <w:sz w:val="28"/>
          <w:szCs w:val="32"/>
          <w:lang w:val="en-US" w:eastAsia="zh-CN" w:bidi="ar-SA"/>
        </w:rPr>
      </w:pPr>
      <w:bookmarkStart w:id="24" w:name="_Toc10498"/>
      <w:bookmarkStart w:id="25" w:name="_Toc15285"/>
      <w:bookmarkStart w:id="26" w:name="_Toc19329"/>
      <w:bookmarkStart w:id="27" w:name="_Toc30237"/>
      <w:bookmarkStart w:id="28" w:name="_Toc6748"/>
      <w:r>
        <w:rPr>
          <w:rFonts w:hint="eastAsia" w:ascii="Times New Roman" w:hAnsi="Times New Roman" w:eastAsia="黑体" w:cs="Times New Roman"/>
          <w:b/>
          <w:bCs/>
          <w:color w:val="auto"/>
          <w:kern w:val="2"/>
          <w:sz w:val="28"/>
          <w:szCs w:val="32"/>
          <w:lang w:val="en-US" w:eastAsia="zh-CN" w:bidi="ar-SA"/>
        </w:rPr>
        <w:t>1.2.1 法律、法规</w:t>
      </w:r>
      <w:bookmarkEnd w:id="24"/>
      <w:bookmarkEnd w:id="25"/>
      <w:bookmarkEnd w:id="26"/>
      <w:bookmarkEnd w:id="27"/>
      <w:bookmarkEnd w:id="28"/>
    </w:p>
    <w:p w14:paraId="5E52DBCD">
      <w:pPr>
        <w:bidi w:val="0"/>
        <w:ind w:firstLine="880"/>
        <w:rPr>
          <w:rFonts w:hint="eastAsia" w:ascii="Times New Roman" w:hAnsi="Times New Roman" w:eastAsia="宋体" w:cs="Times New Roman"/>
          <w:color w:val="auto"/>
          <w:lang w:val="en-US" w:eastAsia="zh-CN"/>
        </w:rPr>
      </w:pPr>
      <w:bookmarkStart w:id="29" w:name="_Toc26671"/>
      <w:r>
        <w:rPr>
          <w:rFonts w:hint="eastAsia" w:ascii="Times New Roman" w:hAnsi="Times New Roman" w:eastAsia="宋体" w:cs="Times New Roman"/>
          <w:color w:val="auto"/>
          <w:lang w:val="en-US" w:eastAsia="zh-CN"/>
        </w:rPr>
        <w:t>1. 法律</w:t>
      </w:r>
    </w:p>
    <w:p w14:paraId="4BAA9E6C">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《中华人民共和国矿山安全法》（主席令第65号，2009年8月27号修正生效）</w:t>
      </w:r>
    </w:p>
    <w:p w14:paraId="2C361C6C">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《中华人民共和国水土保持法》（主席令第39号，2011年3月1日修正生效）</w:t>
      </w:r>
    </w:p>
    <w:p w14:paraId="26E5E733">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《中华人民共和国环境保护法》（主席令第9号，2015年1月1日修订生效）</w:t>
      </w:r>
    </w:p>
    <w:p w14:paraId="09FAD6D6">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《中华人民共和国劳动法》（主席令第24号，2018年12月29日修正生效）</w:t>
      </w:r>
    </w:p>
    <w:p w14:paraId="4839949A">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《中华人民共和国职业病防治法》（主席令第52号，2018年12月29日修正生效）</w:t>
      </w:r>
    </w:p>
    <w:p w14:paraId="58E51221">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《中华人民共和国固体废物污染环境防治法》（主席令第43号，2020年9月1日修正生效）</w:t>
      </w:r>
    </w:p>
    <w:p w14:paraId="20A32319">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《中华人民共和国消防法》（主席令第81号，2021年4月29日修正生效）</w:t>
      </w:r>
    </w:p>
    <w:p w14:paraId="6EE89861">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《中华人民共和国安全生产法》（主席令第88号，2021年9月1日修正生效）</w:t>
      </w:r>
    </w:p>
    <w:p w14:paraId="7DDC4389">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《中华人民共和国突发事件应对法》（主席令第25号，2024年6月28日修订生效）</w:t>
      </w:r>
    </w:p>
    <w:p w14:paraId="50331D7F">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《中华人民共和国矿产资源法》（主席令第36号，2024年11月8日修订）</w:t>
      </w:r>
    </w:p>
    <w:p w14:paraId="22C27EEA">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 行政法规</w:t>
      </w:r>
    </w:p>
    <w:p w14:paraId="3F1D8ADF">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《建设工程安全生产管理条例》（国务院令第393号，自2004年2月1日起施行）</w:t>
      </w:r>
    </w:p>
    <w:p w14:paraId="5A634BA6">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《地质灾害防治条例》（国务院令第394号，2004年3月1日起施行）</w:t>
      </w:r>
    </w:p>
    <w:p w14:paraId="53E5E1FD">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《生产安全事故报告和调查处理条例》（国务院令第493号，自2007年6月1日起施行）</w:t>
      </w:r>
    </w:p>
    <w:p w14:paraId="7E45A66A">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《工伤保险条例》（国务院令第586号，2011年1月1日修订生效）</w:t>
      </w:r>
    </w:p>
    <w:p w14:paraId="2A6F8D08">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《建设项目环境保护管理条例》（国务院令第253号，2017年7月16日修订生效）</w:t>
      </w:r>
    </w:p>
    <w:p w14:paraId="6931A24B">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《建设工程勘察设计管理条例》（国务院令第293号，2017年10月23日修订生效）</w:t>
      </w:r>
    </w:p>
    <w:p w14:paraId="7390434E">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《生产安全事故应急条例》（国务院令第708号，自2019年4月1日起施行）</w:t>
      </w:r>
    </w:p>
    <w:p w14:paraId="0779603D">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《建设工程质量管理条例》（国务院令第279号，2019年4月23日修订生效）</w:t>
      </w:r>
    </w:p>
    <w:p w14:paraId="6CB2317D">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3. 地方性法规</w:t>
      </w:r>
    </w:p>
    <w:p w14:paraId="36E03F03">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《江西省消防条例》（2020年11月25日江西省第十三届人民代表大会常务委员会第二十五次会议第六次修正，自2010年11月9日起施行）</w:t>
      </w:r>
    </w:p>
    <w:p w14:paraId="199321A2">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《江西省安全生产条例》（江西省第十届人民代表大会常务委员会公告第95号，2023年7月26日江西省第十四届人民代表大会常务委员会第三次会议第二次修订，自2023年9月1日施行）</w:t>
      </w:r>
    </w:p>
    <w:p w14:paraId="2B5E6181">
      <w:pPr>
        <w:pStyle w:val="4"/>
        <w:bidi w:val="0"/>
        <w:rPr>
          <w:rFonts w:hint="eastAsia"/>
          <w:color w:val="auto"/>
          <w:lang w:val="en-US" w:eastAsia="zh-CN"/>
        </w:rPr>
      </w:pPr>
      <w:bookmarkStart w:id="30" w:name="_Toc11905"/>
      <w:bookmarkStart w:id="31" w:name="_Toc26038"/>
      <w:bookmarkStart w:id="32" w:name="_Toc492"/>
      <w:bookmarkStart w:id="33" w:name="_Toc12144"/>
      <w:bookmarkStart w:id="34" w:name="_Toc7870"/>
      <w:bookmarkStart w:id="35" w:name="_Toc29366"/>
      <w:r>
        <w:rPr>
          <w:color w:val="auto"/>
        </w:rPr>
        <w:t>1.</w:t>
      </w:r>
      <w:r>
        <w:rPr>
          <w:rFonts w:hint="eastAsia"/>
          <w:color w:val="auto"/>
        </w:rPr>
        <w:t>2</w:t>
      </w:r>
      <w:r>
        <w:rPr>
          <w:color w:val="auto"/>
        </w:rPr>
        <w:t>.2</w:t>
      </w:r>
      <w:r>
        <w:rPr>
          <w:rFonts w:hint="eastAsia"/>
          <w:color w:val="auto"/>
          <w:lang w:val="en-US" w:eastAsia="zh-CN"/>
        </w:rPr>
        <w:t xml:space="preserve"> </w:t>
      </w:r>
      <w:r>
        <w:rPr>
          <w:color w:val="auto"/>
        </w:rPr>
        <w:t>规章、</w:t>
      </w:r>
      <w:bookmarkEnd w:id="30"/>
      <w:bookmarkEnd w:id="31"/>
      <w:r>
        <w:rPr>
          <w:rFonts w:hint="eastAsia"/>
          <w:color w:val="auto"/>
          <w:lang w:val="en-US" w:eastAsia="zh-CN"/>
        </w:rPr>
        <w:t>规定</w:t>
      </w:r>
      <w:bookmarkEnd w:id="32"/>
      <w:bookmarkEnd w:id="33"/>
      <w:bookmarkEnd w:id="34"/>
      <w:bookmarkEnd w:id="35"/>
    </w:p>
    <w:p w14:paraId="24E8819F">
      <w:pPr>
        <w:bidi w:val="0"/>
        <w:rPr>
          <w:rFonts w:hint="eastAsia"/>
          <w:color w:val="auto"/>
          <w:lang w:val="en-US" w:eastAsia="zh-CN"/>
        </w:rPr>
      </w:pPr>
      <w:r>
        <w:rPr>
          <w:rFonts w:hint="eastAsia"/>
          <w:color w:val="auto"/>
          <w:lang w:val="en-US" w:eastAsia="zh-CN"/>
        </w:rPr>
        <w:t>1. 部门规章、规定</w:t>
      </w:r>
    </w:p>
    <w:p w14:paraId="3952FEB4">
      <w:pPr>
        <w:bidi w:val="0"/>
        <w:rPr>
          <w:rFonts w:hint="eastAsia"/>
          <w:color w:val="auto"/>
          <w:lang w:val="en-US" w:eastAsia="zh-CN"/>
        </w:rPr>
      </w:pPr>
      <w:r>
        <w:rPr>
          <w:rFonts w:hint="eastAsia"/>
          <w:color w:val="auto"/>
          <w:lang w:val="en-US" w:eastAsia="zh-CN"/>
        </w:rPr>
        <w:t>《安全生产事故隐患排查治理暂行规定》（总局令第16号，2008年2月1日实施）</w:t>
      </w:r>
    </w:p>
    <w:p w14:paraId="091649E9">
      <w:pPr>
        <w:bidi w:val="0"/>
        <w:rPr>
          <w:rFonts w:hint="eastAsia"/>
          <w:color w:val="auto"/>
          <w:lang w:val="en-US" w:eastAsia="zh-CN"/>
        </w:rPr>
      </w:pPr>
      <w:r>
        <w:rPr>
          <w:rFonts w:hint="eastAsia"/>
          <w:color w:val="auto"/>
          <w:lang w:val="en-US" w:eastAsia="zh-CN"/>
        </w:rPr>
        <w:t>《生产安全事故信息报告和处置办法》（总局令第21号，2009年7月1日生效）</w:t>
      </w:r>
    </w:p>
    <w:p w14:paraId="4C7DEDE9">
      <w:pPr>
        <w:bidi w:val="0"/>
        <w:rPr>
          <w:rFonts w:hint="eastAsia"/>
          <w:color w:val="auto"/>
          <w:lang w:val="en-US" w:eastAsia="zh-CN"/>
        </w:rPr>
      </w:pPr>
      <w:r>
        <w:rPr>
          <w:rFonts w:hint="eastAsia"/>
          <w:color w:val="auto"/>
          <w:lang w:val="en-US" w:eastAsia="zh-CN"/>
        </w:rPr>
        <w:t>《建设项目安全设施“三同时”监督管理办法》（总局令第77号，2015年5月1日起施行）</w:t>
      </w:r>
    </w:p>
    <w:p w14:paraId="591C6BEF">
      <w:pPr>
        <w:bidi w:val="0"/>
        <w:rPr>
          <w:rFonts w:hint="eastAsia"/>
          <w:color w:val="auto"/>
          <w:lang w:val="en-US" w:eastAsia="zh-CN"/>
        </w:rPr>
      </w:pPr>
      <w:r>
        <w:rPr>
          <w:rFonts w:hint="eastAsia"/>
          <w:color w:val="auto"/>
          <w:lang w:val="en-US" w:eastAsia="zh-CN"/>
        </w:rPr>
        <w:t>《安全生产培训管理办法》（总局令第80号，2015年5月29日修改生效）</w:t>
      </w:r>
    </w:p>
    <w:p w14:paraId="784E5891">
      <w:pPr>
        <w:bidi w:val="0"/>
        <w:rPr>
          <w:rFonts w:hint="eastAsia"/>
          <w:color w:val="auto"/>
          <w:lang w:val="en-US" w:eastAsia="zh-CN"/>
        </w:rPr>
      </w:pPr>
      <w:r>
        <w:rPr>
          <w:rFonts w:hint="eastAsia"/>
          <w:color w:val="auto"/>
          <w:lang w:val="en-US" w:eastAsia="zh-CN"/>
        </w:rPr>
        <w:t>《特种作业人员安全技术培训考核管理规定》（总局令80号，2015年7月1日修改生效）</w:t>
      </w:r>
    </w:p>
    <w:p w14:paraId="750AE166">
      <w:pPr>
        <w:bidi w:val="0"/>
        <w:rPr>
          <w:rFonts w:hint="eastAsia"/>
          <w:color w:val="auto"/>
          <w:lang w:val="en-US" w:eastAsia="zh-CN"/>
        </w:rPr>
      </w:pPr>
      <w:r>
        <w:rPr>
          <w:rFonts w:hint="eastAsia"/>
          <w:color w:val="auto"/>
          <w:lang w:val="en-US" w:eastAsia="zh-CN"/>
        </w:rPr>
        <w:t>《尾矿库安全监督管理规定》（总局令第78号，2015年7月1日修改生效）</w:t>
      </w:r>
    </w:p>
    <w:p w14:paraId="02C34B49">
      <w:pPr>
        <w:bidi w:val="0"/>
        <w:rPr>
          <w:rFonts w:hint="eastAsia"/>
          <w:color w:val="auto"/>
          <w:lang w:val="en-US" w:eastAsia="zh-CN"/>
        </w:rPr>
      </w:pPr>
      <w:r>
        <w:rPr>
          <w:rFonts w:hint="eastAsia"/>
          <w:color w:val="auto"/>
          <w:lang w:val="en-US" w:eastAsia="zh-CN"/>
        </w:rPr>
        <w:t>《金属非金属矿山建设项目安全设施目录（试行）》（总局令第75号，2015年7月1日起施行）</w:t>
      </w:r>
    </w:p>
    <w:p w14:paraId="51C47D47">
      <w:pPr>
        <w:bidi w:val="0"/>
        <w:rPr>
          <w:rFonts w:hint="eastAsia"/>
          <w:color w:val="auto"/>
          <w:lang w:val="en-US" w:eastAsia="zh-CN"/>
        </w:rPr>
      </w:pPr>
      <w:r>
        <w:rPr>
          <w:rFonts w:hint="eastAsia"/>
          <w:color w:val="auto"/>
          <w:lang w:val="en-US" w:eastAsia="zh-CN"/>
        </w:rPr>
        <w:t>《生产安全事故应急预案管理办法》（应急部2号令，2019年9月1日施行）</w:t>
      </w:r>
    </w:p>
    <w:p w14:paraId="1FA4195F">
      <w:pPr>
        <w:bidi w:val="0"/>
        <w:rPr>
          <w:rFonts w:hint="eastAsia"/>
          <w:color w:val="auto"/>
          <w:lang w:val="en-US" w:eastAsia="zh-CN"/>
        </w:rPr>
      </w:pPr>
      <w:r>
        <w:rPr>
          <w:rFonts w:hint="eastAsia"/>
          <w:color w:val="auto"/>
          <w:lang w:val="en-US" w:eastAsia="zh-CN"/>
        </w:rPr>
        <w:t>《矿山救援规程》（应急部16号令，自2024年7月1日起施行）</w:t>
      </w:r>
    </w:p>
    <w:p w14:paraId="37AB73EF">
      <w:pPr>
        <w:bidi w:val="0"/>
        <w:rPr>
          <w:rFonts w:hint="eastAsia"/>
          <w:color w:val="auto"/>
          <w:lang w:val="en-US" w:eastAsia="zh-CN"/>
        </w:rPr>
      </w:pPr>
      <w:r>
        <w:rPr>
          <w:rFonts w:hint="eastAsia"/>
          <w:color w:val="auto"/>
          <w:lang w:val="en-US" w:eastAsia="zh-CN"/>
        </w:rPr>
        <w:t>2. 地方政府规章、规定</w:t>
      </w:r>
    </w:p>
    <w:p w14:paraId="1D7C67FF">
      <w:pPr>
        <w:bidi w:val="0"/>
        <w:rPr>
          <w:rFonts w:hint="eastAsia"/>
          <w:color w:val="auto"/>
          <w:lang w:val="en-US" w:eastAsia="zh-CN"/>
        </w:rPr>
      </w:pPr>
      <w:r>
        <w:rPr>
          <w:rFonts w:hint="eastAsia"/>
          <w:color w:val="auto"/>
          <w:lang w:val="en-US" w:eastAsia="zh-CN"/>
        </w:rPr>
        <w:t>《江西省生产安全事故隐患排查治理办法》（江西省人民政府令第238</w:t>
      </w:r>
    </w:p>
    <w:p w14:paraId="06D2D176">
      <w:pPr>
        <w:bidi w:val="0"/>
        <w:ind w:left="0" w:leftChars="0" w:firstLine="0" w:firstLineChars="0"/>
        <w:rPr>
          <w:rFonts w:hint="eastAsia"/>
          <w:color w:val="auto"/>
          <w:lang w:val="en-US" w:eastAsia="zh-CN"/>
        </w:rPr>
      </w:pPr>
      <w:r>
        <w:rPr>
          <w:rFonts w:hint="eastAsia"/>
          <w:color w:val="auto"/>
          <w:lang w:val="en-US" w:eastAsia="zh-CN"/>
        </w:rPr>
        <w:t>号，2021年6月9日省人民政府令第250号第一次修正）</w:t>
      </w:r>
    </w:p>
    <w:p w14:paraId="7E8A57CE">
      <w:pPr>
        <w:pStyle w:val="4"/>
        <w:bidi w:val="0"/>
        <w:rPr>
          <w:rFonts w:hint="eastAsia"/>
          <w:color w:val="auto"/>
          <w:lang w:val="en-US" w:eastAsia="zh-CN"/>
        </w:rPr>
      </w:pPr>
      <w:bookmarkStart w:id="36" w:name="_Toc16058"/>
      <w:bookmarkStart w:id="37" w:name="_Toc7783"/>
      <w:bookmarkStart w:id="38" w:name="_Toc4492"/>
      <w:bookmarkStart w:id="39" w:name="_Toc32144"/>
      <w:r>
        <w:rPr>
          <w:rFonts w:hint="eastAsia"/>
          <w:color w:val="auto"/>
          <w:lang w:val="en-US" w:eastAsia="zh-CN"/>
        </w:rPr>
        <w:t>1.2.3 规范性文件</w:t>
      </w:r>
      <w:bookmarkEnd w:id="36"/>
      <w:bookmarkEnd w:id="37"/>
      <w:bookmarkEnd w:id="38"/>
      <w:bookmarkEnd w:id="39"/>
    </w:p>
    <w:p w14:paraId="1F6C3D37">
      <w:pPr>
        <w:rPr>
          <w:rFonts w:hint="eastAsia"/>
          <w:color w:val="auto"/>
          <w:lang w:val="en-US" w:eastAsia="zh-CN"/>
        </w:rPr>
      </w:pPr>
      <w:r>
        <w:rPr>
          <w:rFonts w:hint="eastAsia"/>
          <w:color w:val="auto"/>
          <w:lang w:val="en-US" w:eastAsia="zh-CN"/>
        </w:rPr>
        <w:t>1. 国家规范性文件</w:t>
      </w:r>
    </w:p>
    <w:p w14:paraId="3995C106">
      <w:pPr>
        <w:rPr>
          <w:rFonts w:hint="eastAsia"/>
          <w:color w:val="auto"/>
          <w:lang w:val="en-US" w:eastAsia="zh-CN"/>
        </w:rPr>
      </w:pPr>
      <w:r>
        <w:rPr>
          <w:rFonts w:hint="eastAsia"/>
          <w:color w:val="auto"/>
          <w:lang w:val="en-US" w:eastAsia="zh-CN"/>
        </w:rPr>
        <w:t>《国务院关于进一步加强安全生产工作的决定》（国发〔2004〕2号，2004年1月9日施行）</w:t>
      </w:r>
    </w:p>
    <w:p w14:paraId="3DD0605D">
      <w:pPr>
        <w:rPr>
          <w:rFonts w:hint="eastAsia"/>
          <w:color w:val="auto"/>
          <w:lang w:val="en-US" w:eastAsia="zh-CN"/>
        </w:rPr>
      </w:pPr>
      <w:r>
        <w:rPr>
          <w:rFonts w:hint="eastAsia"/>
          <w:color w:val="auto"/>
          <w:lang w:val="en-US" w:eastAsia="zh-CN"/>
        </w:rPr>
        <w:t>《国家安全监管总局关于加强金属非金属矿山建设项目安全工作的通知》（安监总管一〔2010〕110号，2010年7月14日）</w:t>
      </w:r>
    </w:p>
    <w:p w14:paraId="04DE80F5">
      <w:pPr>
        <w:rPr>
          <w:rFonts w:hint="eastAsia"/>
          <w:color w:val="auto"/>
          <w:lang w:val="en-US" w:eastAsia="zh-CN"/>
        </w:rPr>
      </w:pPr>
      <w:r>
        <w:rPr>
          <w:rFonts w:hint="eastAsia"/>
          <w:color w:val="auto"/>
          <w:lang w:val="en-US" w:eastAsia="zh-CN"/>
        </w:rPr>
        <w:t>《国务院关于加强地质灾害防治工作的决定》（国发〔2011〕20号，2011年6月13日）</w:t>
      </w:r>
    </w:p>
    <w:p w14:paraId="0469E236">
      <w:pPr>
        <w:rPr>
          <w:rFonts w:hint="eastAsia"/>
          <w:color w:val="auto"/>
          <w:lang w:val="en-US" w:eastAsia="zh-CN"/>
        </w:rPr>
      </w:pPr>
      <w:r>
        <w:rPr>
          <w:rFonts w:hint="eastAsia"/>
          <w:color w:val="auto"/>
          <w:lang w:val="en-US" w:eastAsia="zh-CN"/>
        </w:rPr>
        <w:t>《国务院安委办关于建立安全隐患排查治理体系的通知》（安委办〔2012〕一号，2012年1月5日）</w:t>
      </w:r>
    </w:p>
    <w:p w14:paraId="2683C972">
      <w:pPr>
        <w:rPr>
          <w:rFonts w:hint="eastAsia"/>
          <w:color w:val="auto"/>
          <w:lang w:val="en-US" w:eastAsia="zh-CN"/>
        </w:rPr>
      </w:pPr>
      <w:r>
        <w:rPr>
          <w:rFonts w:hint="eastAsia"/>
          <w:color w:val="auto"/>
          <w:lang w:val="en-US" w:eastAsia="zh-CN"/>
        </w:rPr>
        <w:t>《国家安全监管总局关于宣布失效一批安全生产文件的通知》（安监总办〔2016〕13号，2016年2月4日）</w:t>
      </w:r>
    </w:p>
    <w:p w14:paraId="22E19F7F">
      <w:pPr>
        <w:rPr>
          <w:rFonts w:hint="eastAsia"/>
          <w:color w:val="auto"/>
          <w:lang w:val="en-US" w:eastAsia="zh-CN"/>
        </w:rPr>
      </w:pPr>
      <w:r>
        <w:rPr>
          <w:rFonts w:hint="eastAsia"/>
          <w:color w:val="auto"/>
          <w:lang w:val="en-US" w:eastAsia="zh-CN"/>
        </w:rPr>
        <w:t>《国家安全监管总局关于印发遏制尾矿库“头顶库”重特大事故工作方案的通知》（安监总管一〔2016〕54号，2016年5月20日）</w:t>
      </w:r>
    </w:p>
    <w:p w14:paraId="0F92F1A2">
      <w:pPr>
        <w:rPr>
          <w:rFonts w:hint="eastAsia"/>
          <w:color w:val="auto"/>
          <w:lang w:val="en-US" w:eastAsia="zh-CN"/>
        </w:rPr>
      </w:pPr>
      <w:r>
        <w:rPr>
          <w:rFonts w:hint="eastAsia"/>
          <w:color w:val="auto"/>
          <w:lang w:val="en-US" w:eastAsia="zh-CN"/>
        </w:rPr>
        <w:t>《国家安全监管总局办公厅关于修改用人单位劳动防护用品管理规范的通知》（安监总厅安健〔2018〕3号，2018年1月15日）</w:t>
      </w:r>
    </w:p>
    <w:p w14:paraId="35603F6D">
      <w:pPr>
        <w:rPr>
          <w:rFonts w:hint="eastAsia"/>
          <w:color w:val="auto"/>
          <w:lang w:val="en-US" w:eastAsia="zh-CN"/>
        </w:rPr>
      </w:pPr>
      <w:r>
        <w:rPr>
          <w:rFonts w:hint="eastAsia"/>
          <w:color w:val="auto"/>
          <w:lang w:val="en-US" w:eastAsia="zh-CN"/>
        </w:rPr>
        <w:t>《关于印发防范化解尾矿库安全风险工作方案的通知》（应急〔2020〕15号，2020年2月21日）</w:t>
      </w:r>
    </w:p>
    <w:p w14:paraId="0F91891C">
      <w:pPr>
        <w:rPr>
          <w:rFonts w:hint="default"/>
          <w:color w:val="auto"/>
          <w:lang w:val="en-US" w:eastAsia="zh-CN"/>
        </w:rPr>
      </w:pPr>
      <w:r>
        <w:rPr>
          <w:rFonts w:hint="eastAsia" w:ascii="Times New Roman" w:eastAsia="宋体"/>
          <w:color w:val="auto"/>
          <w:lang w:val="en-US" w:eastAsia="zh-CN"/>
        </w:rPr>
        <w:t>《广电总局 应急部印发</w:t>
      </w:r>
      <w:r>
        <w:rPr>
          <w:rFonts w:hint="eastAsia" w:ascii="宋体" w:hAnsi="宋体" w:eastAsia="宋体" w:cs="宋体"/>
          <w:color w:val="auto"/>
          <w:lang w:val="en-US" w:eastAsia="zh-CN"/>
        </w:rPr>
        <w:t>&lt;</w:t>
      </w:r>
      <w:r>
        <w:rPr>
          <w:rFonts w:hint="eastAsia" w:ascii="Times New Roman" w:eastAsia="宋体"/>
          <w:color w:val="auto"/>
          <w:lang w:val="en-US" w:eastAsia="zh-CN"/>
        </w:rPr>
        <w:t>关于进一步发挥应急广播在应急管理中作用的意见</w:t>
      </w:r>
      <w:r>
        <w:rPr>
          <w:rFonts w:hint="eastAsia" w:ascii="宋体" w:hAnsi="宋体" w:eastAsia="宋体" w:cs="宋体"/>
          <w:color w:val="auto"/>
          <w:lang w:val="en-US" w:eastAsia="zh-CN"/>
        </w:rPr>
        <w:t>&gt;</w:t>
      </w:r>
      <w:r>
        <w:rPr>
          <w:rFonts w:hint="eastAsia" w:ascii="Times New Roman" w:eastAsia="宋体"/>
          <w:color w:val="auto"/>
          <w:lang w:val="en-US" w:eastAsia="zh-CN"/>
        </w:rPr>
        <w:t>的通知》（广电发〔2020〕80号，2020年11月19日）</w:t>
      </w:r>
    </w:p>
    <w:p w14:paraId="60247376">
      <w:pPr>
        <w:rPr>
          <w:rFonts w:hint="eastAsia"/>
          <w:color w:val="auto"/>
          <w:lang w:val="en-US" w:eastAsia="zh-CN"/>
        </w:rPr>
      </w:pPr>
      <w:r>
        <w:rPr>
          <w:rFonts w:hint="eastAsia"/>
          <w:color w:val="auto"/>
          <w:lang w:val="en-US" w:eastAsia="zh-CN"/>
        </w:rPr>
        <w:t>《国家矿山安全监察局关于印发</w:t>
      </w:r>
      <w:r>
        <w:rPr>
          <w:rFonts w:hint="eastAsia" w:ascii="宋体" w:hAnsi="宋体" w:eastAsia="宋体" w:cs="宋体"/>
          <w:color w:val="auto"/>
          <w:lang w:val="en-US" w:eastAsia="zh-CN"/>
        </w:rPr>
        <w:t>&lt;</w:t>
      </w:r>
      <w:r>
        <w:rPr>
          <w:rFonts w:hint="eastAsia"/>
          <w:color w:val="auto"/>
          <w:lang w:val="en-US" w:eastAsia="zh-CN"/>
        </w:rPr>
        <w:t>关于加强非煤矿山安全生产工作的指导意见</w:t>
      </w:r>
      <w:r>
        <w:rPr>
          <w:rFonts w:hint="eastAsia" w:ascii="宋体" w:hAnsi="宋体" w:eastAsia="宋体" w:cs="宋体"/>
          <w:color w:val="auto"/>
          <w:lang w:val="en-US" w:eastAsia="zh-CN"/>
        </w:rPr>
        <w:t>&gt;</w:t>
      </w:r>
      <w:r>
        <w:rPr>
          <w:rFonts w:hint="eastAsia"/>
          <w:color w:val="auto"/>
          <w:lang w:val="en-US" w:eastAsia="zh-CN"/>
        </w:rPr>
        <w:t>的通知》（矿安〔2022〕4号，2022年2月8日起施行）</w:t>
      </w:r>
    </w:p>
    <w:p w14:paraId="37D5B865">
      <w:pPr>
        <w:rPr>
          <w:rFonts w:hint="eastAsia"/>
          <w:color w:val="auto"/>
          <w:lang w:val="en-US" w:eastAsia="zh-CN"/>
        </w:rPr>
      </w:pPr>
      <w:r>
        <w:rPr>
          <w:rFonts w:hint="eastAsia"/>
          <w:color w:val="auto"/>
          <w:lang w:val="en-US" w:eastAsia="zh-CN"/>
        </w:rPr>
        <w:t>《国家矿山安全监察局综合司关于全面推进防范化解尾矿库安全风险重点工作的通知》（矿安综〔2022〕6号，2022年3月4日）</w:t>
      </w:r>
    </w:p>
    <w:p w14:paraId="615E3260">
      <w:pPr>
        <w:rPr>
          <w:rFonts w:hint="eastAsia"/>
          <w:color w:val="auto"/>
          <w:lang w:val="en-US" w:eastAsia="zh-CN"/>
        </w:rPr>
      </w:pPr>
      <w:r>
        <w:rPr>
          <w:rFonts w:hint="eastAsia"/>
          <w:color w:val="auto"/>
          <w:lang w:val="en-US" w:eastAsia="zh-CN"/>
        </w:rPr>
        <w:t>《国家矿山安全监察局关于印发</w:t>
      </w:r>
      <w:r>
        <w:rPr>
          <w:rFonts w:hint="eastAsia" w:ascii="宋体" w:hAnsi="宋体" w:eastAsia="宋体" w:cs="宋体"/>
          <w:color w:val="auto"/>
          <w:lang w:val="en-US" w:eastAsia="zh-CN"/>
        </w:rPr>
        <w:t>&lt;</w:t>
      </w:r>
      <w:r>
        <w:rPr>
          <w:rFonts w:hint="eastAsia"/>
          <w:color w:val="auto"/>
          <w:lang w:val="en-US" w:eastAsia="zh-CN"/>
        </w:rPr>
        <w:t>金属非金属矿山重大事故隐患判定标准</w:t>
      </w:r>
      <w:r>
        <w:rPr>
          <w:rFonts w:hint="eastAsia" w:ascii="宋体" w:hAnsi="宋体" w:eastAsia="宋体" w:cs="宋体"/>
          <w:color w:val="auto"/>
          <w:lang w:val="en-US" w:eastAsia="zh-CN"/>
        </w:rPr>
        <w:t>&gt;</w:t>
      </w:r>
      <w:r>
        <w:rPr>
          <w:rFonts w:hint="eastAsia"/>
          <w:color w:val="auto"/>
          <w:lang w:val="en-US" w:eastAsia="zh-CN"/>
        </w:rPr>
        <w:t>的通知》（矿安〔2022〕88号，2022年7月8日）</w:t>
      </w:r>
    </w:p>
    <w:p w14:paraId="3A6BFC6A">
      <w:pPr>
        <w:rPr>
          <w:rFonts w:hint="eastAsia"/>
          <w:color w:val="auto"/>
          <w:lang w:val="en-US" w:eastAsia="zh-CN"/>
        </w:rPr>
      </w:pPr>
      <w:r>
        <w:rPr>
          <w:rFonts w:hint="eastAsia"/>
          <w:color w:val="auto"/>
          <w:lang w:val="en-US" w:eastAsia="zh-CN"/>
        </w:rPr>
        <w:t>《关于印发</w:t>
      </w:r>
      <w:r>
        <w:rPr>
          <w:rFonts w:hint="eastAsia" w:ascii="宋体" w:hAnsi="宋体" w:eastAsia="宋体" w:cs="宋体"/>
          <w:color w:val="auto"/>
          <w:lang w:val="en-US" w:eastAsia="zh-CN"/>
        </w:rPr>
        <w:t>&lt;</w:t>
      </w:r>
      <w:r>
        <w:rPr>
          <w:rFonts w:hint="eastAsia"/>
          <w:color w:val="auto"/>
          <w:lang w:val="en-US" w:eastAsia="zh-CN"/>
        </w:rPr>
        <w:t>企业安全生产费用提取和使用管理办法</w:t>
      </w:r>
      <w:r>
        <w:rPr>
          <w:rFonts w:hint="eastAsia" w:ascii="宋体" w:hAnsi="宋体" w:eastAsia="宋体" w:cs="宋体"/>
          <w:color w:val="auto"/>
          <w:lang w:val="en-US" w:eastAsia="zh-CN"/>
        </w:rPr>
        <w:t>&gt;</w:t>
      </w:r>
      <w:r>
        <w:rPr>
          <w:rFonts w:hint="eastAsia"/>
          <w:color w:val="auto"/>
          <w:lang w:val="en-US" w:eastAsia="zh-CN"/>
        </w:rPr>
        <w:t>的通知》（财资〔2022〕136号，2022年11月21日）</w:t>
      </w:r>
    </w:p>
    <w:p w14:paraId="74CE6544">
      <w:pPr>
        <w:rPr>
          <w:rFonts w:hint="eastAsia"/>
          <w:color w:val="auto"/>
          <w:lang w:val="en-US" w:eastAsia="zh-CN"/>
        </w:rPr>
      </w:pPr>
      <w:r>
        <w:rPr>
          <w:rFonts w:hint="eastAsia"/>
          <w:color w:val="auto"/>
          <w:lang w:val="en-US" w:eastAsia="zh-CN"/>
        </w:rPr>
        <w:t>《中共中央办公厅国务院办公厅关于进一步加强矿山安全生产工作的意见》（厅字〔2023〕21号，2023年8月25日起施行）</w:t>
      </w:r>
    </w:p>
    <w:p w14:paraId="00501EF9">
      <w:pPr>
        <w:rPr>
          <w:rFonts w:hint="eastAsia"/>
          <w:color w:val="auto"/>
          <w:lang w:val="en-US" w:eastAsia="zh-CN"/>
        </w:rPr>
      </w:pPr>
      <w:r>
        <w:rPr>
          <w:rFonts w:hint="eastAsia"/>
          <w:color w:val="auto"/>
          <w:lang w:val="en-US" w:eastAsia="zh-CN"/>
        </w:rPr>
        <w:t>《国家矿山安全监察局关于做好非煤矿山灾害情况发生重大变化及时报告和出现事故征兆等紧急情况及时撤人工作的通知》（矿安〔2023〕60号，2023年06月21日起施行）</w:t>
      </w:r>
    </w:p>
    <w:p w14:paraId="2D5A7536">
      <w:pPr>
        <w:rPr>
          <w:rFonts w:hint="eastAsia"/>
          <w:color w:val="auto"/>
          <w:lang w:val="en-US" w:eastAsia="zh-CN"/>
        </w:rPr>
      </w:pPr>
      <w:r>
        <w:rPr>
          <w:rFonts w:hint="eastAsia"/>
          <w:color w:val="auto"/>
          <w:lang w:val="en-US" w:eastAsia="zh-CN"/>
        </w:rPr>
        <w:t>《国家矿山安全监察局关于加强矿山应急救援工作的通知》（矿安〔2024〕8号，2024年3月1日）</w:t>
      </w:r>
    </w:p>
    <w:p w14:paraId="21727157">
      <w:pPr>
        <w:rPr>
          <w:rFonts w:hint="eastAsia"/>
          <w:color w:val="auto"/>
          <w:lang w:val="en-US" w:eastAsia="zh-CN"/>
        </w:rPr>
      </w:pPr>
      <w:r>
        <w:rPr>
          <w:rFonts w:hint="eastAsia"/>
          <w:color w:val="auto"/>
          <w:lang w:val="en-US" w:eastAsia="zh-CN"/>
        </w:rPr>
        <w:t>《国家矿山安全监察局关于印发</w:t>
      </w:r>
      <w:r>
        <w:rPr>
          <w:rFonts w:hint="eastAsia" w:ascii="宋体" w:hAnsi="宋体" w:eastAsia="宋体" w:cs="宋体"/>
          <w:color w:val="auto"/>
          <w:lang w:val="en-US" w:eastAsia="zh-CN"/>
        </w:rPr>
        <w:t>&lt;</w:t>
      </w:r>
      <w:r>
        <w:rPr>
          <w:rFonts w:hint="eastAsia"/>
          <w:color w:val="auto"/>
          <w:lang w:val="en-US" w:eastAsia="zh-CN"/>
        </w:rPr>
        <w:t>金属非金属矿山重大事故隐患判定标准补充情形</w:t>
      </w:r>
      <w:r>
        <w:rPr>
          <w:rFonts w:hint="eastAsia" w:ascii="宋体" w:hAnsi="宋体" w:eastAsia="宋体" w:cs="宋体"/>
          <w:color w:val="auto"/>
          <w:lang w:val="en-US" w:eastAsia="zh-CN"/>
        </w:rPr>
        <w:t>&gt;</w:t>
      </w:r>
      <w:r>
        <w:rPr>
          <w:rFonts w:hint="eastAsia"/>
          <w:color w:val="auto"/>
          <w:lang w:val="en-US" w:eastAsia="zh-CN"/>
        </w:rPr>
        <w:t>的通知》（矿安〔2024〕41号，2024年4月23日）</w:t>
      </w:r>
    </w:p>
    <w:p w14:paraId="1F4FEBD7">
      <w:pPr>
        <w:rPr>
          <w:rFonts w:hint="eastAsia"/>
          <w:color w:val="auto"/>
          <w:lang w:val="en-US" w:eastAsia="zh-CN"/>
        </w:rPr>
      </w:pPr>
      <w:r>
        <w:rPr>
          <w:rFonts w:hint="eastAsia"/>
          <w:color w:val="auto"/>
          <w:lang w:val="en-US" w:eastAsia="zh-CN"/>
        </w:rPr>
        <w:t>《国家矿山安全监察局关于进一步加强非煤矿山安全生产行政许可工作的通知》（矿安〔2024〕70号，2024年6月28日起施行）</w:t>
      </w:r>
    </w:p>
    <w:p w14:paraId="1386C348">
      <w:pPr>
        <w:rPr>
          <w:rFonts w:hint="eastAsia"/>
          <w:color w:val="auto"/>
          <w:lang w:val="en-US" w:eastAsia="zh-CN"/>
        </w:rPr>
      </w:pPr>
      <w:r>
        <w:rPr>
          <w:rFonts w:hint="eastAsia"/>
          <w:color w:val="auto"/>
          <w:lang w:val="en-US" w:eastAsia="zh-CN"/>
        </w:rPr>
        <w:t>《关于印发</w:t>
      </w:r>
      <w:r>
        <w:rPr>
          <w:rFonts w:hint="eastAsia" w:ascii="宋体" w:hAnsi="宋体" w:eastAsia="宋体" w:cs="宋体"/>
          <w:color w:val="auto"/>
          <w:lang w:val="en-US" w:eastAsia="zh-CN"/>
        </w:rPr>
        <w:t>&lt;</w:t>
      </w:r>
      <w:r>
        <w:rPr>
          <w:rFonts w:hint="eastAsia"/>
          <w:color w:val="auto"/>
          <w:lang w:val="en-US" w:eastAsia="zh-CN"/>
        </w:rPr>
        <w:t>安全生产责任保险实施办法</w:t>
      </w:r>
      <w:r>
        <w:rPr>
          <w:rFonts w:hint="eastAsia" w:ascii="宋体" w:hAnsi="宋体" w:eastAsia="宋体" w:cs="宋体"/>
          <w:color w:val="auto"/>
          <w:lang w:val="en-US" w:eastAsia="zh-CN"/>
        </w:rPr>
        <w:t>&gt;</w:t>
      </w:r>
      <w:r>
        <w:rPr>
          <w:rFonts w:hint="eastAsia"/>
          <w:color w:val="auto"/>
          <w:lang w:val="en-US" w:eastAsia="zh-CN"/>
        </w:rPr>
        <w:t>的通知》（应急〔2025〕27号，2025年3月29日起施行）</w:t>
      </w:r>
    </w:p>
    <w:p w14:paraId="7B63CBAA">
      <w:pPr>
        <w:rPr>
          <w:rFonts w:hint="eastAsia"/>
          <w:color w:val="auto"/>
          <w:lang w:val="en-US" w:eastAsia="zh-CN"/>
        </w:rPr>
      </w:pPr>
      <w:r>
        <w:rPr>
          <w:rFonts w:hint="eastAsia"/>
          <w:color w:val="auto"/>
          <w:lang w:val="en-US" w:eastAsia="zh-CN"/>
        </w:rPr>
        <w:t>2. 地方性规范文件</w:t>
      </w:r>
    </w:p>
    <w:p w14:paraId="6CCE04CB">
      <w:pPr>
        <w:rPr>
          <w:rFonts w:hint="eastAsia"/>
          <w:color w:val="auto"/>
          <w:lang w:val="en-US" w:eastAsia="zh-CN"/>
        </w:rPr>
      </w:pPr>
      <w:r>
        <w:rPr>
          <w:rFonts w:hint="eastAsia"/>
          <w:color w:val="auto"/>
          <w:lang w:val="en-US" w:eastAsia="zh-CN"/>
        </w:rPr>
        <w:t>《江西省人民政府关于进一步加强企业安全生产工作的实施意见》（赣府发〔2010〕32号，2010年10月8日）</w:t>
      </w:r>
    </w:p>
    <w:p w14:paraId="4617505B">
      <w:pPr>
        <w:rPr>
          <w:rFonts w:hint="eastAsia"/>
          <w:color w:val="auto"/>
          <w:lang w:val="en-US" w:eastAsia="zh-CN"/>
        </w:rPr>
      </w:pPr>
      <w:r>
        <w:rPr>
          <w:rFonts w:hint="eastAsia"/>
          <w:color w:val="auto"/>
          <w:lang w:val="en-US" w:eastAsia="zh-CN"/>
        </w:rPr>
        <w:t>《江西省安监局转发国家安全监管总局关于印发</w:t>
      </w:r>
      <w:r>
        <w:rPr>
          <w:rFonts w:hint="eastAsia" w:ascii="宋体" w:hAnsi="宋体" w:eastAsia="宋体" w:cs="宋体"/>
          <w:color w:val="auto"/>
          <w:lang w:val="en-US" w:eastAsia="zh-CN"/>
        </w:rPr>
        <w:t>&lt;</w:t>
      </w:r>
      <w:r>
        <w:rPr>
          <w:rFonts w:hint="eastAsia"/>
          <w:color w:val="auto"/>
          <w:lang w:val="en-US" w:eastAsia="zh-CN"/>
        </w:rPr>
        <w:t>遏制尾矿库“头顶库”重特大事故工作方案</w:t>
      </w:r>
      <w:r>
        <w:rPr>
          <w:rFonts w:hint="eastAsia" w:ascii="宋体" w:hAnsi="宋体" w:eastAsia="宋体" w:cs="宋体"/>
          <w:color w:val="auto"/>
          <w:lang w:val="en-US" w:eastAsia="zh-CN"/>
        </w:rPr>
        <w:t>&gt;</w:t>
      </w:r>
      <w:r>
        <w:rPr>
          <w:rFonts w:hint="eastAsia"/>
          <w:color w:val="auto"/>
          <w:lang w:val="en-US" w:eastAsia="zh-CN"/>
        </w:rPr>
        <w:t>的通知》（赣安监管一字〔2016〕56号，2016年6月12日）</w:t>
      </w:r>
    </w:p>
    <w:p w14:paraId="3B4E6B12">
      <w:pPr>
        <w:rPr>
          <w:rFonts w:hint="eastAsia"/>
          <w:color w:val="auto"/>
          <w:lang w:val="en-US" w:eastAsia="zh-CN"/>
        </w:rPr>
      </w:pPr>
      <w:r>
        <w:rPr>
          <w:rFonts w:hint="eastAsia"/>
          <w:color w:val="auto"/>
          <w:lang w:val="en-US" w:eastAsia="zh-CN"/>
        </w:rPr>
        <w:t>《江西省安监局关于印发江西省非煤矿山领域防范遏制重特大事故工作方案的通知》（赣安监管一字〔2016〕70号，2016年7月7日）</w:t>
      </w:r>
    </w:p>
    <w:p w14:paraId="27AF2886">
      <w:pPr>
        <w:rPr>
          <w:rFonts w:hint="eastAsia"/>
          <w:color w:val="auto"/>
          <w:lang w:val="en-US" w:eastAsia="zh-CN"/>
        </w:rPr>
      </w:pPr>
      <w:r>
        <w:rPr>
          <w:rFonts w:hint="eastAsia"/>
          <w:color w:val="auto"/>
          <w:lang w:val="en-US" w:eastAsia="zh-CN"/>
        </w:rPr>
        <w:t>《江西省安全生产委员会关于在全省高危行业领域实施安全生产责任保险制度的指导意见》（赣安〔2017〕22号，2017年10月26日）</w:t>
      </w:r>
    </w:p>
    <w:p w14:paraId="0D076BDD">
      <w:pPr>
        <w:rPr>
          <w:rFonts w:hint="eastAsia"/>
          <w:color w:val="auto"/>
          <w:lang w:val="en-US" w:eastAsia="zh-CN"/>
        </w:rPr>
      </w:pPr>
      <w:r>
        <w:rPr>
          <w:rFonts w:hint="eastAsia"/>
          <w:color w:val="auto"/>
          <w:lang w:val="en-US" w:eastAsia="zh-CN"/>
        </w:rPr>
        <w:t>《关于印发江西省防范化解尾矿库安全风险工作实施方案的通知》（赣应急字〔2020〕64号，2020年4月30日）</w:t>
      </w:r>
    </w:p>
    <w:p w14:paraId="36E8E5D1">
      <w:pPr>
        <w:rPr>
          <w:rFonts w:hint="eastAsia"/>
          <w:color w:val="auto"/>
          <w:lang w:val="en-US" w:eastAsia="zh-CN"/>
        </w:rPr>
      </w:pPr>
      <w:r>
        <w:rPr>
          <w:rFonts w:hint="eastAsia"/>
          <w:color w:val="auto"/>
          <w:lang w:val="en-US" w:eastAsia="zh-CN"/>
        </w:rPr>
        <w:t>《江西省应急管理厅关于加强全省尾矿库安全生产风险监测预警系统运行管理的通知》（（赣应急字〔2022〕18号，2022年3月22日）</w:t>
      </w:r>
    </w:p>
    <w:p w14:paraId="56727584">
      <w:pPr>
        <w:rPr>
          <w:rFonts w:hint="eastAsia"/>
          <w:color w:val="auto"/>
          <w:lang w:val="en-US" w:eastAsia="zh-CN"/>
        </w:rPr>
      </w:pPr>
      <w:r>
        <w:rPr>
          <w:rFonts w:hint="eastAsia"/>
          <w:color w:val="auto"/>
          <w:lang w:val="en-US" w:eastAsia="zh-CN"/>
        </w:rPr>
        <w:t>《江西省应急管理厅关于做好〈中共中央办公厅 国务院办公厅关于进步加强矿山安全生产工作的意见〉学习宣传贯彻工作的通知》（赣应急字〔2023〕16号，2023年11月17日）</w:t>
      </w:r>
    </w:p>
    <w:p w14:paraId="3D74CDE9">
      <w:pPr>
        <w:keepNext/>
        <w:keepLines/>
        <w:widowControl w:val="0"/>
        <w:bidi w:val="0"/>
        <w:spacing w:line="360" w:lineRule="auto"/>
        <w:ind w:left="560" w:leftChars="200" w:firstLine="0" w:firstLineChars="0"/>
        <w:jc w:val="both"/>
        <w:outlineLvl w:val="2"/>
        <w:rPr>
          <w:rFonts w:hint="eastAsia" w:ascii="Times New Roman" w:hAnsi="Times New Roman" w:eastAsia="黑体" w:cs="Times New Roman"/>
          <w:b/>
          <w:bCs/>
          <w:color w:val="auto"/>
          <w:kern w:val="2"/>
          <w:sz w:val="28"/>
          <w:szCs w:val="32"/>
          <w:lang w:val="en-US" w:eastAsia="zh-CN" w:bidi="ar-SA"/>
        </w:rPr>
      </w:pPr>
      <w:bookmarkStart w:id="40" w:name="_Toc18003"/>
      <w:bookmarkStart w:id="41" w:name="_Toc15641"/>
      <w:bookmarkStart w:id="42" w:name="_Toc26789"/>
      <w:bookmarkStart w:id="43" w:name="_Toc26507"/>
      <w:bookmarkStart w:id="44" w:name="_Toc19836"/>
      <w:r>
        <w:rPr>
          <w:rFonts w:hint="eastAsia" w:ascii="Times New Roman" w:hAnsi="Times New Roman" w:eastAsia="黑体" w:cs="Times New Roman"/>
          <w:b/>
          <w:bCs/>
          <w:color w:val="auto"/>
          <w:kern w:val="2"/>
          <w:sz w:val="28"/>
          <w:szCs w:val="32"/>
          <w:lang w:val="en-US" w:eastAsia="zh-CN" w:bidi="ar-SA"/>
        </w:rPr>
        <w:t>1.2.4 标准、规范</w:t>
      </w:r>
      <w:bookmarkEnd w:id="40"/>
      <w:bookmarkEnd w:id="41"/>
      <w:bookmarkEnd w:id="42"/>
      <w:bookmarkEnd w:id="43"/>
      <w:bookmarkEnd w:id="44"/>
    </w:p>
    <w:bookmarkEnd w:id="29"/>
    <w:p w14:paraId="6CBD4B86">
      <w:pPr>
        <w:bidi w:val="0"/>
        <w:ind w:firstLine="880"/>
        <w:rPr>
          <w:rFonts w:hint="eastAsia" w:ascii="Times New Roman" w:hAnsi="Times New Roman" w:eastAsia="宋体" w:cs="Times New Roman"/>
          <w:color w:val="auto"/>
          <w:lang w:val="en-US" w:eastAsia="zh-CN"/>
        </w:rPr>
      </w:pPr>
      <w:bookmarkStart w:id="45" w:name="_Toc1052"/>
      <w:bookmarkStart w:id="46" w:name="_Toc11858"/>
      <w:r>
        <w:rPr>
          <w:rFonts w:hint="eastAsia" w:ascii="Times New Roman" w:hAnsi="Times New Roman" w:eastAsia="宋体" w:cs="Times New Roman"/>
          <w:color w:val="auto"/>
          <w:lang w:val="en-US" w:eastAsia="zh-CN"/>
        </w:rPr>
        <w:t>《岩土工程勘察规范</w:t>
      </w:r>
      <w:r>
        <w:rPr>
          <w:rFonts w:hint="eastAsia" w:ascii="宋体" w:hAnsi="宋体" w:eastAsia="宋体" w:cs="宋体"/>
          <w:color w:val="auto"/>
          <w:lang w:val="en-US" w:eastAsia="zh-CN"/>
        </w:rPr>
        <w:t>[</w:t>
      </w:r>
      <w:r>
        <w:rPr>
          <w:rFonts w:hint="default" w:ascii="Times New Roman" w:hAnsi="Times New Roman" w:eastAsia="宋体" w:cs="Times New Roman"/>
          <w:color w:val="auto"/>
          <w:lang w:val="en-US" w:eastAsia="zh-CN"/>
        </w:rPr>
        <w:t>20</w:t>
      </w:r>
      <w:r>
        <w:rPr>
          <w:rFonts w:hint="eastAsia" w:ascii="Times New Roman" w:hAnsi="Times New Roman" w:eastAsia="宋体" w:cs="Times New Roman"/>
          <w:color w:val="auto"/>
          <w:lang w:val="en-US" w:eastAsia="zh-CN"/>
        </w:rPr>
        <w:t>0</w:t>
      </w:r>
      <w:r>
        <w:rPr>
          <w:rFonts w:hint="default" w:ascii="Times New Roman" w:hAnsi="Times New Roman" w:eastAsia="宋体" w:cs="Times New Roman"/>
          <w:color w:val="auto"/>
          <w:lang w:val="en-US" w:eastAsia="zh-CN"/>
        </w:rPr>
        <w:t>9</w:t>
      </w:r>
      <w:r>
        <w:rPr>
          <w:rFonts w:hint="eastAsia" w:ascii="宋体" w:hAnsi="宋体" w:eastAsia="宋体" w:cs="宋体"/>
          <w:color w:val="auto"/>
          <w:lang w:val="en-US" w:eastAsia="zh-CN"/>
        </w:rPr>
        <w:t>版]</w:t>
      </w:r>
      <w:r>
        <w:rPr>
          <w:rFonts w:hint="eastAsia" w:ascii="Times New Roman" w:hAnsi="Times New Roman" w:eastAsia="宋体" w:cs="Times New Roman"/>
          <w:color w:val="auto"/>
          <w:lang w:val="en-US" w:eastAsia="zh-CN"/>
        </w:rPr>
        <w:t>》                     GB50021-2001</w:t>
      </w:r>
    </w:p>
    <w:p w14:paraId="4FD6D803">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《建筑</w:t>
      </w:r>
      <w:r>
        <w:rPr>
          <w:rFonts w:hint="eastAsia" w:cs="Times New Roman"/>
          <w:color w:val="auto"/>
          <w:lang w:val="en-US" w:eastAsia="zh-CN"/>
        </w:rPr>
        <w:t>工程</w:t>
      </w:r>
      <w:r>
        <w:rPr>
          <w:rFonts w:hint="eastAsia" w:ascii="Times New Roman" w:hAnsi="Times New Roman" w:eastAsia="宋体" w:cs="Times New Roman"/>
          <w:color w:val="auto"/>
          <w:lang w:val="en-US" w:eastAsia="zh-CN"/>
        </w:rPr>
        <w:t>抗震设防分类标准》                     GB50223-2008</w:t>
      </w:r>
    </w:p>
    <w:p w14:paraId="3EC833D9">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《安全标志及其使用导则》                          GB2894-2008</w:t>
      </w:r>
    </w:p>
    <w:p w14:paraId="7145AA09">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《安全色》                                        GB2893-2008</w:t>
      </w:r>
    </w:p>
    <w:p w14:paraId="40264963">
      <w:pPr>
        <w:bidi w:val="0"/>
        <w:ind w:firstLine="88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《建筑抗震设计规范</w:t>
      </w:r>
      <w:r>
        <w:rPr>
          <w:rFonts w:hint="eastAsia" w:ascii="宋体" w:hAnsi="宋体" w:eastAsia="宋体" w:cs="宋体"/>
          <w:color w:val="auto"/>
          <w:lang w:val="en-US" w:eastAsia="zh-CN"/>
        </w:rPr>
        <w:t>[</w:t>
      </w:r>
      <w:r>
        <w:rPr>
          <w:rFonts w:hint="eastAsia" w:cs="Times New Roman"/>
          <w:color w:val="auto"/>
          <w:lang w:val="en-US" w:eastAsia="zh-CN"/>
        </w:rPr>
        <w:t>2024</w:t>
      </w:r>
      <w:r>
        <w:rPr>
          <w:rFonts w:hint="eastAsia" w:ascii="Times New Roman" w:hAnsi="Times New Roman" w:eastAsia="宋体" w:cs="Times New Roman"/>
          <w:color w:val="auto"/>
          <w:lang w:val="en-US" w:eastAsia="zh-CN"/>
        </w:rPr>
        <w:t>年版</w:t>
      </w:r>
      <w:r>
        <w:rPr>
          <w:rFonts w:hint="eastAsia" w:ascii="宋体" w:hAnsi="宋体" w:eastAsia="宋体" w:cs="宋体"/>
          <w:color w:val="auto"/>
          <w:lang w:val="en-US" w:eastAsia="zh-CN"/>
        </w:rPr>
        <w:t>]</w:t>
      </w:r>
      <w:r>
        <w:rPr>
          <w:rFonts w:hint="eastAsia" w:ascii="Times New Roman" w:hAnsi="Times New Roman" w:eastAsia="宋体" w:cs="Times New Roman"/>
          <w:color w:val="auto"/>
          <w:lang w:val="en-US" w:eastAsia="zh-CN"/>
        </w:rPr>
        <w:t xml:space="preserve">》  </w:t>
      </w:r>
      <w:r>
        <w:rPr>
          <w:rFonts w:hint="eastAsia" w:cs="Times New Roman"/>
          <w:color w:val="auto"/>
          <w:lang w:val="en-US" w:eastAsia="zh-CN"/>
        </w:rPr>
        <w:t xml:space="preserve">            </w:t>
      </w:r>
      <w:r>
        <w:rPr>
          <w:rFonts w:hint="eastAsia" w:ascii="Times New Roman" w:hAnsi="Times New Roman" w:eastAsia="宋体" w:cs="Times New Roman"/>
          <w:color w:val="auto"/>
          <w:lang w:val="en-US" w:eastAsia="zh-CN"/>
        </w:rPr>
        <w:t xml:space="preserve">     GB50011-2010</w:t>
      </w:r>
    </w:p>
    <w:p w14:paraId="6B6CA01B">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《建筑地基基础设计规范》                         GB50007-2011</w:t>
      </w:r>
    </w:p>
    <w:p w14:paraId="3400335A">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《混凝土结构工程施工规范》                       GB50666-2011</w:t>
      </w:r>
    </w:p>
    <w:p w14:paraId="49E12DA0">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《工业企业总平面设计规范》                       GB50187-2012</w:t>
      </w:r>
    </w:p>
    <w:p w14:paraId="6EF91C98">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《构筑物抗震设计规范》                           GB50191-2012</w:t>
      </w:r>
    </w:p>
    <w:p w14:paraId="6EB92065">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《尾矿设施设计规范》                             GB50863-2013</w:t>
      </w:r>
    </w:p>
    <w:p w14:paraId="423C2E49">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《防洪标准》                                     GB50201-2014</w:t>
      </w:r>
    </w:p>
    <w:p w14:paraId="2AB5D7A7">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《中国地震动参数区划图》                         GB18306-2015</w:t>
      </w:r>
    </w:p>
    <w:p w14:paraId="47E86F85">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《水工建筑物抗震设计标准》                       GB51247-2018</w:t>
      </w:r>
    </w:p>
    <w:p w14:paraId="783D87F5">
      <w:pPr>
        <w:bidi w:val="0"/>
        <w:ind w:firstLine="880"/>
        <w:jc w:val="both"/>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《一般工业固体废物贮存和填埋污染控制标准》       GB18599-2020</w:t>
      </w:r>
    </w:p>
    <w:p w14:paraId="1D5588CF">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《尾矿库安全规程》                               GB39496-2020</w:t>
      </w:r>
    </w:p>
    <w:p w14:paraId="73E26D97">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《矿山安全标志》                               GB/T14161-2008</w:t>
      </w:r>
    </w:p>
    <w:p w14:paraId="2CB482EF">
      <w:pPr>
        <w:bidi w:val="0"/>
        <w:ind w:firstLine="880"/>
        <w:jc w:val="both"/>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《生产经营单位生产安全事故应急预案编制导则》   GB/T29639-2020</w:t>
      </w:r>
    </w:p>
    <w:p w14:paraId="58F199C4">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《矿区水文地质工程地质勘查规范》               GB/T12719-2021</w:t>
      </w:r>
    </w:p>
    <w:p w14:paraId="2CD2CBC6">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《厂矿道路设计规范》                                 GBJ22-87</w:t>
      </w:r>
    </w:p>
    <w:p w14:paraId="462CC420">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《安全评价通则》                                  AQ8001-2007</w:t>
      </w:r>
    </w:p>
    <w:p w14:paraId="48D7C5BE">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《尾矿库安全监测技术规范》                        AQ2030-2010</w:t>
      </w:r>
    </w:p>
    <w:p w14:paraId="142B66DD">
      <w:pPr>
        <w:bidi w:val="0"/>
        <w:ind w:left="280" w:leftChars="100" w:firstLine="280" w:firstLineChars="10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《水工混凝土结构设计规范》                         SL191-2008</w:t>
      </w:r>
    </w:p>
    <w:p w14:paraId="57DD24DD">
      <w:pPr>
        <w:bidi w:val="0"/>
        <w:ind w:left="280" w:leftChars="100" w:firstLine="280" w:firstLineChars="10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《水工隧洞设计规范》                               SL279-2016</w:t>
      </w:r>
    </w:p>
    <w:p w14:paraId="05FD7E6A">
      <w:pPr>
        <w:bidi w:val="0"/>
        <w:ind w:left="280" w:leftChars="100" w:firstLine="280" w:firstLineChars="10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《水工建筑物荷载设计规范》                         SL744-2016</w:t>
      </w:r>
    </w:p>
    <w:p w14:paraId="7EB90C6F">
      <w:pPr>
        <w:bidi w:val="0"/>
        <w:ind w:firstLine="8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《碾压式土石坝设计规范》                           SL274-2020</w:t>
      </w:r>
    </w:p>
    <w:p w14:paraId="12814949">
      <w:pPr>
        <w:bidi w:val="0"/>
        <w:ind w:left="280" w:leftChars="100" w:firstLine="280" w:firstLineChars="100"/>
        <w:rPr>
          <w:rFonts w:hint="eastAsia" w:ascii="Times New Roman" w:hAnsi="Times New Roman" w:eastAsia="宋体" w:cs="Times New Roman"/>
          <w:color w:val="auto"/>
          <w:lang w:val="en-US" w:eastAsia="zh-CN"/>
        </w:rPr>
      </w:pPr>
      <w:r>
        <w:rPr>
          <w:rFonts w:hint="eastAsia" w:cs="Times New Roman"/>
          <w:color w:val="auto"/>
          <w:lang w:val="en-US" w:eastAsia="zh-CN"/>
        </w:rPr>
        <w:t>《</w:t>
      </w:r>
      <w:r>
        <w:rPr>
          <w:rFonts w:hint="default" w:ascii="Times New Roman" w:hAnsi="Times New Roman" w:eastAsia="宋体" w:cs="Times New Roman"/>
          <w:color w:val="auto"/>
          <w:lang w:val="en-US" w:eastAsia="zh-CN"/>
        </w:rPr>
        <w:t>矿山隐蔽致灾因素普查规范 第1部分：总则</w:t>
      </w:r>
      <w:r>
        <w:rPr>
          <w:rFonts w:hint="eastAsia" w:cs="Times New Roman"/>
          <w:color w:val="auto"/>
          <w:lang w:val="en-US" w:eastAsia="zh-CN"/>
        </w:rPr>
        <w:t>》</w:t>
      </w:r>
      <w:r>
        <w:rPr>
          <w:rFonts w:hint="eastAsia" w:ascii="Times New Roman" w:hAnsi="Times New Roman" w:eastAsia="宋体" w:cs="Times New Roman"/>
          <w:color w:val="auto"/>
          <w:lang w:val="en-US" w:eastAsia="zh-CN"/>
        </w:rPr>
        <w:t xml:space="preserve">      </w:t>
      </w:r>
      <w:r>
        <w:rPr>
          <w:rFonts w:hint="eastAsia" w:cs="Times New Roman"/>
          <w:color w:val="auto"/>
          <w:lang w:val="en-US" w:eastAsia="zh-CN"/>
        </w:rPr>
        <w:t xml:space="preserve"> </w:t>
      </w:r>
      <w:r>
        <w:rPr>
          <w:rFonts w:hint="eastAsia" w:ascii="Times New Roman" w:hAnsi="Times New Roman" w:eastAsia="宋体" w:cs="Times New Roman"/>
          <w:color w:val="auto"/>
          <w:lang w:val="en-US" w:eastAsia="zh-CN"/>
        </w:rPr>
        <w:t>KA/T22.1-2024</w:t>
      </w:r>
    </w:p>
    <w:p w14:paraId="361870D2">
      <w:pPr>
        <w:bidi w:val="0"/>
        <w:ind w:left="280" w:leftChars="100" w:firstLine="280" w:firstLineChars="100"/>
        <w:rPr>
          <w:rFonts w:hint="eastAsia" w:cs="Times New Roman"/>
          <w:color w:val="auto"/>
          <w:lang w:val="en-US" w:eastAsia="zh-CN"/>
        </w:rPr>
      </w:pPr>
      <w:r>
        <w:rPr>
          <w:rFonts w:hint="eastAsia" w:cs="Times New Roman"/>
          <w:color w:val="auto"/>
          <w:lang w:val="en-US" w:eastAsia="zh-CN"/>
        </w:rPr>
        <w:t>《</w:t>
      </w:r>
      <w:r>
        <w:rPr>
          <w:rFonts w:hint="default" w:ascii="Times New Roman" w:hAnsi="Times New Roman" w:eastAsia="宋体" w:cs="Times New Roman"/>
          <w:color w:val="auto"/>
          <w:lang w:val="en-US" w:eastAsia="zh-CN"/>
        </w:rPr>
        <w:t>矿山隐蔽致灾因素普查规范 第3部分：金属非金属矿山及尾矿库</w:t>
      </w:r>
      <w:r>
        <w:rPr>
          <w:rFonts w:hint="eastAsia" w:cs="Times New Roman"/>
          <w:color w:val="auto"/>
          <w:lang w:val="en-US" w:eastAsia="zh-CN"/>
        </w:rPr>
        <w:t>》</w:t>
      </w:r>
    </w:p>
    <w:p w14:paraId="649E5A1A">
      <w:pPr>
        <w:bidi w:val="0"/>
        <w:ind w:left="280" w:leftChars="100" w:firstLine="280" w:firstLineChars="100"/>
        <w:jc w:val="right"/>
        <w:rPr>
          <w:rFonts w:hint="default" w:cs="Times New Roman"/>
          <w:color w:val="auto"/>
          <w:lang w:val="en-US" w:eastAsia="zh-CN"/>
        </w:rPr>
      </w:pPr>
      <w:r>
        <w:rPr>
          <w:rFonts w:hint="eastAsia" w:ascii="Times New Roman" w:hAnsi="Times New Roman" w:eastAsia="宋体" w:cs="Times New Roman"/>
          <w:color w:val="auto"/>
          <w:lang w:val="en-US" w:eastAsia="zh-CN"/>
        </w:rPr>
        <w:t>KA/T22.</w:t>
      </w:r>
      <w:r>
        <w:rPr>
          <w:rFonts w:hint="eastAsia" w:cs="Times New Roman"/>
          <w:color w:val="auto"/>
          <w:lang w:val="en-US" w:eastAsia="zh-CN"/>
        </w:rPr>
        <w:t>3</w:t>
      </w:r>
      <w:r>
        <w:rPr>
          <w:rFonts w:hint="eastAsia" w:ascii="Times New Roman" w:hAnsi="Times New Roman" w:eastAsia="宋体" w:cs="Times New Roman"/>
          <w:color w:val="auto"/>
          <w:lang w:val="en-US" w:eastAsia="zh-CN"/>
        </w:rPr>
        <w:t>-2024</w:t>
      </w:r>
    </w:p>
    <w:p w14:paraId="0486BBCC">
      <w:pPr>
        <w:pStyle w:val="4"/>
        <w:bidi w:val="0"/>
        <w:rPr>
          <w:rFonts w:hint="eastAsia"/>
          <w:color w:val="auto"/>
        </w:rPr>
      </w:pPr>
      <w:bookmarkStart w:id="47" w:name="_Toc3961"/>
      <w:r>
        <w:rPr>
          <w:rFonts w:hint="eastAsia"/>
          <w:color w:val="auto"/>
        </w:rPr>
        <w:t>1.2.</w:t>
      </w:r>
      <w:r>
        <w:rPr>
          <w:rFonts w:hint="eastAsia"/>
          <w:color w:val="auto"/>
          <w:lang w:val="en-US" w:eastAsia="zh-CN"/>
        </w:rPr>
        <w:t xml:space="preserve">5 </w:t>
      </w:r>
      <w:r>
        <w:rPr>
          <w:rFonts w:hint="eastAsia"/>
          <w:color w:val="auto"/>
        </w:rPr>
        <w:t>其他依据和主要参考资料</w:t>
      </w:r>
      <w:bookmarkEnd w:id="23"/>
      <w:bookmarkEnd w:id="45"/>
      <w:bookmarkEnd w:id="46"/>
      <w:bookmarkEnd w:id="47"/>
    </w:p>
    <w:p w14:paraId="253DB9CD">
      <w:pPr>
        <w:bidi w:val="0"/>
        <w:ind w:firstLine="880"/>
        <w:rPr>
          <w:rFonts w:hint="eastAsia"/>
          <w:color w:val="auto"/>
        </w:rPr>
      </w:pPr>
      <w:r>
        <w:rPr>
          <w:rFonts w:hint="eastAsia"/>
          <w:color w:val="auto"/>
        </w:rPr>
        <w:t>《江西浒坑钨业有限公司尾矿设施施工图设计说明书》（南昌有色冶金设计研究院，1963年6月）</w:t>
      </w:r>
    </w:p>
    <w:p w14:paraId="608358A5">
      <w:pPr>
        <w:bidi w:val="0"/>
        <w:ind w:firstLine="880"/>
        <w:rPr>
          <w:rFonts w:hint="eastAsia"/>
          <w:color w:val="auto"/>
        </w:rPr>
      </w:pPr>
      <w:r>
        <w:rPr>
          <w:rFonts w:hint="eastAsia"/>
          <w:color w:val="auto"/>
        </w:rPr>
        <w:t>《江西浒坑钨业有限公司选场尾矿设施改造设计说明书》（江西浒坑钨业有限公司，1983年2月）</w:t>
      </w:r>
    </w:p>
    <w:p w14:paraId="5ACBAE0E">
      <w:pPr>
        <w:bidi w:val="0"/>
        <w:ind w:firstLine="880"/>
        <w:rPr>
          <w:rFonts w:hint="eastAsia"/>
          <w:color w:val="auto"/>
        </w:rPr>
      </w:pPr>
      <w:r>
        <w:rPr>
          <w:rFonts w:hint="eastAsia"/>
          <w:color w:val="auto"/>
        </w:rPr>
        <w:t>《江西省安福县浒坑钨矿杨家店尾矿库加高扩容初步设计》（江西省冶金设计院，2008年12月）</w:t>
      </w:r>
    </w:p>
    <w:p w14:paraId="6B0A4457">
      <w:pPr>
        <w:bidi w:val="0"/>
        <w:ind w:firstLine="880"/>
        <w:rPr>
          <w:rFonts w:hint="eastAsia"/>
          <w:color w:val="auto"/>
        </w:rPr>
      </w:pPr>
      <w:r>
        <w:rPr>
          <w:rFonts w:hint="eastAsia"/>
          <w:color w:val="auto"/>
        </w:rPr>
        <w:t>《浒坑钨矿杨家店尾矿库隐患综合治理工程可行性研究报告》（中国瑞林工程技术有限公司，2009年2月）</w:t>
      </w:r>
    </w:p>
    <w:p w14:paraId="4F5ACFA7">
      <w:pPr>
        <w:bidi w:val="0"/>
        <w:ind w:firstLine="880"/>
        <w:rPr>
          <w:rFonts w:hint="eastAsia"/>
          <w:color w:val="auto"/>
        </w:rPr>
      </w:pPr>
      <w:r>
        <w:rPr>
          <w:rFonts w:hint="eastAsia"/>
          <w:color w:val="auto"/>
        </w:rPr>
        <w:t>《浒坑钨矿杨家店尾矿库隐患综合治理工程可行性研究补充材料》</w:t>
      </w:r>
      <w:r>
        <w:rPr>
          <w:rFonts w:hint="eastAsia" w:eastAsia="宋体"/>
          <w:color w:val="auto"/>
          <w:lang w:eastAsia="zh-CN"/>
        </w:rPr>
        <w:t>（</w:t>
      </w:r>
      <w:r>
        <w:rPr>
          <w:rFonts w:hint="eastAsia"/>
          <w:color w:val="auto"/>
        </w:rPr>
        <w:t>中国瑞林工程技术有限公司，2010年4月</w:t>
      </w:r>
      <w:r>
        <w:rPr>
          <w:rFonts w:hint="eastAsia" w:eastAsia="宋体"/>
          <w:color w:val="auto"/>
          <w:lang w:eastAsia="zh-CN"/>
        </w:rPr>
        <w:t>）</w:t>
      </w:r>
    </w:p>
    <w:p w14:paraId="0E080AAD">
      <w:pPr>
        <w:bidi w:val="0"/>
        <w:ind w:firstLine="880"/>
        <w:rPr>
          <w:color w:val="auto"/>
        </w:rPr>
      </w:pPr>
      <w:r>
        <w:rPr>
          <w:color w:val="auto"/>
        </w:rPr>
        <w:t>《江西省暴雨洪水查算手册》（江西省水文局</w:t>
      </w:r>
      <w:r>
        <w:rPr>
          <w:rFonts w:hint="eastAsia"/>
          <w:color w:val="auto"/>
        </w:rPr>
        <w:t>，</w:t>
      </w:r>
      <w:r>
        <w:rPr>
          <w:color w:val="auto"/>
        </w:rPr>
        <w:t>2010</w:t>
      </w:r>
      <w:r>
        <w:rPr>
          <w:rFonts w:hint="eastAsia"/>
          <w:color w:val="auto"/>
        </w:rPr>
        <w:t>年</w:t>
      </w:r>
      <w:r>
        <w:rPr>
          <w:color w:val="auto"/>
        </w:rPr>
        <w:t>10</w:t>
      </w:r>
      <w:r>
        <w:rPr>
          <w:rFonts w:hint="eastAsia"/>
          <w:color w:val="auto"/>
        </w:rPr>
        <w:t>月</w:t>
      </w:r>
      <w:r>
        <w:rPr>
          <w:color w:val="auto"/>
        </w:rPr>
        <w:t>）</w:t>
      </w:r>
    </w:p>
    <w:p w14:paraId="7CBE28F7">
      <w:pPr>
        <w:bidi w:val="0"/>
        <w:ind w:firstLine="880"/>
        <w:rPr>
          <w:rFonts w:hint="eastAsia"/>
          <w:color w:val="auto"/>
        </w:rPr>
      </w:pPr>
      <w:r>
        <w:rPr>
          <w:rFonts w:hint="eastAsia"/>
          <w:color w:val="auto"/>
        </w:rPr>
        <w:t>《江西浒坑钨业有限公司杨家店尾矿库隐患综合治理工程</w:t>
      </w:r>
      <w:r>
        <w:rPr>
          <w:rFonts w:hint="eastAsia"/>
          <w:color w:val="auto"/>
          <w:lang w:eastAsia="zh-CN"/>
        </w:rPr>
        <w:t>（</w:t>
      </w:r>
      <w:r>
        <w:rPr>
          <w:rFonts w:hint="eastAsia"/>
          <w:color w:val="auto"/>
        </w:rPr>
        <w:t>水文</w:t>
      </w:r>
      <w:r>
        <w:rPr>
          <w:rFonts w:hint="eastAsia"/>
          <w:color w:val="auto"/>
          <w:lang w:eastAsia="zh-CN"/>
        </w:rPr>
        <w:t>）</w:t>
      </w:r>
      <w:r>
        <w:rPr>
          <w:rFonts w:hint="eastAsia"/>
          <w:color w:val="auto"/>
        </w:rPr>
        <w:t>地质勘察报告》（核工业广州工程勘察院，2010年11月）</w:t>
      </w:r>
    </w:p>
    <w:p w14:paraId="449C6034">
      <w:pPr>
        <w:bidi w:val="0"/>
        <w:ind w:firstLine="880"/>
        <w:rPr>
          <w:rFonts w:hint="eastAsia"/>
          <w:color w:val="auto"/>
        </w:rPr>
      </w:pPr>
      <w:r>
        <w:rPr>
          <w:rFonts w:hint="eastAsia"/>
          <w:color w:val="auto"/>
        </w:rPr>
        <w:t>《江西浒坑钨业有限公司杨家店尾矿库隐患综合治理工程初步设计》</w:t>
      </w:r>
      <w:r>
        <w:rPr>
          <w:rFonts w:hint="eastAsia" w:eastAsia="宋体"/>
          <w:color w:val="auto"/>
          <w:lang w:eastAsia="zh-CN"/>
        </w:rPr>
        <w:t>（</w:t>
      </w:r>
      <w:r>
        <w:rPr>
          <w:rFonts w:hint="eastAsia"/>
          <w:color w:val="auto"/>
        </w:rPr>
        <w:t>长沙有色冶金设计研究院有限公司，2011年8月</w:t>
      </w:r>
      <w:r>
        <w:rPr>
          <w:rFonts w:hint="eastAsia" w:eastAsia="宋体"/>
          <w:color w:val="auto"/>
          <w:lang w:eastAsia="zh-CN"/>
        </w:rPr>
        <w:t>）</w:t>
      </w:r>
    </w:p>
    <w:p w14:paraId="22677711">
      <w:pPr>
        <w:bidi w:val="0"/>
        <w:ind w:firstLine="880"/>
        <w:rPr>
          <w:rFonts w:hint="eastAsia"/>
          <w:color w:val="auto"/>
        </w:rPr>
      </w:pPr>
      <w:r>
        <w:rPr>
          <w:rFonts w:hint="eastAsia"/>
          <w:color w:val="auto"/>
        </w:rPr>
        <w:t>《浒坑钨矿杨家店尾矿库隐患综合治理工程初步设计安全专篇》</w:t>
      </w:r>
      <w:r>
        <w:rPr>
          <w:rFonts w:hint="eastAsia" w:eastAsia="宋体"/>
          <w:color w:val="auto"/>
          <w:lang w:eastAsia="zh-CN"/>
        </w:rPr>
        <w:t>（</w:t>
      </w:r>
      <w:r>
        <w:rPr>
          <w:rFonts w:hint="eastAsia"/>
          <w:color w:val="auto"/>
        </w:rPr>
        <w:t>长沙有色冶金设计研究院有限公司，2011年12月</w:t>
      </w:r>
      <w:r>
        <w:rPr>
          <w:rFonts w:hint="eastAsia" w:eastAsia="宋体"/>
          <w:color w:val="auto"/>
          <w:lang w:eastAsia="zh-CN"/>
        </w:rPr>
        <w:t>）</w:t>
      </w:r>
    </w:p>
    <w:p w14:paraId="47930017">
      <w:pPr>
        <w:bidi w:val="0"/>
        <w:ind w:firstLine="880"/>
        <w:rPr>
          <w:rFonts w:hint="eastAsia"/>
          <w:b w:val="0"/>
          <w:bCs w:val="0"/>
          <w:strike w:val="0"/>
          <w:dstrike w:val="0"/>
          <w:color w:val="auto"/>
          <w:lang w:eastAsia="zh-CN"/>
        </w:rPr>
      </w:pPr>
      <w:r>
        <w:rPr>
          <w:rFonts w:hint="eastAsia"/>
          <w:b w:val="0"/>
          <w:bCs w:val="0"/>
          <w:strike w:val="0"/>
          <w:dstrike w:val="0"/>
          <w:color w:val="auto"/>
        </w:rPr>
        <w:t>《江西浒坑钨业有限公司杨家店尾矿库在线监测系统方案设计》</w:t>
      </w:r>
      <w:r>
        <w:rPr>
          <w:rFonts w:hint="eastAsia" w:eastAsia="宋体"/>
          <w:b w:val="0"/>
          <w:bCs w:val="0"/>
          <w:strike w:val="0"/>
          <w:dstrike w:val="0"/>
          <w:color w:val="auto"/>
          <w:lang w:eastAsia="zh-CN"/>
        </w:rPr>
        <w:t>（</w:t>
      </w:r>
      <w:r>
        <w:rPr>
          <w:rFonts w:hint="eastAsia"/>
          <w:b w:val="0"/>
          <w:bCs w:val="0"/>
          <w:strike w:val="0"/>
          <w:dstrike w:val="0"/>
          <w:color w:val="auto"/>
        </w:rPr>
        <w:t>赣州市仁真智能科技有限公司，20</w:t>
      </w:r>
      <w:r>
        <w:rPr>
          <w:rFonts w:hint="eastAsia"/>
          <w:b w:val="0"/>
          <w:bCs w:val="0"/>
          <w:strike w:val="0"/>
          <w:dstrike w:val="0"/>
          <w:color w:val="auto"/>
          <w:lang w:val="en-US" w:eastAsia="zh-CN"/>
        </w:rPr>
        <w:t>24</w:t>
      </w:r>
      <w:r>
        <w:rPr>
          <w:rFonts w:hint="eastAsia"/>
          <w:b w:val="0"/>
          <w:bCs w:val="0"/>
          <w:strike w:val="0"/>
          <w:dstrike w:val="0"/>
          <w:color w:val="auto"/>
        </w:rPr>
        <w:t>年12月</w:t>
      </w:r>
      <w:r>
        <w:rPr>
          <w:rFonts w:hint="eastAsia" w:eastAsia="宋体"/>
          <w:b w:val="0"/>
          <w:bCs w:val="0"/>
          <w:strike w:val="0"/>
          <w:dstrike w:val="0"/>
          <w:color w:val="auto"/>
          <w:lang w:eastAsia="zh-CN"/>
        </w:rPr>
        <w:t>）</w:t>
      </w:r>
    </w:p>
    <w:p w14:paraId="32753D29">
      <w:pPr>
        <w:bidi w:val="0"/>
        <w:ind w:firstLine="880"/>
        <w:rPr>
          <w:rFonts w:hint="eastAsia"/>
          <w:color w:val="auto"/>
          <w:lang w:eastAsia="zh-CN"/>
        </w:rPr>
      </w:pPr>
      <w:r>
        <w:rPr>
          <w:rFonts w:hint="eastAsia"/>
          <w:color w:val="auto"/>
        </w:rPr>
        <w:t>《浒坑钨矿杨家店尾矿库隐患综合治理工程安全验收评价报告》</w:t>
      </w:r>
      <w:r>
        <w:rPr>
          <w:rFonts w:hint="eastAsia" w:eastAsia="宋体"/>
          <w:color w:val="auto"/>
          <w:lang w:eastAsia="zh-CN"/>
        </w:rPr>
        <w:t>（</w:t>
      </w:r>
      <w:r>
        <w:rPr>
          <w:rFonts w:hint="eastAsia"/>
          <w:color w:val="auto"/>
        </w:rPr>
        <w:t>江西省赣华安全科技有限公司，2016年6月</w:t>
      </w:r>
      <w:r>
        <w:rPr>
          <w:rFonts w:hint="eastAsia" w:eastAsia="宋体"/>
          <w:color w:val="auto"/>
          <w:lang w:eastAsia="zh-CN"/>
        </w:rPr>
        <w:t>）</w:t>
      </w:r>
    </w:p>
    <w:p w14:paraId="5DC6DEA1">
      <w:pPr>
        <w:bidi w:val="0"/>
        <w:ind w:firstLine="880"/>
        <w:rPr>
          <w:rFonts w:hint="eastAsia" w:eastAsia="宋体"/>
          <w:color w:val="auto"/>
          <w:lang w:eastAsia="zh-CN"/>
        </w:rPr>
      </w:pPr>
      <w:r>
        <w:rPr>
          <w:rFonts w:hint="eastAsia" w:eastAsia="宋体"/>
          <w:color w:val="auto"/>
          <w:lang w:eastAsia="zh-CN"/>
        </w:rPr>
        <w:t>《江西浒坑钨业有限公司杨家店尾矿库尾矿坝稳定性分析（水文）地质勘察工程地质勘察报告》（江西省天久地矿建设工程院，</w:t>
      </w:r>
      <w:r>
        <w:rPr>
          <w:rFonts w:hint="eastAsia" w:ascii="Times New Roman" w:eastAsia="宋体"/>
          <w:color w:val="auto"/>
          <w:lang w:val="en-US" w:eastAsia="zh-CN"/>
        </w:rPr>
        <w:t>2021年6月</w:t>
      </w:r>
      <w:r>
        <w:rPr>
          <w:rFonts w:hint="eastAsia" w:eastAsia="宋体"/>
          <w:color w:val="auto"/>
          <w:lang w:eastAsia="zh-CN"/>
        </w:rPr>
        <w:t>）</w:t>
      </w:r>
    </w:p>
    <w:p w14:paraId="479A2598">
      <w:pPr>
        <w:bidi w:val="0"/>
        <w:ind w:firstLine="880"/>
        <w:rPr>
          <w:rFonts w:hint="eastAsia" w:eastAsia="宋体"/>
          <w:color w:val="auto"/>
          <w:lang w:eastAsia="zh-CN"/>
        </w:rPr>
      </w:pPr>
      <w:r>
        <w:rPr>
          <w:rFonts w:hint="eastAsia" w:eastAsia="宋体"/>
          <w:color w:val="auto"/>
          <w:lang w:eastAsia="zh-CN"/>
        </w:rPr>
        <w:t>《江西省尾矿库应急抢险工作指南》（江西省</w:t>
      </w:r>
      <w:r>
        <w:rPr>
          <w:rFonts w:hint="eastAsia"/>
          <w:color w:val="auto"/>
          <w:lang w:val="en-US" w:eastAsia="zh-CN"/>
        </w:rPr>
        <w:t>应急管理厅</w:t>
      </w:r>
      <w:r>
        <w:rPr>
          <w:rFonts w:hint="eastAsia" w:eastAsia="宋体"/>
          <w:color w:val="auto"/>
          <w:lang w:eastAsia="zh-CN"/>
        </w:rPr>
        <w:t>，2022年8月）</w:t>
      </w:r>
    </w:p>
    <w:p w14:paraId="17384891">
      <w:pPr>
        <w:bidi w:val="0"/>
        <w:ind w:firstLine="880"/>
        <w:rPr>
          <w:rFonts w:hint="eastAsia"/>
          <w:color w:val="auto"/>
          <w:lang w:eastAsia="zh-CN"/>
        </w:rPr>
      </w:pPr>
      <w:r>
        <w:rPr>
          <w:rFonts w:hint="eastAsia" w:eastAsia="宋体"/>
          <w:color w:val="auto"/>
          <w:lang w:eastAsia="zh-CN"/>
        </w:rPr>
        <w:t>《江西浒坑钨业有限公司杨家店尾矿库安全现状评价报告》（江西赣安安全生产科学技术咨询服务中心，</w:t>
      </w:r>
      <w:r>
        <w:rPr>
          <w:rFonts w:hint="eastAsia" w:ascii="Times New Roman" w:eastAsia="宋体"/>
          <w:color w:val="auto"/>
          <w:lang w:val="en-US" w:eastAsia="zh-CN"/>
        </w:rPr>
        <w:t>2023年12月</w:t>
      </w:r>
      <w:r>
        <w:rPr>
          <w:rFonts w:hint="eastAsia" w:eastAsia="宋体"/>
          <w:color w:val="auto"/>
          <w:lang w:eastAsia="zh-CN"/>
        </w:rPr>
        <w:t>）</w:t>
      </w:r>
    </w:p>
    <w:p w14:paraId="1A4BE913">
      <w:pPr>
        <w:bidi w:val="0"/>
        <w:ind w:firstLine="880"/>
        <w:rPr>
          <w:rFonts w:hint="eastAsia"/>
          <w:strike w:val="0"/>
          <w:dstrike w:val="0"/>
          <w:color w:val="auto"/>
          <w:lang w:eastAsia="zh-CN"/>
        </w:rPr>
      </w:pPr>
      <w:r>
        <w:rPr>
          <w:rFonts w:hint="eastAsia" w:eastAsia="宋体"/>
          <w:strike w:val="0"/>
          <w:dstrike w:val="0"/>
          <w:color w:val="auto"/>
          <w:lang w:eastAsia="zh-CN"/>
        </w:rPr>
        <w:t>《江西浒坑钨业有限公司杨家店尾矿库调洪演算报告（2025年）》（金建工程设计有限公司，</w:t>
      </w:r>
      <w:r>
        <w:rPr>
          <w:rFonts w:hint="eastAsia" w:ascii="Times New Roman" w:eastAsia="宋体"/>
          <w:strike w:val="0"/>
          <w:dstrike w:val="0"/>
          <w:color w:val="auto"/>
          <w:lang w:val="en-US" w:eastAsia="zh-CN"/>
        </w:rPr>
        <w:t>2025年</w:t>
      </w:r>
      <w:r>
        <w:rPr>
          <w:rFonts w:hint="eastAsia"/>
          <w:strike w:val="0"/>
          <w:dstrike w:val="0"/>
          <w:color w:val="auto"/>
          <w:lang w:val="en-US" w:eastAsia="zh-CN"/>
        </w:rPr>
        <w:t>3</w:t>
      </w:r>
      <w:r>
        <w:rPr>
          <w:rFonts w:hint="eastAsia" w:ascii="Times New Roman" w:eastAsia="宋体"/>
          <w:strike w:val="0"/>
          <w:dstrike w:val="0"/>
          <w:color w:val="auto"/>
          <w:lang w:val="en-US" w:eastAsia="zh-CN"/>
        </w:rPr>
        <w:t>月</w:t>
      </w:r>
      <w:r>
        <w:rPr>
          <w:rFonts w:hint="eastAsia" w:eastAsia="宋体"/>
          <w:strike w:val="0"/>
          <w:dstrike w:val="0"/>
          <w:color w:val="auto"/>
          <w:lang w:eastAsia="zh-CN"/>
        </w:rPr>
        <w:t>）</w:t>
      </w:r>
    </w:p>
    <w:p w14:paraId="635A981A">
      <w:pPr>
        <w:bidi w:val="0"/>
        <w:ind w:firstLine="880"/>
        <w:rPr>
          <w:color w:val="auto"/>
        </w:rPr>
      </w:pPr>
      <w:r>
        <w:rPr>
          <w:color w:val="auto"/>
        </w:rPr>
        <w:t>《</w:t>
      </w:r>
      <w:r>
        <w:rPr>
          <w:rFonts w:hint="eastAsia" w:eastAsia="宋体"/>
          <w:color w:val="auto"/>
          <w:lang w:eastAsia="zh-CN"/>
        </w:rPr>
        <w:t>江西浒坑钨业有限公司杨家店尾矿库</w:t>
      </w:r>
      <w:r>
        <w:rPr>
          <w:rFonts w:hint="eastAsia"/>
          <w:color w:val="auto"/>
        </w:rPr>
        <w:t>安全风险评估报告</w:t>
      </w:r>
      <w:r>
        <w:rPr>
          <w:color w:val="auto"/>
        </w:rPr>
        <w:t>合同书》</w:t>
      </w:r>
    </w:p>
    <w:p w14:paraId="47CE0ADD">
      <w:pPr>
        <w:rPr>
          <w:rFonts w:hint="eastAsia" w:ascii="Times New Roman" w:hAnsi="Times New Roman" w:eastAsia="宋体" w:cs="Times New Roman"/>
          <w:strike w:val="0"/>
          <w:dstrike w:val="0"/>
          <w:color w:val="auto"/>
        </w:rPr>
      </w:pPr>
      <w:r>
        <w:rPr>
          <w:rFonts w:hint="eastAsia" w:eastAsia="宋体"/>
          <w:color w:val="auto"/>
          <w:lang w:eastAsia="zh-CN"/>
        </w:rPr>
        <w:t>江西浒坑钨业有限公司</w:t>
      </w:r>
      <w:r>
        <w:rPr>
          <w:color w:val="auto"/>
        </w:rPr>
        <w:t>提供的图纸和其他资料。</w:t>
      </w:r>
    </w:p>
    <w:p w14:paraId="0576D4D3">
      <w:pPr>
        <w:pStyle w:val="3"/>
        <w:bidi w:val="0"/>
        <w:rPr>
          <w:rFonts w:hint="eastAsia"/>
          <w:color w:val="auto"/>
        </w:rPr>
      </w:pPr>
      <w:bookmarkStart w:id="48" w:name="_Toc5535"/>
      <w:bookmarkStart w:id="49" w:name="_Toc23666"/>
      <w:bookmarkStart w:id="50" w:name="_Toc2975"/>
      <w:bookmarkStart w:id="51" w:name="_Toc24656"/>
      <w:r>
        <w:rPr>
          <w:rFonts w:hint="eastAsia"/>
          <w:color w:val="auto"/>
        </w:rPr>
        <w:t>1.3</w:t>
      </w:r>
      <w:r>
        <w:rPr>
          <w:rFonts w:hint="eastAsia"/>
          <w:color w:val="auto"/>
          <w:lang w:val="en-US" w:eastAsia="zh-CN"/>
        </w:rPr>
        <w:t xml:space="preserve"> </w:t>
      </w:r>
      <w:r>
        <w:rPr>
          <w:rFonts w:hint="eastAsia"/>
          <w:color w:val="auto"/>
          <w:lang w:eastAsia="zh-CN"/>
        </w:rPr>
        <w:t>评估</w:t>
      </w:r>
      <w:r>
        <w:rPr>
          <w:rFonts w:hint="eastAsia"/>
          <w:color w:val="auto"/>
        </w:rPr>
        <w:t>对象、范围和内容</w:t>
      </w:r>
      <w:bookmarkEnd w:id="48"/>
      <w:bookmarkEnd w:id="49"/>
      <w:bookmarkEnd w:id="50"/>
      <w:bookmarkEnd w:id="51"/>
    </w:p>
    <w:p w14:paraId="2FE90207">
      <w:pPr>
        <w:pStyle w:val="4"/>
        <w:bidi w:val="0"/>
        <w:rPr>
          <w:rFonts w:hint="eastAsia"/>
          <w:color w:val="auto"/>
        </w:rPr>
      </w:pPr>
      <w:bookmarkStart w:id="52" w:name="_Toc10349"/>
      <w:bookmarkStart w:id="53" w:name="_Toc22764"/>
      <w:bookmarkStart w:id="54" w:name="_Toc22096"/>
      <w:bookmarkStart w:id="55" w:name="_Toc6720"/>
      <w:r>
        <w:rPr>
          <w:rFonts w:hint="eastAsia"/>
          <w:color w:val="auto"/>
        </w:rPr>
        <w:t>1.3.1</w:t>
      </w:r>
      <w:r>
        <w:rPr>
          <w:rFonts w:hint="eastAsia"/>
          <w:color w:val="auto"/>
          <w:lang w:val="en-US" w:eastAsia="zh-CN"/>
        </w:rPr>
        <w:t xml:space="preserve"> </w:t>
      </w:r>
      <w:r>
        <w:rPr>
          <w:rFonts w:hint="eastAsia"/>
          <w:color w:val="auto"/>
          <w:lang w:eastAsia="zh-CN"/>
        </w:rPr>
        <w:t>评估</w:t>
      </w:r>
      <w:r>
        <w:rPr>
          <w:rFonts w:hint="eastAsia"/>
          <w:color w:val="auto"/>
        </w:rPr>
        <w:t>对象、范围</w:t>
      </w:r>
      <w:bookmarkEnd w:id="52"/>
      <w:bookmarkEnd w:id="53"/>
      <w:bookmarkEnd w:id="54"/>
      <w:bookmarkEnd w:id="55"/>
    </w:p>
    <w:p w14:paraId="7495EE03">
      <w:pPr>
        <w:rPr>
          <w:rFonts w:hint="eastAsia"/>
          <w:color w:val="auto"/>
          <w:lang w:eastAsia="zh-CN"/>
        </w:rPr>
      </w:pPr>
      <w:r>
        <w:rPr>
          <w:rFonts w:hint="eastAsia"/>
          <w:color w:val="auto"/>
          <w:lang w:eastAsia="zh-CN"/>
        </w:rPr>
        <w:t>评估对象：江西浒坑钨业有限公司杨家店尾矿库。</w:t>
      </w:r>
    </w:p>
    <w:p w14:paraId="5E55C2A9">
      <w:pPr>
        <w:rPr>
          <w:rFonts w:hint="eastAsia"/>
          <w:strike w:val="0"/>
          <w:dstrike w:val="0"/>
          <w:color w:val="auto"/>
        </w:rPr>
      </w:pPr>
      <w:r>
        <w:rPr>
          <w:rFonts w:hint="eastAsia"/>
          <w:color w:val="auto"/>
          <w:lang w:eastAsia="zh-CN"/>
        </w:rPr>
        <w:t>评估范围：江西浒坑钨业有限公司杨家店尾矿库的库区、尾矿坝、排</w:t>
      </w:r>
      <w:r>
        <w:rPr>
          <w:rFonts w:hint="eastAsia"/>
          <w:color w:val="auto"/>
          <w:lang w:val="en-US" w:eastAsia="zh-CN"/>
        </w:rPr>
        <w:t>洪</w:t>
      </w:r>
      <w:r>
        <w:rPr>
          <w:rFonts w:hint="eastAsia"/>
          <w:color w:val="auto"/>
          <w:lang w:eastAsia="zh-CN"/>
        </w:rPr>
        <w:t>构筑物、安全监测设施的运营、尾矿排放与堆存工艺及安全管理情况，不含尾矿输送系统、回水系统及尾矿库职业卫生。</w:t>
      </w:r>
    </w:p>
    <w:p w14:paraId="4F167C5D">
      <w:pPr>
        <w:pStyle w:val="4"/>
        <w:bidi w:val="0"/>
        <w:rPr>
          <w:rFonts w:hint="eastAsia"/>
          <w:color w:val="auto"/>
        </w:rPr>
      </w:pPr>
      <w:bookmarkStart w:id="56" w:name="_Toc25372"/>
      <w:bookmarkStart w:id="57" w:name="_Toc15571"/>
      <w:bookmarkStart w:id="58" w:name="_Toc25437"/>
      <w:bookmarkStart w:id="59" w:name="_Toc29696"/>
      <w:r>
        <w:rPr>
          <w:rFonts w:hint="eastAsia"/>
          <w:color w:val="auto"/>
        </w:rPr>
        <w:t>1.3.2</w:t>
      </w:r>
      <w:r>
        <w:rPr>
          <w:rFonts w:hint="eastAsia"/>
          <w:color w:val="auto"/>
          <w:lang w:val="en-US" w:eastAsia="zh-CN"/>
        </w:rPr>
        <w:t xml:space="preserve"> </w:t>
      </w:r>
      <w:r>
        <w:rPr>
          <w:rFonts w:hint="eastAsia"/>
          <w:color w:val="auto"/>
          <w:lang w:eastAsia="zh-CN"/>
        </w:rPr>
        <w:t>评估</w:t>
      </w:r>
      <w:r>
        <w:rPr>
          <w:rFonts w:hint="eastAsia"/>
          <w:color w:val="auto"/>
        </w:rPr>
        <w:t>内容</w:t>
      </w:r>
      <w:bookmarkEnd w:id="56"/>
      <w:bookmarkEnd w:id="57"/>
      <w:bookmarkEnd w:id="58"/>
      <w:bookmarkEnd w:id="59"/>
    </w:p>
    <w:p w14:paraId="7D7D028C">
      <w:pPr>
        <w:rPr>
          <w:rFonts w:hint="eastAsia"/>
          <w:color w:val="auto"/>
        </w:rPr>
      </w:pPr>
      <w:r>
        <w:rPr>
          <w:rFonts w:hint="eastAsia"/>
          <w:color w:val="auto"/>
        </w:rPr>
        <w:t>1.</w:t>
      </w:r>
      <w:r>
        <w:rPr>
          <w:rFonts w:hint="eastAsia"/>
          <w:color w:val="auto"/>
          <w:lang w:val="en-US" w:eastAsia="zh-CN"/>
        </w:rPr>
        <w:t xml:space="preserve"> </w:t>
      </w:r>
      <w:r>
        <w:rPr>
          <w:rFonts w:hint="eastAsia"/>
          <w:color w:val="auto"/>
        </w:rPr>
        <w:t>检查审核江西浒坑钨业有限公司提供的相应资质证书、营业执照的有效性及范围；</w:t>
      </w:r>
    </w:p>
    <w:p w14:paraId="362C4026">
      <w:pPr>
        <w:rPr>
          <w:rFonts w:hint="eastAsia"/>
          <w:color w:val="auto"/>
        </w:rPr>
      </w:pPr>
      <w:r>
        <w:rPr>
          <w:rFonts w:hint="eastAsia"/>
          <w:color w:val="auto"/>
        </w:rPr>
        <w:t>2.</w:t>
      </w:r>
      <w:r>
        <w:rPr>
          <w:rFonts w:hint="eastAsia"/>
          <w:color w:val="auto"/>
          <w:lang w:val="en-US" w:eastAsia="zh-CN"/>
        </w:rPr>
        <w:t xml:space="preserve"> </w:t>
      </w:r>
      <w:r>
        <w:rPr>
          <w:rFonts w:hAnsi="宋体"/>
          <w:color w:val="auto"/>
          <w:sz w:val="28"/>
          <w:szCs w:val="28"/>
        </w:rPr>
        <w:t>检查</w:t>
      </w:r>
      <w:r>
        <w:rPr>
          <w:rFonts w:hint="eastAsia" w:hAnsi="宋体"/>
          <w:color w:val="auto"/>
          <w:sz w:val="28"/>
          <w:szCs w:val="28"/>
          <w:lang w:eastAsia="zh-CN"/>
        </w:rPr>
        <w:t>江西浒坑钨业有限公司</w:t>
      </w:r>
      <w:r>
        <w:rPr>
          <w:rFonts w:hAnsi="宋体"/>
          <w:color w:val="auto"/>
          <w:sz w:val="28"/>
          <w:szCs w:val="28"/>
        </w:rPr>
        <w:t>安全机构的设置及人员的配备，安全生产管理制度、操作规程的制定及执行情况；</w:t>
      </w:r>
    </w:p>
    <w:p w14:paraId="10F25460">
      <w:pPr>
        <w:rPr>
          <w:rFonts w:hint="eastAsia"/>
          <w:color w:val="auto"/>
        </w:rPr>
      </w:pPr>
      <w:r>
        <w:rPr>
          <w:rFonts w:hint="eastAsia"/>
          <w:color w:val="auto"/>
        </w:rPr>
        <w:t>3.</w:t>
      </w:r>
      <w:r>
        <w:rPr>
          <w:rFonts w:hint="eastAsia"/>
          <w:color w:val="auto"/>
          <w:lang w:val="en-US" w:eastAsia="zh-CN"/>
        </w:rPr>
        <w:t xml:space="preserve"> </w:t>
      </w:r>
      <w:r>
        <w:rPr>
          <w:rFonts w:hint="eastAsia"/>
          <w:color w:val="auto"/>
        </w:rPr>
        <w:t>检查江西浒坑钨业有限公司杨家店尾矿库相关的安全设施、措施是否符合相关技术标准、规范的要求；</w:t>
      </w:r>
    </w:p>
    <w:p w14:paraId="38B5CB41">
      <w:pPr>
        <w:rPr>
          <w:rFonts w:hint="eastAsia"/>
          <w:color w:val="auto"/>
        </w:rPr>
      </w:pPr>
      <w:r>
        <w:rPr>
          <w:rFonts w:hint="eastAsia"/>
          <w:color w:val="auto"/>
        </w:rPr>
        <w:t>4.</w:t>
      </w:r>
      <w:r>
        <w:rPr>
          <w:rFonts w:hint="eastAsia"/>
          <w:color w:val="auto"/>
          <w:lang w:val="en-US" w:eastAsia="zh-CN"/>
        </w:rPr>
        <w:t xml:space="preserve"> </w:t>
      </w:r>
      <w:r>
        <w:rPr>
          <w:rFonts w:hint="eastAsia"/>
          <w:color w:val="auto"/>
        </w:rPr>
        <w:t>检查江西浒坑钨业有限公司主要负责人、项目负责人、安全人员的培训考核，检查审核特种作业人员的培训、取证情况及一般作业人员的安全教育、培训情况；</w:t>
      </w:r>
    </w:p>
    <w:p w14:paraId="1619F53F">
      <w:pPr>
        <w:rPr>
          <w:rFonts w:hint="eastAsia"/>
          <w:color w:val="auto"/>
        </w:rPr>
      </w:pPr>
      <w:r>
        <w:rPr>
          <w:rFonts w:hint="eastAsia"/>
          <w:color w:val="auto"/>
        </w:rPr>
        <w:t>5.</w:t>
      </w:r>
      <w:r>
        <w:rPr>
          <w:rFonts w:hint="eastAsia"/>
          <w:color w:val="auto"/>
          <w:lang w:val="en-US" w:eastAsia="zh-CN"/>
        </w:rPr>
        <w:t xml:space="preserve"> </w:t>
      </w:r>
      <w:r>
        <w:rPr>
          <w:rFonts w:hint="eastAsia"/>
          <w:color w:val="auto"/>
        </w:rPr>
        <w:t>检查、审核江西浒坑钨业有限公司杨家店尾矿库事故应急救援设施、措施及预案编制、人员训练情况；</w:t>
      </w:r>
    </w:p>
    <w:p w14:paraId="3D465422">
      <w:pPr>
        <w:rPr>
          <w:rFonts w:hint="eastAsia"/>
          <w:color w:val="auto"/>
        </w:rPr>
      </w:pPr>
      <w:r>
        <w:rPr>
          <w:rFonts w:hint="eastAsia"/>
          <w:color w:val="auto"/>
        </w:rPr>
        <w:t>6.</w:t>
      </w:r>
      <w:r>
        <w:rPr>
          <w:rFonts w:hint="eastAsia"/>
          <w:color w:val="auto"/>
          <w:lang w:val="en-US" w:eastAsia="zh-CN"/>
        </w:rPr>
        <w:t xml:space="preserve"> </w:t>
      </w:r>
      <w:r>
        <w:rPr>
          <w:rFonts w:hint="eastAsia"/>
          <w:color w:val="auto"/>
        </w:rPr>
        <w:t>分析江西浒坑钨业有限公司杨家店尾矿库存在的危险、有害因素；</w:t>
      </w:r>
    </w:p>
    <w:p w14:paraId="298975CE">
      <w:pPr>
        <w:rPr>
          <w:rFonts w:hint="eastAsia"/>
          <w:color w:val="auto"/>
        </w:rPr>
      </w:pPr>
      <w:r>
        <w:rPr>
          <w:rFonts w:hint="eastAsia"/>
          <w:color w:val="auto"/>
        </w:rPr>
        <w:t>7.</w:t>
      </w:r>
      <w:r>
        <w:rPr>
          <w:rFonts w:hint="eastAsia"/>
          <w:color w:val="auto"/>
          <w:lang w:val="en-US" w:eastAsia="zh-CN"/>
        </w:rPr>
        <w:t xml:space="preserve"> </w:t>
      </w:r>
      <w:r>
        <w:rPr>
          <w:rFonts w:hint="eastAsia"/>
          <w:color w:val="auto"/>
        </w:rPr>
        <w:t>对江西浒坑钨业有限公司杨家店尾矿库存在的问题提出安全对策措施；</w:t>
      </w:r>
    </w:p>
    <w:p w14:paraId="32F70616">
      <w:pPr>
        <w:rPr>
          <w:rFonts w:hint="eastAsia"/>
          <w:color w:val="auto"/>
        </w:rPr>
      </w:pPr>
      <w:r>
        <w:rPr>
          <w:rFonts w:hint="eastAsia"/>
          <w:color w:val="auto"/>
        </w:rPr>
        <w:t>8.</w:t>
      </w:r>
      <w:r>
        <w:rPr>
          <w:rFonts w:hint="eastAsia"/>
          <w:color w:val="auto"/>
          <w:lang w:val="en-US" w:eastAsia="zh-CN"/>
        </w:rPr>
        <w:t xml:space="preserve"> </w:t>
      </w:r>
      <w:r>
        <w:rPr>
          <w:rFonts w:hint="eastAsia"/>
          <w:color w:val="auto"/>
        </w:rPr>
        <w:t>按照客观、公正、真实的原则，严谨、明确地做出安全评估结论。</w:t>
      </w:r>
    </w:p>
    <w:p w14:paraId="4DDBE13F">
      <w:pPr>
        <w:pStyle w:val="3"/>
        <w:bidi w:val="0"/>
        <w:rPr>
          <w:rFonts w:hint="eastAsia"/>
          <w:color w:val="auto"/>
        </w:rPr>
      </w:pPr>
      <w:bookmarkStart w:id="60" w:name="_Toc17510"/>
      <w:bookmarkStart w:id="61" w:name="_Toc15979"/>
      <w:bookmarkStart w:id="62" w:name="_Toc18201"/>
      <w:bookmarkStart w:id="63" w:name="_Toc12314"/>
      <w:r>
        <w:rPr>
          <w:rFonts w:hint="eastAsia"/>
          <w:color w:val="auto"/>
        </w:rPr>
        <w:t>1.4</w:t>
      </w:r>
      <w:r>
        <w:rPr>
          <w:rFonts w:hint="eastAsia"/>
          <w:color w:val="auto"/>
          <w:lang w:val="en-US" w:eastAsia="zh-CN"/>
        </w:rPr>
        <w:t xml:space="preserve"> </w:t>
      </w:r>
      <w:r>
        <w:rPr>
          <w:rFonts w:hint="eastAsia"/>
          <w:color w:val="auto"/>
          <w:lang w:eastAsia="zh-CN"/>
        </w:rPr>
        <w:t>评估</w:t>
      </w:r>
      <w:r>
        <w:rPr>
          <w:rFonts w:hint="eastAsia"/>
          <w:color w:val="auto"/>
        </w:rPr>
        <w:t>程序</w:t>
      </w:r>
      <w:bookmarkEnd w:id="60"/>
      <w:bookmarkEnd w:id="61"/>
      <w:bookmarkEnd w:id="62"/>
      <w:bookmarkEnd w:id="63"/>
    </w:p>
    <w:p w14:paraId="0A5D03C3">
      <w:pPr>
        <w:rPr>
          <w:rFonts w:hint="eastAsia"/>
          <w:color w:val="auto"/>
        </w:rPr>
      </w:pPr>
      <w:r>
        <w:rPr>
          <w:rFonts w:hint="eastAsia"/>
          <w:color w:val="auto"/>
        </w:rPr>
        <w:t>安全评估程序包括：前期准备</w:t>
      </w:r>
      <w:r>
        <w:rPr>
          <w:rFonts w:hint="eastAsia"/>
          <w:color w:val="auto"/>
          <w:lang w:eastAsia="zh-CN"/>
        </w:rPr>
        <w:t>、</w:t>
      </w:r>
      <w:r>
        <w:rPr>
          <w:rFonts w:hint="eastAsia"/>
          <w:color w:val="auto"/>
        </w:rPr>
        <w:t>现场检查</w:t>
      </w:r>
      <w:r>
        <w:rPr>
          <w:rFonts w:hint="eastAsia"/>
          <w:color w:val="auto"/>
          <w:lang w:eastAsia="zh-CN"/>
        </w:rPr>
        <w:t>、</w:t>
      </w:r>
      <w:r>
        <w:rPr>
          <w:rFonts w:hint="eastAsia"/>
          <w:color w:val="auto"/>
        </w:rPr>
        <w:t>安全评估</w:t>
      </w:r>
      <w:r>
        <w:rPr>
          <w:rFonts w:hint="eastAsia"/>
          <w:color w:val="auto"/>
          <w:lang w:eastAsia="zh-CN"/>
        </w:rPr>
        <w:t>、</w:t>
      </w:r>
      <w:r>
        <w:rPr>
          <w:rFonts w:hint="eastAsia"/>
          <w:color w:val="auto"/>
        </w:rPr>
        <w:t>编制安全评估报告。</w:t>
      </w:r>
    </w:p>
    <w:p w14:paraId="6889D6E7">
      <w:pPr>
        <w:rPr>
          <w:rFonts w:hint="eastAsia"/>
          <w:color w:val="auto"/>
        </w:rPr>
      </w:pPr>
      <w:r>
        <w:rPr>
          <w:rFonts w:hint="eastAsia"/>
          <w:color w:val="auto"/>
        </w:rPr>
        <w:t>（1）前期准备</w:t>
      </w:r>
    </w:p>
    <w:p w14:paraId="3F9E1A81">
      <w:pPr>
        <w:rPr>
          <w:rFonts w:hint="eastAsia"/>
          <w:color w:val="auto"/>
        </w:rPr>
      </w:pPr>
      <w:r>
        <w:rPr>
          <w:rFonts w:hint="eastAsia"/>
          <w:color w:val="auto"/>
        </w:rPr>
        <w:t>明确被评估对象，备齐有关安全评估所需的设备、工具，收集国内外相关法律、法规、技术标准及建设项目资料；评估分组；与企业落实检查时间和行程路线。</w:t>
      </w:r>
    </w:p>
    <w:p w14:paraId="1F4E5022">
      <w:pPr>
        <w:rPr>
          <w:rFonts w:hint="eastAsia"/>
          <w:color w:val="auto"/>
        </w:rPr>
      </w:pPr>
      <w:r>
        <w:rPr>
          <w:rFonts w:hint="eastAsia"/>
          <w:color w:val="auto"/>
        </w:rPr>
        <w:t>（2）现场检查</w:t>
      </w:r>
    </w:p>
    <w:p w14:paraId="7ADF8F01">
      <w:pPr>
        <w:rPr>
          <w:rFonts w:hint="eastAsia"/>
          <w:color w:val="auto"/>
        </w:rPr>
      </w:pPr>
      <w:r>
        <w:rPr>
          <w:rFonts w:hint="eastAsia"/>
          <w:color w:val="auto"/>
        </w:rPr>
        <w:t>根据评估对象的具体情况，收集、检查尾矿库的文件资料</w:t>
      </w:r>
      <w:r>
        <w:rPr>
          <w:rFonts w:hint="eastAsia"/>
          <w:color w:val="auto"/>
          <w:lang w:eastAsia="zh-CN"/>
        </w:rPr>
        <w:t>，</w:t>
      </w:r>
      <w:r>
        <w:rPr>
          <w:rFonts w:hint="eastAsia"/>
          <w:color w:val="auto"/>
        </w:rPr>
        <w:t>深入企业尾矿库现场，对库区周边环境、作业现场、安全设施进行全方位、全面检查；并提交初步检查结果。</w:t>
      </w:r>
    </w:p>
    <w:p w14:paraId="32D28B75">
      <w:pPr>
        <w:rPr>
          <w:rFonts w:hint="eastAsia"/>
          <w:color w:val="auto"/>
        </w:rPr>
      </w:pPr>
      <w:r>
        <w:rPr>
          <w:rFonts w:hint="eastAsia"/>
          <w:color w:val="auto"/>
        </w:rPr>
        <w:t>（3）安全评估</w:t>
      </w:r>
    </w:p>
    <w:p w14:paraId="1EE031D2">
      <w:pPr>
        <w:rPr>
          <w:rFonts w:hint="eastAsia"/>
          <w:color w:val="auto"/>
        </w:rPr>
      </w:pPr>
      <w:r>
        <w:rPr>
          <w:rFonts w:hint="eastAsia"/>
          <w:color w:val="auto"/>
        </w:rPr>
        <w:t>分组讨论</w:t>
      </w:r>
      <w:r>
        <w:rPr>
          <w:rFonts w:hint="eastAsia"/>
          <w:color w:val="auto"/>
          <w:lang w:eastAsia="zh-CN"/>
        </w:rPr>
        <w:t>，</w:t>
      </w:r>
      <w:r>
        <w:rPr>
          <w:rFonts w:hint="eastAsia"/>
          <w:color w:val="auto"/>
        </w:rPr>
        <w:t>根据分组讨论结果，予以明确初步评估结果</w:t>
      </w:r>
      <w:r>
        <w:rPr>
          <w:rFonts w:hint="eastAsia"/>
          <w:color w:val="auto"/>
          <w:lang w:eastAsia="zh-CN"/>
        </w:rPr>
        <w:t>，</w:t>
      </w:r>
      <w:r>
        <w:rPr>
          <w:rFonts w:hint="eastAsia"/>
          <w:color w:val="auto"/>
        </w:rPr>
        <w:t>根据评估单元的特性，选择合理的评估方法，对评估对象发生事故的可能性及其严重程度进行定性、定量评估。</w:t>
      </w:r>
    </w:p>
    <w:p w14:paraId="14FCCF8C">
      <w:pPr>
        <w:rPr>
          <w:rFonts w:hint="eastAsia"/>
          <w:color w:val="auto"/>
        </w:rPr>
      </w:pPr>
      <w:r>
        <w:rPr>
          <w:rFonts w:hint="eastAsia"/>
          <w:color w:val="auto"/>
        </w:rPr>
        <w:t>（4）对策措施建议</w:t>
      </w:r>
    </w:p>
    <w:p w14:paraId="4914892A">
      <w:pPr>
        <w:rPr>
          <w:rFonts w:hint="default" w:ascii="Times New Roman" w:hAnsi="Times New Roman" w:cs="Times New Roman"/>
          <w:color w:val="auto"/>
        </w:rPr>
      </w:pPr>
      <w:r>
        <w:rPr>
          <w:rFonts w:hint="default" w:ascii="Times New Roman" w:hAnsi="Times New Roman" w:cs="Times New Roman"/>
          <w:color w:val="auto"/>
        </w:rPr>
        <w:t>①根据危险、有害因素辨识结果与定性、定量评估结果，遵循针对性、技术可行性、经济合理性的原则，提出消除或减弱危险、危害的技术和管理对策措施建议。</w:t>
      </w:r>
    </w:p>
    <w:p w14:paraId="2FB5AE68">
      <w:pPr>
        <w:rPr>
          <w:rFonts w:hint="default" w:ascii="Times New Roman" w:hAnsi="Times New Roman" w:cs="Times New Roman"/>
          <w:color w:val="auto"/>
        </w:rPr>
      </w:pPr>
      <w:r>
        <w:rPr>
          <w:rFonts w:hint="default" w:ascii="Times New Roman" w:hAnsi="Times New Roman" w:cs="Times New Roman"/>
          <w:color w:val="auto"/>
        </w:rPr>
        <w:t>②对策措施建议应具体祥实、具有可操作性。按照针对性和重要性的不同，措施和建议可分为应采纳和宜采纳两种类型。</w:t>
      </w:r>
    </w:p>
    <w:p w14:paraId="1D4E9A6A">
      <w:pPr>
        <w:rPr>
          <w:rFonts w:hint="eastAsia"/>
          <w:color w:val="auto"/>
        </w:rPr>
      </w:pPr>
      <w:r>
        <w:rPr>
          <w:rFonts w:hint="eastAsia"/>
          <w:color w:val="auto"/>
        </w:rPr>
        <w:t>（5）安全评估结论</w:t>
      </w:r>
    </w:p>
    <w:p w14:paraId="4DF04E8C">
      <w:pPr>
        <w:rPr>
          <w:rFonts w:hint="default" w:ascii="Times New Roman" w:hAnsi="Times New Roman" w:cs="Times New Roman"/>
          <w:color w:val="auto"/>
        </w:rPr>
      </w:pPr>
      <w:r>
        <w:rPr>
          <w:rFonts w:hint="default" w:ascii="Times New Roman" w:hAnsi="Times New Roman" w:cs="Times New Roman"/>
          <w:color w:val="auto"/>
        </w:rPr>
        <w:t>①安全评估机构应根据客观、公正、真实的原则，严谨、明确地做出安全评估结论。</w:t>
      </w:r>
    </w:p>
    <w:p w14:paraId="400B8850">
      <w:pPr>
        <w:rPr>
          <w:rFonts w:hint="default" w:ascii="Times New Roman" w:hAnsi="Times New Roman" w:cs="Times New Roman"/>
          <w:color w:val="auto"/>
        </w:rPr>
      </w:pPr>
      <w:r>
        <w:rPr>
          <w:rFonts w:hint="default" w:ascii="Times New Roman" w:hAnsi="Times New Roman" w:cs="Times New Roman"/>
          <w:color w:val="auto"/>
        </w:rPr>
        <w:t>②安全评估结论的内容应包括高度概括评估结果，从风险管理角度给出评估对象在评估时与国家有关安全生产的法律法规、标准、规章、规范的符合性结论，给出事故发生的可能性和严重程度的预测性结论，以及采取安全对策措施后的安全状态等。</w:t>
      </w:r>
    </w:p>
    <w:p w14:paraId="0BEB775E">
      <w:pPr>
        <w:rPr>
          <w:rFonts w:hint="default" w:ascii="Times New Roman" w:hAnsi="Times New Roman" w:cs="Times New Roman"/>
          <w:color w:val="auto"/>
        </w:rPr>
      </w:pPr>
      <w:r>
        <w:rPr>
          <w:rFonts w:hint="default" w:ascii="Times New Roman" w:hAnsi="Times New Roman" w:cs="Times New Roman"/>
          <w:color w:val="auto"/>
        </w:rPr>
        <w:t>（6）编制安全评估报告</w:t>
      </w:r>
    </w:p>
    <w:p w14:paraId="4E8D745B">
      <w:pPr>
        <w:rPr>
          <w:rFonts w:hint="default" w:ascii="Times New Roman" w:hAnsi="Times New Roman" w:cs="Times New Roman"/>
          <w:color w:val="auto"/>
        </w:rPr>
      </w:pPr>
    </w:p>
    <w:p w14:paraId="32FE6E2C">
      <w:pPr>
        <w:rPr>
          <w:rFonts w:hint="default" w:ascii="Times New Roman" w:hAnsi="Times New Roman" w:cs="Times New Roman"/>
          <w:color w:val="auto"/>
        </w:rPr>
      </w:pPr>
    </w:p>
    <w:p w14:paraId="41B886BF">
      <w:pPr>
        <w:rPr>
          <w:rFonts w:hint="default" w:ascii="Times New Roman" w:hAnsi="Times New Roman" w:cs="Times New Roman"/>
          <w:color w:val="auto"/>
        </w:rPr>
      </w:pPr>
    </w:p>
    <w:p w14:paraId="1595E29D">
      <w:pPr>
        <w:rPr>
          <w:rFonts w:hint="default" w:ascii="Times New Roman" w:hAnsi="Times New Roman" w:cs="Times New Roman"/>
          <w:color w:val="auto"/>
        </w:rPr>
      </w:pPr>
    </w:p>
    <w:p w14:paraId="30C54AC5">
      <w:pPr>
        <w:rPr>
          <w:rFonts w:hint="default" w:ascii="Times New Roman" w:hAnsi="Times New Roman" w:cs="Times New Roman"/>
          <w:color w:val="auto"/>
        </w:rPr>
      </w:pPr>
    </w:p>
    <w:p w14:paraId="7FF83DB3">
      <w:pPr>
        <w:rPr>
          <w:rFonts w:hint="default" w:ascii="Times New Roman" w:hAnsi="Times New Roman" w:cs="Times New Roman"/>
          <w:color w:val="auto"/>
        </w:rPr>
      </w:pPr>
    </w:p>
    <w:p w14:paraId="114C182A">
      <w:pPr>
        <w:rPr>
          <w:rFonts w:hint="default" w:ascii="Times New Roman" w:hAnsi="Times New Roman" w:cs="Times New Roman"/>
          <w:color w:val="auto"/>
        </w:rPr>
      </w:pPr>
    </w:p>
    <w:p w14:paraId="16B33F20">
      <w:pPr>
        <w:rPr>
          <w:rFonts w:hint="default" w:ascii="Times New Roman" w:hAnsi="Times New Roman" w:cs="Times New Roman"/>
          <w:color w:val="auto"/>
        </w:rPr>
      </w:pPr>
    </w:p>
    <w:p w14:paraId="129C009E">
      <w:pPr>
        <w:rPr>
          <w:rFonts w:hint="default" w:ascii="Times New Roman" w:hAnsi="Times New Roman" w:cs="Times New Roman"/>
          <w:color w:val="auto"/>
        </w:rPr>
      </w:pPr>
    </w:p>
    <w:p w14:paraId="5E8AA1C1">
      <w:pPr>
        <w:spacing w:line="600" w:lineRule="exact"/>
        <w:ind w:firstLine="0" w:firstLineChars="0"/>
        <w:rPr>
          <w:rFonts w:hint="eastAsia" w:ascii="Times New Roman" w:hAnsi="Times New Roman" w:eastAsia="宋体" w:cs="Times New Roman"/>
          <w:color w:val="auto"/>
          <w:sz w:val="28"/>
          <w:szCs w:val="28"/>
        </w:rPr>
      </w:pPr>
      <w:r>
        <w:rPr>
          <w:rFonts w:ascii="Times New Roman" w:hAnsi="Times New Roman" w:eastAsia="宋体" w:cs="Times New Roman"/>
          <w:color w:val="auto"/>
          <w:sz w:val="28"/>
        </w:rPr>
        <mc:AlternateContent>
          <mc:Choice Requires="wps">
            <w:drawing>
              <wp:anchor distT="0" distB="0" distL="114300" distR="114300" simplePos="0" relativeHeight="251664384" behindDoc="0" locked="0" layoutInCell="1" allowOverlap="1">
                <wp:simplePos x="0" y="0"/>
                <wp:positionH relativeFrom="column">
                  <wp:posOffset>1870710</wp:posOffset>
                </wp:positionH>
                <wp:positionV relativeFrom="paragraph">
                  <wp:posOffset>250825</wp:posOffset>
                </wp:positionV>
                <wp:extent cx="6985" cy="487680"/>
                <wp:effectExtent l="4445" t="0" r="7620" b="7620"/>
                <wp:wrapNone/>
                <wp:docPr id="55" name="直接连接符 55"/>
                <wp:cNvGraphicFramePr/>
                <a:graphic xmlns:a="http://schemas.openxmlformats.org/drawingml/2006/main">
                  <a:graphicData uri="http://schemas.microsoft.com/office/word/2010/wordprocessingShape">
                    <wps:wsp>
                      <wps:cNvCnPr/>
                      <wps:spPr>
                        <a:xfrm>
                          <a:off x="0" y="0"/>
                          <a:ext cx="6985" cy="48768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47.3pt;margin-top:19.75pt;height:38.4pt;width:0.55pt;z-index:251664384;mso-width-relative:page;mso-height-relative:page;" filled="f" stroked="t" coordsize="21600,21600" o:gfxdata="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CLwfk2QAAAAoBAAAPAAAAAAAAAAEAIAAAACIAAABkcnMvZG93bnJldi54&#10;bWxQSwECFAAUAAAACACHTuJABGRqqfkBAADoAwAADgAAAAAAAAABACAAAAAoAQAAZHJzL2Uyb0Rv&#10;Yy54bWxQSwUGAAAAAAYABgBZAQAAkwUAAAAA&#10;">
                <v:fill on="f" focussize="0,0"/>
                <v:stroke color="#000000" joinstyle="round"/>
                <v:imagedata o:title=""/>
                <o:lock v:ext="edit" aspectratio="f"/>
              </v:line>
            </w:pict>
          </mc:Fallback>
        </mc:AlternateContent>
      </w:r>
      <w:r>
        <w:rPr>
          <w:rFonts w:ascii="Times New Roman" w:hAnsi="Times New Roman" w:eastAsia="宋体" w:cs="Times New Roman"/>
          <w:color w:val="auto"/>
          <w:sz w:val="28"/>
        </w:rPr>
        <mc:AlternateContent>
          <mc:Choice Requires="wps">
            <w:drawing>
              <wp:anchor distT="0" distB="0" distL="114300" distR="114300" simplePos="0" relativeHeight="251667456" behindDoc="0" locked="0" layoutInCell="1" allowOverlap="1">
                <wp:simplePos x="0" y="0"/>
                <wp:positionH relativeFrom="column">
                  <wp:posOffset>2220595</wp:posOffset>
                </wp:positionH>
                <wp:positionV relativeFrom="paragraph">
                  <wp:posOffset>161290</wp:posOffset>
                </wp:positionV>
                <wp:extent cx="998220" cy="274320"/>
                <wp:effectExtent l="5080" t="4445" r="6350" b="6985"/>
                <wp:wrapNone/>
                <wp:docPr id="58" name="文本框 58"/>
                <wp:cNvGraphicFramePr/>
                <a:graphic xmlns:a="http://schemas.openxmlformats.org/drawingml/2006/main">
                  <a:graphicData uri="http://schemas.microsoft.com/office/word/2010/wordprocessingShape">
                    <wps:wsp>
                      <wps:cNvSpPr txBox="1"/>
                      <wps:spPr>
                        <a:xfrm>
                          <a:off x="0" y="0"/>
                          <a:ext cx="998220" cy="27432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74FF63C">
                            <w:pPr>
                              <w:spacing w:line="240" w:lineRule="auto"/>
                              <w:ind w:firstLine="0" w:firstLineChars="0"/>
                              <w:jc w:val="center"/>
                              <w:rPr>
                                <w:rFonts w:hint="default" w:ascii="Times New Roman" w:hAnsi="Times New Roman" w:eastAsia="宋体" w:cs="Times New Roman"/>
                                <w:sz w:val="21"/>
                                <w:lang w:val="en-US" w:eastAsia="zh-CN"/>
                              </w:rPr>
                            </w:pPr>
                            <w:r>
                              <w:rPr>
                                <w:rFonts w:hint="eastAsia" w:ascii="Times New Roman" w:hAnsi="Times New Roman" w:eastAsia="宋体" w:cs="Times New Roman"/>
                                <w:sz w:val="21"/>
                                <w:lang w:val="en-US" w:eastAsia="zh-CN"/>
                              </w:rPr>
                              <w:t>评估分组</w:t>
                            </w:r>
                          </w:p>
                        </w:txbxContent>
                      </wps:txbx>
                      <wps:bodyPr upright="1"/>
                    </wps:wsp>
                  </a:graphicData>
                </a:graphic>
              </wp:anchor>
            </w:drawing>
          </mc:Choice>
          <mc:Fallback>
            <w:pict>
              <v:shape id="_x0000_s1026" o:spid="_x0000_s1026" o:spt="202" type="#_x0000_t202" style="position:absolute;left:0pt;margin-left:174.85pt;margin-top:12.7pt;height:21.6pt;width:78.6pt;z-index:251667456;mso-width-relative:page;mso-height-relative:page;" fillcolor="#FFFFFF" filled="t" stroked="t" coordsize="21600,21600" o:gfxdata="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PPp1jZAAAACQEAAA8AAAAAAAAAAQAgAAAA&#10;IgAAAGRycy9kb3ducmV2LnhtbFBLAQIUABQAAAAIAIdO4kDLQjVYCgIAADcEAAAOAAAAAAAAAAEA&#10;IAAAACgBAABkcnMvZTJvRG9jLnhtbFBLBQYAAAAABgAGAFkBAACkBQAAAAA=&#10;">
                <v:fill on="t" focussize="0,0"/>
                <v:stroke color="#000000" joinstyle="miter"/>
                <v:imagedata o:title=""/>
                <o:lock v:ext="edit" aspectratio="f"/>
                <v:textbox>
                  <w:txbxContent>
                    <w:p w14:paraId="774FF63C">
                      <w:pPr>
                        <w:spacing w:line="240" w:lineRule="auto"/>
                        <w:ind w:firstLine="0" w:firstLineChars="0"/>
                        <w:jc w:val="center"/>
                        <w:rPr>
                          <w:rFonts w:hint="default" w:ascii="Times New Roman" w:hAnsi="Times New Roman" w:eastAsia="宋体" w:cs="Times New Roman"/>
                          <w:sz w:val="21"/>
                          <w:lang w:val="en-US" w:eastAsia="zh-CN"/>
                        </w:rPr>
                      </w:pPr>
                      <w:r>
                        <w:rPr>
                          <w:rFonts w:hint="eastAsia" w:ascii="Times New Roman" w:hAnsi="Times New Roman" w:eastAsia="宋体" w:cs="Times New Roman"/>
                          <w:sz w:val="21"/>
                          <w:lang w:val="en-US" w:eastAsia="zh-CN"/>
                        </w:rPr>
                        <w:t>评估分组</w:t>
                      </w:r>
                    </w:p>
                  </w:txbxContent>
                </v:textbox>
              </v:shape>
            </w:pict>
          </mc:Fallback>
        </mc:AlternateContent>
      </w:r>
      <w:r>
        <w:rPr>
          <w:rFonts w:ascii="Times New Roman" w:hAnsi="Times New Roman" w:eastAsia="宋体" w:cs="Times New Roman"/>
          <w:color w:val="auto"/>
          <w:sz w:val="28"/>
        </w:rPr>
        <mc:AlternateContent>
          <mc:Choice Requires="wps">
            <w:drawing>
              <wp:anchor distT="0" distB="0" distL="114300" distR="114300" simplePos="0" relativeHeight="251665408" behindDoc="0" locked="0" layoutInCell="1" allowOverlap="1">
                <wp:simplePos x="0" y="0"/>
                <wp:positionH relativeFrom="column">
                  <wp:posOffset>1877695</wp:posOffset>
                </wp:positionH>
                <wp:positionV relativeFrom="paragraph">
                  <wp:posOffset>258445</wp:posOffset>
                </wp:positionV>
                <wp:extent cx="342900" cy="7620"/>
                <wp:effectExtent l="0" t="46990" r="0" b="59690"/>
                <wp:wrapNone/>
                <wp:docPr id="54" name="直接连接符 54"/>
                <wp:cNvGraphicFramePr/>
                <a:graphic xmlns:a="http://schemas.openxmlformats.org/drawingml/2006/main">
                  <a:graphicData uri="http://schemas.microsoft.com/office/word/2010/wordprocessingShape">
                    <wps:wsp>
                      <wps:cNvCnPr/>
                      <wps:spPr>
                        <a:xfrm flipV="1">
                          <a:off x="0" y="0"/>
                          <a:ext cx="342900" cy="762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flip:y;margin-left:147.85pt;margin-top:20.35pt;height:0.6pt;width:27pt;z-index:251665408;mso-width-relative:page;mso-height-relative:page;" filled="f" stroked="t" coordsize="21600,21600" o:gfxdata="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BndJedgAAAAJAQAADwAAAAAAAAABACAAAAAiAAAA&#10;ZHJzL2Rvd25yZXYueG1sUEsBAhQAFAAAAAgAh07iQHS0wgAHAgAA8wMAAA4AAAAAAAAAAQAgAAAA&#10;JwEAAGRycy9lMm9Eb2MueG1sUEsFBgAAAAAGAAYAWQEAAKAFAAAAAA==&#10;">
                <v:fill on="f" focussize="0,0"/>
                <v:stroke color="#000000" joinstyle="round" endarrow="open"/>
                <v:imagedata o:title=""/>
                <o:lock v:ext="edit" aspectratio="f"/>
              </v:line>
            </w:pict>
          </mc:Fallback>
        </mc:AlternateContent>
      </w:r>
      <w:r>
        <w:rPr>
          <w:rFonts w:ascii="Times New Roman" w:hAnsi="Times New Roman" w:eastAsia="宋体" w:cs="Times New Roman"/>
          <w:color w:val="auto"/>
          <w:sz w:val="28"/>
        </w:rPr>
        <mc:AlternateContent>
          <mc:Choice Requires="wps">
            <w:drawing>
              <wp:anchor distT="0" distB="0" distL="114300" distR="114300" simplePos="0" relativeHeight="251661312" behindDoc="0" locked="0" layoutInCell="1" allowOverlap="1">
                <wp:simplePos x="0" y="0"/>
                <wp:positionH relativeFrom="column">
                  <wp:posOffset>193675</wp:posOffset>
                </wp:positionH>
                <wp:positionV relativeFrom="paragraph">
                  <wp:posOffset>304165</wp:posOffset>
                </wp:positionV>
                <wp:extent cx="1325245" cy="327660"/>
                <wp:effectExtent l="4445" t="4445" r="22860" b="10795"/>
                <wp:wrapNone/>
                <wp:docPr id="56" name="文本框 56"/>
                <wp:cNvGraphicFramePr/>
                <a:graphic xmlns:a="http://schemas.openxmlformats.org/drawingml/2006/main">
                  <a:graphicData uri="http://schemas.microsoft.com/office/word/2010/wordprocessingShape">
                    <wps:wsp>
                      <wps:cNvSpPr txBox="1"/>
                      <wps:spPr>
                        <a:xfrm>
                          <a:off x="0" y="0"/>
                          <a:ext cx="1325245" cy="32766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E81AD79">
                            <w:pPr>
                              <w:spacing w:line="240" w:lineRule="auto"/>
                              <w:ind w:left="0" w:leftChars="0" w:firstLine="0" w:firstLineChars="0"/>
                              <w:jc w:val="center"/>
                              <w:rPr>
                                <w:rFonts w:hint="default" w:ascii="Times New Roman" w:hAnsi="Times New Roman" w:eastAsia="宋体" w:cs="Times New Roman"/>
                                <w:sz w:val="21"/>
                                <w:lang w:val="en-US" w:eastAsia="zh-CN"/>
                              </w:rPr>
                            </w:pPr>
                            <w:r>
                              <w:rPr>
                                <w:rFonts w:hint="eastAsia" w:ascii="Times New Roman" w:hAnsi="Times New Roman" w:eastAsia="宋体" w:cs="Times New Roman"/>
                                <w:sz w:val="21"/>
                                <w:lang w:val="en-US" w:eastAsia="zh-CN"/>
                              </w:rPr>
                              <w:t>前期准备</w:t>
                            </w:r>
                          </w:p>
                        </w:txbxContent>
                      </wps:txbx>
                      <wps:bodyPr upright="1"/>
                    </wps:wsp>
                  </a:graphicData>
                </a:graphic>
              </wp:anchor>
            </w:drawing>
          </mc:Choice>
          <mc:Fallback>
            <w:pict>
              <v:shape id="_x0000_s1026" o:spid="_x0000_s1026" o:spt="202" type="#_x0000_t202" style="position:absolute;left:0pt;margin-left:15.25pt;margin-top:23.95pt;height:25.8pt;width:104.35pt;z-index:251661312;mso-width-relative:page;mso-height-relative:page;" fillcolor="#FFFFFF" filled="t" stroked="t" coordsize="21600,21600" o:gfxdata="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J4rzQDYAAAACAEAAA8AAAAAAAAAAQAg&#10;AAAAIgAAAGRycy9kb3ducmV2LnhtbFBLAQIUABQAAAAIAIdO4kCQJPAXDgIAADgEAAAOAAAAAAAA&#10;AAEAIAAAACcBAABkcnMvZTJvRG9jLnhtbFBLBQYAAAAABgAGAFkBAACnBQAAAAA=&#10;">
                <v:fill on="t" focussize="0,0"/>
                <v:stroke color="#000000" joinstyle="miter"/>
                <v:imagedata o:title=""/>
                <o:lock v:ext="edit" aspectratio="f"/>
                <v:textbox>
                  <w:txbxContent>
                    <w:p w14:paraId="4E81AD79">
                      <w:pPr>
                        <w:spacing w:line="240" w:lineRule="auto"/>
                        <w:ind w:left="0" w:leftChars="0" w:firstLine="0" w:firstLineChars="0"/>
                        <w:jc w:val="center"/>
                        <w:rPr>
                          <w:rFonts w:hint="default" w:ascii="Times New Roman" w:hAnsi="Times New Roman" w:eastAsia="宋体" w:cs="Times New Roman"/>
                          <w:sz w:val="21"/>
                          <w:lang w:val="en-US" w:eastAsia="zh-CN"/>
                        </w:rPr>
                      </w:pPr>
                      <w:r>
                        <w:rPr>
                          <w:rFonts w:hint="eastAsia" w:ascii="Times New Roman" w:hAnsi="Times New Roman" w:eastAsia="宋体" w:cs="Times New Roman"/>
                          <w:sz w:val="21"/>
                          <w:lang w:val="en-US" w:eastAsia="zh-CN"/>
                        </w:rPr>
                        <w:t>前期准备</w:t>
                      </w:r>
                    </w:p>
                  </w:txbxContent>
                </v:textbox>
              </v:shape>
            </w:pict>
          </mc:Fallback>
        </mc:AlternateContent>
      </w:r>
      <w:r>
        <w:rPr>
          <w:rFonts w:hint="eastAsia" w:ascii="Times New Roman" w:hAnsi="Times New Roman" w:eastAsia="宋体" w:cs="Times New Roman"/>
          <w:color w:val="auto"/>
          <w:sz w:val="28"/>
          <w:szCs w:val="28"/>
          <w:lang w:val="en-US" w:eastAsia="zh-CN"/>
        </w:rPr>
        <w:t xml:space="preserve"> </w:t>
      </w:r>
    </w:p>
    <w:p w14:paraId="70D7015C">
      <w:pPr>
        <w:spacing w:line="600" w:lineRule="exact"/>
        <w:ind w:firstLine="0" w:firstLineChars="0"/>
        <w:rPr>
          <w:rFonts w:hint="default" w:ascii="Times New Roman" w:hAnsi="Times New Roman" w:eastAsia="宋体" w:cs="Times New Roman"/>
          <w:color w:val="auto"/>
          <w:sz w:val="28"/>
          <w:szCs w:val="28"/>
          <w:lang w:val="en-US"/>
        </w:rPr>
      </w:pPr>
      <w:r>
        <w:rPr>
          <w:rFonts w:ascii="Times New Roman" w:hAnsi="Times New Roman" w:eastAsia="宋体" w:cs="Times New Roman"/>
          <w:color w:val="auto"/>
          <w:sz w:val="28"/>
        </w:rPr>
        <mc:AlternateContent>
          <mc:Choice Requires="wps">
            <w:drawing>
              <wp:anchor distT="0" distB="0" distL="114300" distR="114300" simplePos="0" relativeHeight="251669504" behindDoc="0" locked="0" layoutInCell="1" allowOverlap="1">
                <wp:simplePos x="0" y="0"/>
                <wp:positionH relativeFrom="column">
                  <wp:posOffset>826770</wp:posOffset>
                </wp:positionH>
                <wp:positionV relativeFrom="paragraph">
                  <wp:posOffset>231775</wp:posOffset>
                </wp:positionV>
                <wp:extent cx="6985" cy="967105"/>
                <wp:effectExtent l="48260" t="0" r="59055" b="4445"/>
                <wp:wrapNone/>
                <wp:docPr id="57" name="直接连接符 57"/>
                <wp:cNvGraphicFramePr/>
                <a:graphic xmlns:a="http://schemas.openxmlformats.org/drawingml/2006/main">
                  <a:graphicData uri="http://schemas.microsoft.com/office/word/2010/wordprocessingShape">
                    <wps:wsp>
                      <wps:cNvCnPr/>
                      <wps:spPr>
                        <a:xfrm flipH="1">
                          <a:off x="0" y="0"/>
                          <a:ext cx="6985" cy="96710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flip:x;margin-left:65.1pt;margin-top:18.25pt;height:76.15pt;width:0.55pt;z-index:251669504;mso-width-relative:page;mso-height-relative:page;" filled="f" stroked="t" coordsize="21600,21600" o:gfxdata="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7RSCbdgAAAAKAQAADwAAAAAAAAABACAAAAAiAAAAZHJz&#10;L2Rvd25yZXYueG1sUEsBAhQAFAAAAAgAh07iQI+eG9wEAgAA8wMAAA4AAAAAAAAAAQAgAAAAJwEA&#10;AGRycy9lMm9Eb2MueG1sUEsFBgAAAAAGAAYAWQEAAJ0FAAAAAA==&#10;">
                <v:fill on="f" focussize="0,0"/>
                <v:stroke color="#000000" joinstyle="round" endarrow="open"/>
                <v:imagedata o:title=""/>
                <o:lock v:ext="edit" aspectratio="f"/>
              </v:line>
            </w:pict>
          </mc:Fallback>
        </mc:AlternateContent>
      </w:r>
      <w:r>
        <w:rPr>
          <w:rFonts w:ascii="Times New Roman" w:hAnsi="Times New Roman" w:eastAsia="宋体" w:cs="Times New Roman"/>
          <w:color w:val="auto"/>
          <w:sz w:val="28"/>
        </w:rPr>
        <mc:AlternateContent>
          <mc:Choice Requires="wps">
            <w:drawing>
              <wp:anchor distT="0" distB="0" distL="114300" distR="114300" simplePos="0" relativeHeight="251668480" behindDoc="0" locked="0" layoutInCell="1" allowOverlap="1">
                <wp:simplePos x="0" y="0"/>
                <wp:positionH relativeFrom="column">
                  <wp:posOffset>2228215</wp:posOffset>
                </wp:positionH>
                <wp:positionV relativeFrom="paragraph">
                  <wp:posOffset>207010</wp:posOffset>
                </wp:positionV>
                <wp:extent cx="2209800" cy="289560"/>
                <wp:effectExtent l="4445" t="4445" r="14605" b="10795"/>
                <wp:wrapNone/>
                <wp:docPr id="60" name="文本框 60"/>
                <wp:cNvGraphicFramePr/>
                <a:graphic xmlns:a="http://schemas.openxmlformats.org/drawingml/2006/main">
                  <a:graphicData uri="http://schemas.microsoft.com/office/word/2010/wordprocessingShape">
                    <wps:wsp>
                      <wps:cNvSpPr txBox="1"/>
                      <wps:spPr>
                        <a:xfrm>
                          <a:off x="0" y="0"/>
                          <a:ext cx="2209800" cy="28956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2F0FA8F">
                            <w:pPr>
                              <w:spacing w:line="240" w:lineRule="auto"/>
                              <w:ind w:firstLine="0" w:firstLineChars="0"/>
                              <w:jc w:val="center"/>
                              <w:rPr>
                                <w:rFonts w:hint="default" w:ascii="Times New Roman" w:hAnsi="Times New Roman" w:eastAsia="宋体" w:cs="Times New Roman"/>
                                <w:sz w:val="21"/>
                                <w:lang w:val="en-US" w:eastAsia="zh-CN"/>
                              </w:rPr>
                            </w:pPr>
                            <w:r>
                              <w:rPr>
                                <w:rFonts w:hint="eastAsia" w:ascii="Times New Roman" w:hAnsi="Times New Roman" w:eastAsia="宋体" w:cs="Times New Roman"/>
                                <w:sz w:val="21"/>
                                <w:lang w:val="en-US" w:eastAsia="zh-CN"/>
                              </w:rPr>
                              <w:t>与企业落实检查时间和行程线路</w:t>
                            </w:r>
                          </w:p>
                        </w:txbxContent>
                      </wps:txbx>
                      <wps:bodyPr upright="1"/>
                    </wps:wsp>
                  </a:graphicData>
                </a:graphic>
              </wp:anchor>
            </w:drawing>
          </mc:Choice>
          <mc:Fallback>
            <w:pict>
              <v:shape id="_x0000_s1026" o:spid="_x0000_s1026" o:spt="202" type="#_x0000_t202" style="position:absolute;left:0pt;margin-left:175.45pt;margin-top:16.3pt;height:22.8pt;width:174pt;z-index:251668480;mso-width-relative:page;mso-height-relative:page;" fillcolor="#FFFFFF" filled="t" stroked="t" coordsize="21600,21600" o:gfxdata="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EEy9R2AAAAAkBAAAPAAAAAAAAAAEAIAAA&#10;ACIAAABkcnMvZG93bnJldi54bWxQSwECFAAUAAAACACHTuJAUXTEDwwCAAA4BAAADgAAAAAAAAAB&#10;ACAAAAAnAQAAZHJzL2Uyb0RvYy54bWxQSwUGAAAAAAYABgBZAQAApQUAAAAA&#10;">
                <v:fill on="t" focussize="0,0"/>
                <v:stroke color="#000000" joinstyle="miter"/>
                <v:imagedata o:title=""/>
                <o:lock v:ext="edit" aspectratio="f"/>
                <v:textbox>
                  <w:txbxContent>
                    <w:p w14:paraId="52F0FA8F">
                      <w:pPr>
                        <w:spacing w:line="240" w:lineRule="auto"/>
                        <w:ind w:firstLine="0" w:firstLineChars="0"/>
                        <w:jc w:val="center"/>
                        <w:rPr>
                          <w:rFonts w:hint="default" w:ascii="Times New Roman" w:hAnsi="Times New Roman" w:eastAsia="宋体" w:cs="Times New Roman"/>
                          <w:sz w:val="21"/>
                          <w:lang w:val="en-US" w:eastAsia="zh-CN"/>
                        </w:rPr>
                      </w:pPr>
                      <w:r>
                        <w:rPr>
                          <w:rFonts w:hint="eastAsia" w:ascii="Times New Roman" w:hAnsi="Times New Roman" w:eastAsia="宋体" w:cs="Times New Roman"/>
                          <w:sz w:val="21"/>
                          <w:lang w:val="en-US" w:eastAsia="zh-CN"/>
                        </w:rPr>
                        <w:t>与企业落实检查时间和行程线路</w:t>
                      </w:r>
                    </w:p>
                  </w:txbxContent>
                </v:textbox>
              </v:shape>
            </w:pict>
          </mc:Fallback>
        </mc:AlternateContent>
      </w:r>
      <w:r>
        <w:rPr>
          <w:rFonts w:ascii="Times New Roman" w:hAnsi="Times New Roman" w:eastAsia="宋体" w:cs="Times New Roman"/>
          <w:color w:val="auto"/>
          <w:sz w:val="28"/>
        </w:rPr>
        <mc:AlternateContent>
          <mc:Choice Requires="wps">
            <w:drawing>
              <wp:anchor distT="0" distB="0" distL="114300" distR="114300" simplePos="0" relativeHeight="251666432" behindDoc="0" locked="0" layoutInCell="1" allowOverlap="1">
                <wp:simplePos x="0" y="0"/>
                <wp:positionH relativeFrom="column">
                  <wp:posOffset>1885315</wp:posOffset>
                </wp:positionH>
                <wp:positionV relativeFrom="paragraph">
                  <wp:posOffset>349885</wp:posOffset>
                </wp:positionV>
                <wp:extent cx="350520" cy="7620"/>
                <wp:effectExtent l="0" t="46990" r="11430" b="59690"/>
                <wp:wrapNone/>
                <wp:docPr id="61" name="直接连接符 61"/>
                <wp:cNvGraphicFramePr/>
                <a:graphic xmlns:a="http://schemas.openxmlformats.org/drawingml/2006/main">
                  <a:graphicData uri="http://schemas.microsoft.com/office/word/2010/wordprocessingShape">
                    <wps:wsp>
                      <wps:cNvCnPr/>
                      <wps:spPr>
                        <a:xfrm flipV="1">
                          <a:off x="0" y="0"/>
                          <a:ext cx="350520" cy="762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flip:y;margin-left:148.45pt;margin-top:27.55pt;height:0.6pt;width:27.6pt;z-index:251666432;mso-width-relative:page;mso-height-relative:page;" filled="f" stroked="t" coordsize="21600,21600" o:gfxdata="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GVDDUnYAAAACQEAAA8AAAAAAAAAAQAgAAAAIgAAAGRycy9k&#10;b3ducmV2LnhtbFBLAQIUABQAAAAIAIdO4kDIl6TmAgIAAPMDAAAOAAAAAAAAAAEAIAAAACcBAABk&#10;cnMvZTJvRG9jLnhtbFBLBQYAAAAABgAGAFkBAACbBQAAAAA=&#10;">
                <v:fill on="f" focussize="0,0"/>
                <v:stroke color="#000000" joinstyle="round" endarrow="open"/>
                <v:imagedata o:title=""/>
                <o:lock v:ext="edit" aspectratio="f"/>
              </v:line>
            </w:pict>
          </mc:Fallback>
        </mc:AlternateContent>
      </w:r>
      <w:r>
        <w:rPr>
          <w:rFonts w:ascii="Times New Roman" w:hAnsi="Times New Roman" w:eastAsia="宋体" w:cs="Times New Roman"/>
          <w:color w:val="auto"/>
          <w:sz w:val="28"/>
        </w:rPr>
        <mc:AlternateContent>
          <mc:Choice Requires="wps">
            <w:drawing>
              <wp:anchor distT="0" distB="0" distL="114300" distR="114300" simplePos="0" relativeHeight="251663360" behindDoc="0" locked="0" layoutInCell="1" allowOverlap="1">
                <wp:simplePos x="0" y="0"/>
                <wp:positionH relativeFrom="column">
                  <wp:posOffset>1854835</wp:posOffset>
                </wp:positionH>
                <wp:positionV relativeFrom="paragraph">
                  <wp:posOffset>75565</wp:posOffset>
                </wp:positionV>
                <wp:extent cx="15240" cy="635"/>
                <wp:effectExtent l="0" t="0" r="0" b="0"/>
                <wp:wrapNone/>
                <wp:docPr id="59" name="直接连接符 59"/>
                <wp:cNvGraphicFramePr/>
                <a:graphic xmlns:a="http://schemas.openxmlformats.org/drawingml/2006/main">
                  <a:graphicData uri="http://schemas.microsoft.com/office/word/2010/wordprocessingShape">
                    <wps:wsp>
                      <wps:cNvCnPr/>
                      <wps:spPr>
                        <a:xfrm>
                          <a:off x="0" y="0"/>
                          <a:ext cx="15240"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46.05pt;margin-top:5.95pt;height:0.05pt;width:1.2pt;z-index:251663360;mso-width-relative:page;mso-height-relative:page;" filled="f" stroked="t" coordsize="21600,21600" o:gfxdata="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DmBcxjWAAAACQEAAA8AAAAAAAAAAQAgAAAAIgAAAGRycy9kb3ducmV2LnhtbFBLAQIU&#10;ABQAAAAIAIdO4kCkbtCN9QEAAOYDAAAOAAAAAAAAAAEAIAAAACUBAABkcnMvZTJvRG9jLnhtbFBL&#10;BQYAAAAABgAGAFkBAACMBQAAAAA=&#10;">
                <v:fill on="f" focussize="0,0"/>
                <v:stroke color="#000000" joinstyle="round"/>
                <v:imagedata o:title=""/>
                <o:lock v:ext="edit" aspectratio="f"/>
              </v:line>
            </w:pict>
          </mc:Fallback>
        </mc:AlternateContent>
      </w:r>
      <w:r>
        <w:rPr>
          <w:rFonts w:ascii="Times New Roman" w:hAnsi="Times New Roman" w:eastAsia="宋体" w:cs="Times New Roman"/>
          <w:color w:val="auto"/>
          <w:sz w:val="28"/>
        </w:rPr>
        <mc:AlternateContent>
          <mc:Choice Requires="wps">
            <w:drawing>
              <wp:anchor distT="0" distB="0" distL="114300" distR="114300" simplePos="0" relativeHeight="251662336" behindDoc="0" locked="0" layoutInCell="1" allowOverlap="1">
                <wp:simplePos x="0" y="0"/>
                <wp:positionH relativeFrom="column">
                  <wp:posOffset>1534795</wp:posOffset>
                </wp:positionH>
                <wp:positionV relativeFrom="paragraph">
                  <wp:posOffset>76200</wp:posOffset>
                </wp:positionV>
                <wp:extent cx="342900" cy="6985"/>
                <wp:effectExtent l="0" t="0" r="0" b="0"/>
                <wp:wrapNone/>
                <wp:docPr id="47" name="直接连接符 47"/>
                <wp:cNvGraphicFramePr/>
                <a:graphic xmlns:a="http://schemas.openxmlformats.org/drawingml/2006/main">
                  <a:graphicData uri="http://schemas.microsoft.com/office/word/2010/wordprocessingShape">
                    <wps:wsp>
                      <wps:cNvCnPr/>
                      <wps:spPr>
                        <a:xfrm flipH="1" flipV="1">
                          <a:off x="0" y="0"/>
                          <a:ext cx="342900" cy="698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x y;margin-left:120.85pt;margin-top:6pt;height:0.55pt;width:27pt;z-index:251662336;mso-width-relative:page;mso-height-relative:page;" filled="f" stroked="t" coordsize="21600,21600" o:gfxdata="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guUIx0QAAAAkBAAAPAAAAAAAAAAEAIAAAACIAAABkcnMvZG93bnJl&#10;di54bWxQSwECFAAUAAAACACHTuJAhWrzTQQCAAD8AwAADgAAAAAAAAABACAAAAAgAQAAZHJzL2Uy&#10;b0RvYy54bWxQSwUGAAAAAAYABgBZAQAAlgUAAAAA&#10;">
                <v:fill on="f" focussize="0,0"/>
                <v:stroke color="#000000" joinstyle="round"/>
                <v:imagedata o:title=""/>
                <o:lock v:ext="edit" aspectratio="f"/>
              </v:line>
            </w:pict>
          </mc:Fallback>
        </mc:AlternateContent>
      </w:r>
      <w:r>
        <w:rPr>
          <w:rFonts w:hint="eastAsia" w:ascii="Times New Roman" w:hAnsi="Times New Roman" w:eastAsia="宋体" w:cs="Times New Roman"/>
          <w:color w:val="auto"/>
          <w:sz w:val="28"/>
          <w:szCs w:val="28"/>
          <w:lang w:val="en-US" w:eastAsia="zh-CN"/>
        </w:rPr>
        <w:t xml:space="preserve">  </w:t>
      </w:r>
    </w:p>
    <w:p w14:paraId="5C584AA1">
      <w:pPr>
        <w:spacing w:line="600" w:lineRule="exact"/>
        <w:ind w:firstLine="0" w:firstLineChars="0"/>
        <w:rPr>
          <w:rFonts w:hint="eastAsia" w:ascii="Times New Roman" w:hAnsi="Times New Roman" w:eastAsia="宋体" w:cs="Times New Roman"/>
          <w:color w:val="auto"/>
          <w:sz w:val="28"/>
          <w:szCs w:val="28"/>
        </w:rPr>
      </w:pPr>
    </w:p>
    <w:p w14:paraId="22805C7C">
      <w:pPr>
        <w:spacing w:line="600" w:lineRule="exact"/>
        <w:ind w:firstLine="0" w:firstLineChars="0"/>
        <w:rPr>
          <w:rFonts w:hint="eastAsia" w:ascii="Times New Roman" w:hAnsi="Times New Roman" w:eastAsia="宋体" w:cs="Times New Roman"/>
          <w:color w:val="auto"/>
          <w:sz w:val="28"/>
          <w:szCs w:val="28"/>
        </w:rPr>
      </w:pPr>
      <w:r>
        <w:rPr>
          <w:rFonts w:ascii="Times New Roman" w:hAnsi="Times New Roman" w:eastAsia="宋体" w:cs="Times New Roman"/>
          <w:color w:val="auto"/>
          <w:sz w:val="28"/>
        </w:rPr>
        <mc:AlternateContent>
          <mc:Choice Requires="wps">
            <w:drawing>
              <wp:anchor distT="0" distB="0" distL="114300" distR="114300" simplePos="0" relativeHeight="251673600" behindDoc="0" locked="0" layoutInCell="1" allowOverlap="1">
                <wp:simplePos x="0" y="0"/>
                <wp:positionH relativeFrom="column">
                  <wp:posOffset>1880870</wp:posOffset>
                </wp:positionH>
                <wp:positionV relativeFrom="paragraph">
                  <wp:posOffset>125095</wp:posOffset>
                </wp:positionV>
                <wp:extent cx="362585" cy="7620"/>
                <wp:effectExtent l="0" t="43180" r="18415" b="63500"/>
                <wp:wrapNone/>
                <wp:docPr id="38" name="直接连接符 38"/>
                <wp:cNvGraphicFramePr/>
                <a:graphic xmlns:a="http://schemas.openxmlformats.org/drawingml/2006/main">
                  <a:graphicData uri="http://schemas.microsoft.com/office/word/2010/wordprocessingShape">
                    <wps:wsp>
                      <wps:cNvCnPr/>
                      <wps:spPr>
                        <a:xfrm>
                          <a:off x="0" y="0"/>
                          <a:ext cx="362585" cy="762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148.1pt;margin-top:9.85pt;height:0.6pt;width:28.55pt;z-index:251673600;mso-width-relative:page;mso-height-relative:page;" filled="f" stroked="t" coordsize="21600,21600" o:gfxdata="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1HhvS2QAAAAkBAAAPAAAAAAAAAAEAIAAAACIAAABkcnMvZG93&#10;bnJldi54bWxQSwECFAAUAAAACACHTuJAtWPcrf8BAADpAwAADgAAAAAAAAABACAAAAAoAQAAZHJz&#10;L2Uyb0RvYy54bWxQSwUGAAAAAAYABgBZAQAAmQUAAAAA&#10;">
                <v:fill on="f" focussize="0,0"/>
                <v:stroke color="#000000" joinstyle="round" endarrow="open"/>
                <v:imagedata o:title=""/>
                <o:lock v:ext="edit" aspectratio="f"/>
              </v:line>
            </w:pict>
          </mc:Fallback>
        </mc:AlternateContent>
      </w:r>
      <w:r>
        <w:rPr>
          <w:rFonts w:ascii="Times New Roman" w:hAnsi="Times New Roman" w:eastAsia="宋体" w:cs="Times New Roman"/>
          <w:color w:val="auto"/>
          <w:sz w:val="28"/>
        </w:rPr>
        <mc:AlternateContent>
          <mc:Choice Requires="wps">
            <w:drawing>
              <wp:anchor distT="0" distB="0" distL="114300" distR="114300" simplePos="0" relativeHeight="251672576" behindDoc="0" locked="0" layoutInCell="1" allowOverlap="1">
                <wp:simplePos x="0" y="0"/>
                <wp:positionH relativeFrom="column">
                  <wp:posOffset>1877695</wp:posOffset>
                </wp:positionH>
                <wp:positionV relativeFrom="paragraph">
                  <wp:posOffset>133985</wp:posOffset>
                </wp:positionV>
                <wp:extent cx="635" cy="981075"/>
                <wp:effectExtent l="4445" t="0" r="13970" b="9525"/>
                <wp:wrapNone/>
                <wp:docPr id="50" name="直接连接符 50"/>
                <wp:cNvGraphicFramePr/>
                <a:graphic xmlns:a="http://schemas.openxmlformats.org/drawingml/2006/main">
                  <a:graphicData uri="http://schemas.microsoft.com/office/word/2010/wordprocessingShape">
                    <wps:wsp>
                      <wps:cNvCnPr/>
                      <wps:spPr>
                        <a:xfrm flipH="1">
                          <a:off x="0" y="0"/>
                          <a:ext cx="635" cy="98107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x;margin-left:147.85pt;margin-top:10.55pt;height:77.25pt;width:0.05pt;z-index:251672576;mso-width-relative:page;mso-height-relative:page;" filled="f" stroked="t" coordsize="21600,21600" o:gfxdata="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Z5M+rXAAAACgEAAA8AAAAAAAAAAQAgAAAAIgAAAGRycy9kb3ducmV2&#10;LnhtbFBLAQIUABQAAAAIAIdO4kAhVBwA/QEAAPEDAAAOAAAAAAAAAAEAIAAAACYBAABkcnMvZTJv&#10;RG9jLnhtbFBLBQYAAAAABgAGAFkBAACVBQAAAAA=&#10;">
                <v:fill on="f" focussize="0,0"/>
                <v:stroke color="#000000" joinstyle="round"/>
                <v:imagedata o:title=""/>
                <o:lock v:ext="edit" aspectratio="f"/>
              </v:line>
            </w:pict>
          </mc:Fallback>
        </mc:AlternateContent>
      </w:r>
      <w:r>
        <w:rPr>
          <w:rFonts w:ascii="Times New Roman" w:hAnsi="Times New Roman" w:eastAsia="宋体" w:cs="Times New Roman"/>
          <w:color w:val="auto"/>
          <w:sz w:val="28"/>
        </w:rPr>
        <mc:AlternateContent>
          <mc:Choice Requires="wps">
            <w:drawing>
              <wp:anchor distT="0" distB="0" distL="114300" distR="114300" simplePos="0" relativeHeight="251675648" behindDoc="0" locked="0" layoutInCell="1" allowOverlap="1">
                <wp:simplePos x="0" y="0"/>
                <wp:positionH relativeFrom="column">
                  <wp:posOffset>2235835</wp:posOffset>
                </wp:positionH>
                <wp:positionV relativeFrom="paragraph">
                  <wp:posOffset>3175</wp:posOffset>
                </wp:positionV>
                <wp:extent cx="1158240" cy="266700"/>
                <wp:effectExtent l="4445" t="4445" r="18415" b="14605"/>
                <wp:wrapNone/>
                <wp:docPr id="32" name="文本框 32"/>
                <wp:cNvGraphicFramePr/>
                <a:graphic xmlns:a="http://schemas.openxmlformats.org/drawingml/2006/main">
                  <a:graphicData uri="http://schemas.microsoft.com/office/word/2010/wordprocessingShape">
                    <wps:wsp>
                      <wps:cNvSpPr txBox="1"/>
                      <wps:spPr>
                        <a:xfrm>
                          <a:off x="0" y="0"/>
                          <a:ext cx="1158240" cy="2667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5E14E91">
                            <w:pPr>
                              <w:spacing w:line="240" w:lineRule="auto"/>
                              <w:ind w:left="0" w:leftChars="0" w:firstLine="0" w:firstLineChars="0"/>
                              <w:jc w:val="center"/>
                              <w:rPr>
                                <w:rFonts w:hint="default" w:ascii="Times New Roman" w:hAnsi="Times New Roman" w:eastAsia="宋体" w:cs="Times New Roman"/>
                                <w:sz w:val="21"/>
                                <w:lang w:val="en-US" w:eastAsia="zh-CN"/>
                              </w:rPr>
                            </w:pPr>
                            <w:r>
                              <w:rPr>
                                <w:rFonts w:hint="eastAsia" w:ascii="Times New Roman" w:hAnsi="Times New Roman" w:eastAsia="宋体" w:cs="Times New Roman"/>
                                <w:sz w:val="21"/>
                                <w:lang w:val="en-US" w:eastAsia="zh-CN"/>
                              </w:rPr>
                              <w:t>文件资料检查</w:t>
                            </w:r>
                          </w:p>
                        </w:txbxContent>
                      </wps:txbx>
                      <wps:bodyPr upright="1"/>
                    </wps:wsp>
                  </a:graphicData>
                </a:graphic>
              </wp:anchor>
            </w:drawing>
          </mc:Choice>
          <mc:Fallback>
            <w:pict>
              <v:shape id="_x0000_s1026" o:spid="_x0000_s1026" o:spt="202" type="#_x0000_t202" style="position:absolute;left:0pt;margin-left:176.05pt;margin-top:0.25pt;height:21pt;width:91.2pt;z-index:251675648;mso-width-relative:page;mso-height-relative:page;" fillcolor="#FFFFFF" filled="t" stroked="t" coordsize="21600,21600" o:gfxdata="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2XD2X1gAAAAcBAAAPAAAAAAAAAAEAIAAA&#10;ACIAAABkcnMvZG93bnJldi54bWxQSwECFAAUAAAACACHTuJAVN33zA4CAAA4BAAADgAAAAAAAAAB&#10;ACAAAAAlAQAAZHJzL2Uyb0RvYy54bWxQSwUGAAAAAAYABgBZAQAApQUAAAAA&#10;">
                <v:fill on="t" focussize="0,0"/>
                <v:stroke color="#000000" joinstyle="miter"/>
                <v:imagedata o:title=""/>
                <o:lock v:ext="edit" aspectratio="f"/>
                <v:textbox>
                  <w:txbxContent>
                    <w:p w14:paraId="65E14E91">
                      <w:pPr>
                        <w:spacing w:line="240" w:lineRule="auto"/>
                        <w:ind w:left="0" w:leftChars="0" w:firstLine="0" w:firstLineChars="0"/>
                        <w:jc w:val="center"/>
                        <w:rPr>
                          <w:rFonts w:hint="default" w:ascii="Times New Roman" w:hAnsi="Times New Roman" w:eastAsia="宋体" w:cs="Times New Roman"/>
                          <w:sz w:val="21"/>
                          <w:lang w:val="en-US" w:eastAsia="zh-CN"/>
                        </w:rPr>
                      </w:pPr>
                      <w:r>
                        <w:rPr>
                          <w:rFonts w:hint="eastAsia" w:ascii="Times New Roman" w:hAnsi="Times New Roman" w:eastAsia="宋体" w:cs="Times New Roman"/>
                          <w:sz w:val="21"/>
                          <w:lang w:val="en-US" w:eastAsia="zh-CN"/>
                        </w:rPr>
                        <w:t>文件资料检查</w:t>
                      </w:r>
                    </w:p>
                  </w:txbxContent>
                </v:textbox>
              </v:shape>
            </w:pict>
          </mc:Fallback>
        </mc:AlternateContent>
      </w:r>
    </w:p>
    <w:p w14:paraId="02F41B6E">
      <w:pPr>
        <w:spacing w:line="600" w:lineRule="exact"/>
        <w:ind w:firstLine="0" w:firstLineChars="0"/>
        <w:rPr>
          <w:rFonts w:hint="eastAsia" w:ascii="Times New Roman" w:hAnsi="Times New Roman" w:eastAsia="宋体" w:cs="Times New Roman"/>
          <w:color w:val="auto"/>
          <w:sz w:val="28"/>
          <w:szCs w:val="28"/>
        </w:rPr>
      </w:pPr>
      <w:r>
        <w:rPr>
          <w:rFonts w:ascii="Times New Roman" w:hAnsi="Times New Roman" w:eastAsia="宋体" w:cs="Times New Roman"/>
          <w:color w:val="auto"/>
          <w:sz w:val="28"/>
        </w:rPr>
        <mc:AlternateContent>
          <mc:Choice Requires="wps">
            <w:drawing>
              <wp:anchor distT="0" distB="0" distL="114300" distR="114300" simplePos="0" relativeHeight="251671552" behindDoc="0" locked="0" layoutInCell="1" allowOverlap="1">
                <wp:simplePos x="0" y="0"/>
                <wp:positionH relativeFrom="column">
                  <wp:posOffset>1486535</wp:posOffset>
                </wp:positionH>
                <wp:positionV relativeFrom="paragraph">
                  <wp:posOffset>224790</wp:posOffset>
                </wp:positionV>
                <wp:extent cx="759460" cy="7620"/>
                <wp:effectExtent l="0" t="48260" r="2540" b="58420"/>
                <wp:wrapNone/>
                <wp:docPr id="52" name="直接连接符 52"/>
                <wp:cNvGraphicFramePr/>
                <a:graphic xmlns:a="http://schemas.openxmlformats.org/drawingml/2006/main">
                  <a:graphicData uri="http://schemas.microsoft.com/office/word/2010/wordprocessingShape">
                    <wps:wsp>
                      <wps:cNvCnPr/>
                      <wps:spPr>
                        <a:xfrm flipV="1">
                          <a:off x="0" y="0"/>
                          <a:ext cx="759460" cy="762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flip:y;margin-left:117.05pt;margin-top:17.7pt;height:0.6pt;width:59.8pt;z-index:251671552;mso-width-relative:page;mso-height-relative:page;" filled="f" stroked="t" coordsize="21600,21600" o:gfxdata="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7k/ar2QAAAAkBAAAPAAAAAAAAAAEAIAAAACIA&#10;AABkcnMvZG93bnJldi54bWxQSwECFAAUAAAACACHTuJATejjZwgCAADzAwAADgAAAAAAAAABACAA&#10;AAAoAQAAZHJzL2Uyb0RvYy54bWxQSwUGAAAAAAYABgBZAQAAogUAAAAA&#10;">
                <v:fill on="f" focussize="0,0"/>
                <v:stroke color="#000000" joinstyle="round" endarrow="open"/>
                <v:imagedata o:title=""/>
                <o:lock v:ext="edit" aspectratio="f"/>
              </v:line>
            </w:pict>
          </mc:Fallback>
        </mc:AlternateContent>
      </w:r>
      <w:r>
        <w:rPr>
          <w:rFonts w:ascii="Times New Roman" w:hAnsi="Times New Roman" w:eastAsia="宋体" w:cs="Times New Roman"/>
          <w:color w:val="auto"/>
          <w:sz w:val="28"/>
        </w:rPr>
        <mc:AlternateContent>
          <mc:Choice Requires="wps">
            <w:drawing>
              <wp:anchor distT="0" distB="0" distL="114300" distR="114300" simplePos="0" relativeHeight="251678720" behindDoc="0" locked="0" layoutInCell="1" allowOverlap="1">
                <wp:simplePos x="0" y="0"/>
                <wp:positionH relativeFrom="column">
                  <wp:posOffset>803910</wp:posOffset>
                </wp:positionH>
                <wp:positionV relativeFrom="paragraph">
                  <wp:posOffset>367030</wp:posOffset>
                </wp:positionV>
                <wp:extent cx="14605" cy="990600"/>
                <wp:effectExtent l="47625" t="0" r="52070" b="0"/>
                <wp:wrapNone/>
                <wp:docPr id="37" name="直接连接符 37"/>
                <wp:cNvGraphicFramePr/>
                <a:graphic xmlns:a="http://schemas.openxmlformats.org/drawingml/2006/main">
                  <a:graphicData uri="http://schemas.microsoft.com/office/word/2010/wordprocessingShape">
                    <wps:wsp>
                      <wps:cNvCnPr/>
                      <wps:spPr>
                        <a:xfrm flipH="1">
                          <a:off x="0" y="0"/>
                          <a:ext cx="14605" cy="99060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flip:x;margin-left:63.3pt;margin-top:28.9pt;height:78pt;width:1.15pt;z-index:251678720;mso-width-relative:page;mso-height-relative:page;" filled="f" stroked="t" coordsize="21600,21600" o:gfxdata="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V5RjsdgAAAAKAQAADwAAAAAAAAABACAAAAAiAAAA&#10;ZHJzL2Rvd25yZXYueG1sUEsBAhQAFAAAAAgAh07iQFJhP+sHAgAA9AMAAA4AAAAAAAAAAQAgAAAA&#10;JwEAAGRycy9lMm9Eb2MueG1sUEsFBgAAAAAGAAYAWQEAAKAFAAAAAA==&#10;">
                <v:fill on="f" focussize="0,0"/>
                <v:stroke color="#000000" joinstyle="round" endarrow="open"/>
                <v:imagedata o:title=""/>
                <o:lock v:ext="edit" aspectratio="f"/>
              </v:line>
            </w:pict>
          </mc:Fallback>
        </mc:AlternateContent>
      </w:r>
      <w:r>
        <w:rPr>
          <w:rFonts w:ascii="Times New Roman" w:hAnsi="Times New Roman" w:eastAsia="宋体" w:cs="Times New Roman"/>
          <w:color w:val="auto"/>
          <w:sz w:val="28"/>
        </w:rPr>
        <mc:AlternateContent>
          <mc:Choice Requires="wps">
            <w:drawing>
              <wp:anchor distT="0" distB="0" distL="114300" distR="114300" simplePos="0" relativeHeight="251670528" behindDoc="0" locked="0" layoutInCell="1" allowOverlap="1">
                <wp:simplePos x="0" y="0"/>
                <wp:positionH relativeFrom="column">
                  <wp:posOffset>147955</wp:posOffset>
                </wp:positionH>
                <wp:positionV relativeFrom="paragraph">
                  <wp:posOffset>55880</wp:posOffset>
                </wp:positionV>
                <wp:extent cx="1333500" cy="305435"/>
                <wp:effectExtent l="4445" t="4445" r="14605" b="13970"/>
                <wp:wrapNone/>
                <wp:docPr id="43" name="文本框 43"/>
                <wp:cNvGraphicFramePr/>
                <a:graphic xmlns:a="http://schemas.openxmlformats.org/drawingml/2006/main">
                  <a:graphicData uri="http://schemas.microsoft.com/office/word/2010/wordprocessingShape">
                    <wps:wsp>
                      <wps:cNvSpPr txBox="1"/>
                      <wps:spPr>
                        <a:xfrm>
                          <a:off x="0" y="0"/>
                          <a:ext cx="1333500" cy="30543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910E782">
                            <w:pPr>
                              <w:spacing w:line="240" w:lineRule="auto"/>
                              <w:ind w:firstLine="0" w:firstLineChars="0"/>
                              <w:jc w:val="center"/>
                              <w:rPr>
                                <w:rFonts w:hint="default" w:ascii="Times New Roman" w:hAnsi="Times New Roman" w:eastAsia="宋体" w:cs="Times New Roman"/>
                                <w:sz w:val="21"/>
                                <w:lang w:val="en-US" w:eastAsia="zh-CN"/>
                              </w:rPr>
                            </w:pPr>
                            <w:r>
                              <w:rPr>
                                <w:rFonts w:hint="eastAsia" w:ascii="Times New Roman" w:hAnsi="Times New Roman" w:eastAsia="宋体" w:cs="Times New Roman"/>
                                <w:sz w:val="21"/>
                                <w:lang w:val="en-US" w:eastAsia="zh-CN"/>
                              </w:rPr>
                              <w:t>现场检查</w:t>
                            </w:r>
                          </w:p>
                        </w:txbxContent>
                      </wps:txbx>
                      <wps:bodyPr upright="1"/>
                    </wps:wsp>
                  </a:graphicData>
                </a:graphic>
              </wp:anchor>
            </w:drawing>
          </mc:Choice>
          <mc:Fallback>
            <w:pict>
              <v:shape id="_x0000_s1026" o:spid="_x0000_s1026" o:spt="202" type="#_x0000_t202" style="position:absolute;left:0pt;margin-left:11.65pt;margin-top:4.4pt;height:24.05pt;width:105pt;z-index:251670528;mso-width-relative:page;mso-height-relative:page;" fillcolor="#FFFFFF" filled="t" stroked="t" coordsize="21600,21600" o:gfxdata="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DkaB+bVAAAABwEAAA8AAAAAAAAAAQAgAAAAIgAA&#10;AGRycy9kb3ducmV2LnhtbFBLAQIUABQAAAAIAIdO4kAjBK9rCwIAADgEAAAOAAAAAAAAAAEAIAAA&#10;ACQBAABkcnMvZTJvRG9jLnhtbFBLBQYAAAAABgAGAFkBAAChBQAAAAA=&#10;">
                <v:fill on="t" focussize="0,0"/>
                <v:stroke color="#000000" joinstyle="miter"/>
                <v:imagedata o:title=""/>
                <o:lock v:ext="edit" aspectratio="f"/>
                <v:textbox>
                  <w:txbxContent>
                    <w:p w14:paraId="1910E782">
                      <w:pPr>
                        <w:spacing w:line="240" w:lineRule="auto"/>
                        <w:ind w:firstLine="0" w:firstLineChars="0"/>
                        <w:jc w:val="center"/>
                        <w:rPr>
                          <w:rFonts w:hint="default" w:ascii="Times New Roman" w:hAnsi="Times New Roman" w:eastAsia="宋体" w:cs="Times New Roman"/>
                          <w:sz w:val="21"/>
                          <w:lang w:val="en-US" w:eastAsia="zh-CN"/>
                        </w:rPr>
                      </w:pPr>
                      <w:r>
                        <w:rPr>
                          <w:rFonts w:hint="eastAsia" w:ascii="Times New Roman" w:hAnsi="Times New Roman" w:eastAsia="宋体" w:cs="Times New Roman"/>
                          <w:sz w:val="21"/>
                          <w:lang w:val="en-US" w:eastAsia="zh-CN"/>
                        </w:rPr>
                        <w:t>现场检查</w:t>
                      </w:r>
                    </w:p>
                  </w:txbxContent>
                </v:textbox>
              </v:shape>
            </w:pict>
          </mc:Fallback>
        </mc:AlternateContent>
      </w:r>
      <w:r>
        <w:rPr>
          <w:rFonts w:ascii="Times New Roman" w:hAnsi="Times New Roman" w:eastAsia="宋体" w:cs="Times New Roman"/>
          <w:color w:val="auto"/>
          <w:sz w:val="28"/>
        </w:rPr>
        <mc:AlternateContent>
          <mc:Choice Requires="wps">
            <w:drawing>
              <wp:anchor distT="0" distB="0" distL="114300" distR="114300" simplePos="0" relativeHeight="251676672" behindDoc="0" locked="0" layoutInCell="1" allowOverlap="1">
                <wp:simplePos x="0" y="0"/>
                <wp:positionH relativeFrom="column">
                  <wp:posOffset>2220595</wp:posOffset>
                </wp:positionH>
                <wp:positionV relativeFrom="paragraph">
                  <wp:posOffset>64135</wp:posOffset>
                </wp:positionV>
                <wp:extent cx="1203960" cy="304800"/>
                <wp:effectExtent l="4445" t="5080" r="10795" b="13970"/>
                <wp:wrapNone/>
                <wp:docPr id="42" name="文本框 42"/>
                <wp:cNvGraphicFramePr/>
                <a:graphic xmlns:a="http://schemas.openxmlformats.org/drawingml/2006/main">
                  <a:graphicData uri="http://schemas.microsoft.com/office/word/2010/wordprocessingShape">
                    <wps:wsp>
                      <wps:cNvSpPr txBox="1"/>
                      <wps:spPr>
                        <a:xfrm>
                          <a:off x="0" y="0"/>
                          <a:ext cx="1203960" cy="3048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C54672D">
                            <w:pPr>
                              <w:spacing w:line="240" w:lineRule="auto"/>
                              <w:ind w:left="0" w:leftChars="0" w:firstLine="0" w:firstLineChars="0"/>
                              <w:jc w:val="center"/>
                              <w:rPr>
                                <w:rFonts w:hint="default" w:ascii="Times New Roman" w:hAnsi="Times New Roman" w:eastAsia="宋体" w:cs="Times New Roman"/>
                                <w:sz w:val="21"/>
                                <w:lang w:val="en-US" w:eastAsia="zh-CN"/>
                              </w:rPr>
                            </w:pPr>
                            <w:r>
                              <w:rPr>
                                <w:rFonts w:hint="eastAsia" w:ascii="Times New Roman" w:hAnsi="Times New Roman" w:eastAsia="宋体" w:cs="Times New Roman"/>
                                <w:sz w:val="21"/>
                                <w:lang w:val="en-US" w:eastAsia="zh-CN"/>
                              </w:rPr>
                              <w:t>库区现场检查</w:t>
                            </w:r>
                          </w:p>
                        </w:txbxContent>
                      </wps:txbx>
                      <wps:bodyPr upright="1"/>
                    </wps:wsp>
                  </a:graphicData>
                </a:graphic>
              </wp:anchor>
            </w:drawing>
          </mc:Choice>
          <mc:Fallback>
            <w:pict>
              <v:shape id="_x0000_s1026" o:spid="_x0000_s1026" o:spt="202" type="#_x0000_t202" style="position:absolute;left:0pt;margin-left:174.85pt;margin-top:5.05pt;height:24pt;width:94.8pt;z-index:251676672;mso-width-relative:page;mso-height-relative:page;" fillcolor="#FFFFFF" filled="t" stroked="t" coordsize="21600,21600" o:gfxdata="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AGb2NTYAAAACQEAAA8AAAAAAAAAAQAg&#10;AAAAIgAAAGRycy9kb3ducmV2LnhtbFBLAQIUABQAAAAIAIdO4kBbpehMDgIAADgEAAAOAAAAAAAA&#10;AAEAIAAAACcBAABkcnMvZTJvRG9jLnhtbFBLBQYAAAAABgAGAFkBAACnBQAAAAA=&#10;">
                <v:fill on="t" focussize="0,0"/>
                <v:stroke color="#000000" joinstyle="miter"/>
                <v:imagedata o:title=""/>
                <o:lock v:ext="edit" aspectratio="f"/>
                <v:textbox>
                  <w:txbxContent>
                    <w:p w14:paraId="7C54672D">
                      <w:pPr>
                        <w:spacing w:line="240" w:lineRule="auto"/>
                        <w:ind w:left="0" w:leftChars="0" w:firstLine="0" w:firstLineChars="0"/>
                        <w:jc w:val="center"/>
                        <w:rPr>
                          <w:rFonts w:hint="default" w:ascii="Times New Roman" w:hAnsi="Times New Roman" w:eastAsia="宋体" w:cs="Times New Roman"/>
                          <w:sz w:val="21"/>
                          <w:lang w:val="en-US" w:eastAsia="zh-CN"/>
                        </w:rPr>
                      </w:pPr>
                      <w:r>
                        <w:rPr>
                          <w:rFonts w:hint="eastAsia" w:ascii="Times New Roman" w:hAnsi="Times New Roman" w:eastAsia="宋体" w:cs="Times New Roman"/>
                          <w:sz w:val="21"/>
                          <w:lang w:val="en-US" w:eastAsia="zh-CN"/>
                        </w:rPr>
                        <w:t>库区现场检查</w:t>
                      </w:r>
                    </w:p>
                  </w:txbxContent>
                </v:textbox>
              </v:shape>
            </w:pict>
          </mc:Fallback>
        </mc:AlternateContent>
      </w:r>
    </w:p>
    <w:p w14:paraId="30118CDA">
      <w:pPr>
        <w:spacing w:line="600" w:lineRule="exact"/>
        <w:ind w:firstLine="0" w:firstLineChars="0"/>
        <w:rPr>
          <w:rFonts w:hint="eastAsia" w:ascii="Times New Roman" w:hAnsi="Times New Roman" w:eastAsia="宋体" w:cs="Times New Roman"/>
          <w:color w:val="auto"/>
          <w:sz w:val="28"/>
          <w:szCs w:val="28"/>
        </w:rPr>
      </w:pPr>
      <w:r>
        <w:rPr>
          <w:rFonts w:ascii="Times New Roman" w:hAnsi="Times New Roman" w:eastAsia="宋体" w:cs="Times New Roman"/>
          <w:color w:val="auto"/>
          <w:sz w:val="28"/>
        </w:rPr>
        <mc:AlternateContent>
          <mc:Choice Requires="wps">
            <w:drawing>
              <wp:anchor distT="0" distB="0" distL="114300" distR="114300" simplePos="0" relativeHeight="251674624" behindDoc="0" locked="0" layoutInCell="1" allowOverlap="1">
                <wp:simplePos x="0" y="0"/>
                <wp:positionH relativeFrom="column">
                  <wp:posOffset>1891030</wp:posOffset>
                </wp:positionH>
                <wp:positionV relativeFrom="paragraph">
                  <wp:posOffset>330835</wp:posOffset>
                </wp:positionV>
                <wp:extent cx="350520" cy="7620"/>
                <wp:effectExtent l="0" t="46990" r="11430" b="59690"/>
                <wp:wrapNone/>
                <wp:docPr id="51" name="直接连接符 51"/>
                <wp:cNvGraphicFramePr/>
                <a:graphic xmlns:a="http://schemas.openxmlformats.org/drawingml/2006/main">
                  <a:graphicData uri="http://schemas.microsoft.com/office/word/2010/wordprocessingShape">
                    <wps:wsp>
                      <wps:cNvCnPr/>
                      <wps:spPr>
                        <a:xfrm flipV="1">
                          <a:off x="0" y="0"/>
                          <a:ext cx="350520" cy="762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flip:y;margin-left:148.9pt;margin-top:26.05pt;height:0.6pt;width:27.6pt;z-index:251674624;mso-width-relative:page;mso-height-relative:page;" filled="f" stroked="t" coordsize="21600,21600" o:gfxdata="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XDDKw2AAAAAkBAAAPAAAAAAAAAAEAIAAAACIAAABkcnMv&#10;ZG93bnJldi54bWxQSwECFAAUAAAACACHTuJAFfrYbwMCAADzAwAADgAAAAAAAAABACAAAAAnAQAA&#10;ZHJzL2Uyb0RvYy54bWxQSwUGAAAAAAYABgBZAQAAnAUAAAAA&#10;">
                <v:fill on="f" focussize="0,0"/>
                <v:stroke color="#000000" joinstyle="round" endarrow="open"/>
                <v:imagedata o:title=""/>
                <o:lock v:ext="edit" aspectratio="f"/>
              </v:line>
            </w:pict>
          </mc:Fallback>
        </mc:AlternateContent>
      </w:r>
      <w:r>
        <w:rPr>
          <w:rFonts w:ascii="Times New Roman" w:hAnsi="Times New Roman" w:eastAsia="宋体" w:cs="Times New Roman"/>
          <w:color w:val="auto"/>
          <w:sz w:val="28"/>
        </w:rPr>
        <mc:AlternateContent>
          <mc:Choice Requires="wps">
            <w:drawing>
              <wp:anchor distT="0" distB="0" distL="114300" distR="114300" simplePos="0" relativeHeight="251677696" behindDoc="0" locked="0" layoutInCell="1" allowOverlap="1">
                <wp:simplePos x="0" y="0"/>
                <wp:positionH relativeFrom="column">
                  <wp:posOffset>2266315</wp:posOffset>
                </wp:positionH>
                <wp:positionV relativeFrom="paragraph">
                  <wp:posOffset>155575</wp:posOffset>
                </wp:positionV>
                <wp:extent cx="1348740" cy="281940"/>
                <wp:effectExtent l="4445" t="4445" r="18415" b="18415"/>
                <wp:wrapNone/>
                <wp:docPr id="45" name="文本框 45"/>
                <wp:cNvGraphicFramePr/>
                <a:graphic xmlns:a="http://schemas.openxmlformats.org/drawingml/2006/main">
                  <a:graphicData uri="http://schemas.microsoft.com/office/word/2010/wordprocessingShape">
                    <wps:wsp>
                      <wps:cNvSpPr txBox="1"/>
                      <wps:spPr>
                        <a:xfrm>
                          <a:off x="0" y="0"/>
                          <a:ext cx="1348740" cy="28194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8A24362">
                            <w:pPr>
                              <w:spacing w:line="240" w:lineRule="auto"/>
                              <w:ind w:firstLine="0" w:firstLineChars="0"/>
                              <w:jc w:val="center"/>
                              <w:rPr>
                                <w:rFonts w:hint="default" w:ascii="Times New Roman" w:hAnsi="Times New Roman" w:eastAsia="宋体" w:cs="Times New Roman"/>
                                <w:sz w:val="21"/>
                                <w:lang w:val="en-US" w:eastAsia="zh-CN"/>
                              </w:rPr>
                            </w:pPr>
                            <w:r>
                              <w:rPr>
                                <w:rFonts w:hint="eastAsia" w:ascii="Times New Roman" w:hAnsi="Times New Roman" w:eastAsia="宋体" w:cs="Times New Roman"/>
                                <w:sz w:val="21"/>
                                <w:lang w:val="en-US" w:eastAsia="zh-CN"/>
                              </w:rPr>
                              <w:t>提交初步检查结果</w:t>
                            </w:r>
                          </w:p>
                        </w:txbxContent>
                      </wps:txbx>
                      <wps:bodyPr upright="1"/>
                    </wps:wsp>
                  </a:graphicData>
                </a:graphic>
              </wp:anchor>
            </w:drawing>
          </mc:Choice>
          <mc:Fallback>
            <w:pict>
              <v:shape id="_x0000_s1026" o:spid="_x0000_s1026" o:spt="202" type="#_x0000_t202" style="position:absolute;left:0pt;margin-left:178.45pt;margin-top:12.25pt;height:22.2pt;width:106.2pt;z-index:251677696;mso-width-relative:page;mso-height-relative:page;" fillcolor="#FFFFFF" filled="t" stroked="t" coordsize="21600,21600" o:gfxdata="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JL6CkDYAAAACQEAAA8AAAAAAAAAAQAgAAAA&#10;IgAAAGRycy9kb3ducmV2LnhtbFBLAQIUABQAAAAIAIdO4kCaQmpdCwIAADgEAAAOAAAAAAAAAAEA&#10;IAAAACcBAABkcnMvZTJvRG9jLnhtbFBLBQYAAAAABgAGAFkBAACkBQAAAAA=&#10;">
                <v:fill on="t" focussize="0,0"/>
                <v:stroke color="#000000" joinstyle="miter"/>
                <v:imagedata o:title=""/>
                <o:lock v:ext="edit" aspectratio="f"/>
                <v:textbox>
                  <w:txbxContent>
                    <w:p w14:paraId="68A24362">
                      <w:pPr>
                        <w:spacing w:line="240" w:lineRule="auto"/>
                        <w:ind w:firstLine="0" w:firstLineChars="0"/>
                        <w:jc w:val="center"/>
                        <w:rPr>
                          <w:rFonts w:hint="default" w:ascii="Times New Roman" w:hAnsi="Times New Roman" w:eastAsia="宋体" w:cs="Times New Roman"/>
                          <w:sz w:val="21"/>
                          <w:lang w:val="en-US" w:eastAsia="zh-CN"/>
                        </w:rPr>
                      </w:pPr>
                      <w:r>
                        <w:rPr>
                          <w:rFonts w:hint="eastAsia" w:ascii="Times New Roman" w:hAnsi="Times New Roman" w:eastAsia="宋体" w:cs="Times New Roman"/>
                          <w:sz w:val="21"/>
                          <w:lang w:val="en-US" w:eastAsia="zh-CN"/>
                        </w:rPr>
                        <w:t>提交初步检查结果</w:t>
                      </w:r>
                    </w:p>
                  </w:txbxContent>
                </v:textbox>
              </v:shape>
            </w:pict>
          </mc:Fallback>
        </mc:AlternateContent>
      </w:r>
    </w:p>
    <w:p w14:paraId="3A632152">
      <w:pPr>
        <w:spacing w:line="600" w:lineRule="exact"/>
        <w:ind w:firstLine="0" w:firstLineChars="0"/>
        <w:rPr>
          <w:rFonts w:hint="eastAsia" w:ascii="Times New Roman" w:hAnsi="Times New Roman" w:eastAsia="宋体" w:cs="Times New Roman"/>
          <w:color w:val="auto"/>
          <w:sz w:val="28"/>
          <w:szCs w:val="28"/>
        </w:rPr>
      </w:pPr>
      <w:r>
        <w:rPr>
          <w:rFonts w:ascii="Times New Roman" w:hAnsi="Times New Roman" w:eastAsia="宋体" w:cs="Times New Roman"/>
          <w:color w:val="auto"/>
          <w:sz w:val="28"/>
        </w:rPr>
        <mc:AlternateContent>
          <mc:Choice Requires="wps">
            <w:drawing>
              <wp:anchor distT="0" distB="0" distL="114300" distR="114300" simplePos="0" relativeHeight="251679744" behindDoc="0" locked="0" layoutInCell="1" allowOverlap="1">
                <wp:simplePos x="0" y="0"/>
                <wp:positionH relativeFrom="column">
                  <wp:posOffset>2334895</wp:posOffset>
                </wp:positionH>
                <wp:positionV relativeFrom="paragraph">
                  <wp:posOffset>342265</wp:posOffset>
                </wp:positionV>
                <wp:extent cx="1219200" cy="259080"/>
                <wp:effectExtent l="4445" t="4445" r="14605" b="22225"/>
                <wp:wrapNone/>
                <wp:docPr id="53" name="文本框 53"/>
                <wp:cNvGraphicFramePr/>
                <a:graphic xmlns:a="http://schemas.openxmlformats.org/drawingml/2006/main">
                  <a:graphicData uri="http://schemas.microsoft.com/office/word/2010/wordprocessingShape">
                    <wps:wsp>
                      <wps:cNvSpPr txBox="1"/>
                      <wps:spPr>
                        <a:xfrm>
                          <a:off x="0" y="0"/>
                          <a:ext cx="1219200" cy="2590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7E9048E">
                            <w:pPr>
                              <w:spacing w:line="240" w:lineRule="auto"/>
                              <w:ind w:firstLine="0" w:firstLineChars="0"/>
                              <w:jc w:val="center"/>
                              <w:rPr>
                                <w:rFonts w:hint="default" w:ascii="Times New Roman" w:hAnsi="Times New Roman" w:eastAsia="宋体" w:cs="Times New Roman"/>
                                <w:sz w:val="21"/>
                                <w:lang w:val="en-US" w:eastAsia="zh-CN"/>
                              </w:rPr>
                            </w:pPr>
                            <w:r>
                              <w:rPr>
                                <w:rFonts w:hint="eastAsia" w:ascii="Times New Roman" w:hAnsi="Times New Roman" w:eastAsia="宋体" w:cs="Times New Roman"/>
                                <w:sz w:val="21"/>
                                <w:lang w:val="en-US" w:eastAsia="zh-CN"/>
                              </w:rPr>
                              <w:t>分组计论</w:t>
                            </w:r>
                          </w:p>
                        </w:txbxContent>
                      </wps:txbx>
                      <wps:bodyPr upright="1"/>
                    </wps:wsp>
                  </a:graphicData>
                </a:graphic>
              </wp:anchor>
            </w:drawing>
          </mc:Choice>
          <mc:Fallback>
            <w:pict>
              <v:shape id="_x0000_s1026" o:spid="_x0000_s1026" o:spt="202" type="#_x0000_t202" style="position:absolute;left:0pt;margin-left:183.85pt;margin-top:26.95pt;height:20.4pt;width:96pt;z-index:251679744;mso-width-relative:page;mso-height-relative:page;" fillcolor="#FFFFFF" filled="t" stroked="t" coordsize="21600,21600" o:gfxdata="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G84uw2QAAAAkBAAAPAAAAAAAAAAEA&#10;IAAAACIAAABkcnMvZG93bnJldi54bWxQSwECFAAUAAAACACHTuJAYvCH0A4CAAA4BAAADgAAAAAA&#10;AAABACAAAAAoAQAAZHJzL2Uyb0RvYy54bWxQSwUGAAAAAAYABgBZAQAAqAUAAAAA&#10;">
                <v:fill on="t" focussize="0,0"/>
                <v:stroke color="#000000" joinstyle="miter"/>
                <v:imagedata o:title=""/>
                <o:lock v:ext="edit" aspectratio="f"/>
                <v:textbox>
                  <w:txbxContent>
                    <w:p w14:paraId="67E9048E">
                      <w:pPr>
                        <w:spacing w:line="240" w:lineRule="auto"/>
                        <w:ind w:firstLine="0" w:firstLineChars="0"/>
                        <w:jc w:val="center"/>
                        <w:rPr>
                          <w:rFonts w:hint="default" w:ascii="Times New Roman" w:hAnsi="Times New Roman" w:eastAsia="宋体" w:cs="Times New Roman"/>
                          <w:sz w:val="21"/>
                          <w:lang w:val="en-US" w:eastAsia="zh-CN"/>
                        </w:rPr>
                      </w:pPr>
                      <w:r>
                        <w:rPr>
                          <w:rFonts w:hint="eastAsia" w:ascii="Times New Roman" w:hAnsi="Times New Roman" w:eastAsia="宋体" w:cs="Times New Roman"/>
                          <w:sz w:val="21"/>
                          <w:lang w:val="en-US" w:eastAsia="zh-CN"/>
                        </w:rPr>
                        <w:t>分组计论</w:t>
                      </w:r>
                    </w:p>
                  </w:txbxContent>
                </v:textbox>
              </v:shape>
            </w:pict>
          </mc:Fallback>
        </mc:AlternateContent>
      </w:r>
    </w:p>
    <w:p w14:paraId="25455E4D">
      <w:pPr>
        <w:spacing w:line="600" w:lineRule="exact"/>
        <w:ind w:firstLine="0" w:firstLineChars="0"/>
        <w:rPr>
          <w:rFonts w:hint="eastAsia" w:ascii="Times New Roman" w:hAnsi="Times New Roman" w:eastAsia="宋体" w:cs="Times New Roman"/>
          <w:color w:val="auto"/>
          <w:sz w:val="28"/>
          <w:szCs w:val="28"/>
        </w:rPr>
      </w:pPr>
      <w:r>
        <w:rPr>
          <w:rFonts w:ascii="Times New Roman" w:hAnsi="Times New Roman" w:eastAsia="宋体" w:cs="Times New Roman"/>
          <w:color w:val="auto"/>
          <w:sz w:val="28"/>
        </w:rPr>
        <mc:AlternateContent>
          <mc:Choice Requires="wps">
            <w:drawing>
              <wp:anchor distT="0" distB="0" distL="114300" distR="114300" simplePos="0" relativeHeight="251684864" behindDoc="0" locked="0" layoutInCell="1" allowOverlap="1">
                <wp:simplePos x="0" y="0"/>
                <wp:positionH relativeFrom="column">
                  <wp:posOffset>1441450</wp:posOffset>
                </wp:positionH>
                <wp:positionV relativeFrom="paragraph">
                  <wp:posOffset>316865</wp:posOffset>
                </wp:positionV>
                <wp:extent cx="497205" cy="635"/>
                <wp:effectExtent l="0" t="0" r="0" b="0"/>
                <wp:wrapNone/>
                <wp:docPr id="35" name="直接连接符 35"/>
                <wp:cNvGraphicFramePr/>
                <a:graphic xmlns:a="http://schemas.openxmlformats.org/drawingml/2006/main">
                  <a:graphicData uri="http://schemas.microsoft.com/office/word/2010/wordprocessingShape">
                    <wps:wsp>
                      <wps:cNvCnPr/>
                      <wps:spPr>
                        <a:xfrm flipH="1">
                          <a:off x="0" y="0"/>
                          <a:ext cx="497205"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x;margin-left:113.5pt;margin-top:24.95pt;height:0.05pt;width:39.15pt;z-index:251684864;mso-width-relative:page;mso-height-relative:page;" filled="f" stroked="t" coordsize="21600,21600" o:gfxdata="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RXLK+NcAAAAJAQAADwAAAAAAAAABACAAAAAiAAAAZHJzL2Rvd25y&#10;ZXYueG1sUEsBAhQAFAAAAAgAh07iQBEvCKn/AQAA8QMAAA4AAAAAAAAAAQAgAAAAJgEAAGRycy9l&#10;Mm9Eb2MueG1sUEsFBgAAAAAGAAYAWQEAAJcFAAAAAA==&#10;">
                <v:fill on="f" focussize="0,0"/>
                <v:stroke color="#000000" joinstyle="round"/>
                <v:imagedata o:title=""/>
                <o:lock v:ext="edit" aspectratio="f"/>
              </v:line>
            </w:pict>
          </mc:Fallback>
        </mc:AlternateContent>
      </w:r>
      <w:r>
        <w:rPr>
          <w:rFonts w:ascii="Times New Roman" w:hAnsi="Times New Roman" w:eastAsia="宋体" w:cs="Times New Roman"/>
          <w:color w:val="auto"/>
          <w:sz w:val="28"/>
        </w:rPr>
        <mc:AlternateContent>
          <mc:Choice Requires="wps">
            <w:drawing>
              <wp:anchor distT="0" distB="0" distL="114300" distR="114300" simplePos="0" relativeHeight="251685888" behindDoc="0" locked="0" layoutInCell="1" allowOverlap="1">
                <wp:simplePos x="0" y="0"/>
                <wp:positionH relativeFrom="column">
                  <wp:posOffset>115570</wp:posOffset>
                </wp:positionH>
                <wp:positionV relativeFrom="paragraph">
                  <wp:posOffset>218440</wp:posOffset>
                </wp:positionV>
                <wp:extent cx="1323340" cy="259080"/>
                <wp:effectExtent l="4445" t="4445" r="5715" b="22225"/>
                <wp:wrapNone/>
                <wp:docPr id="36" name="文本框 36"/>
                <wp:cNvGraphicFramePr/>
                <a:graphic xmlns:a="http://schemas.openxmlformats.org/drawingml/2006/main">
                  <a:graphicData uri="http://schemas.microsoft.com/office/word/2010/wordprocessingShape">
                    <wps:wsp>
                      <wps:cNvSpPr txBox="1"/>
                      <wps:spPr>
                        <a:xfrm>
                          <a:off x="0" y="0"/>
                          <a:ext cx="1323340" cy="2590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528DC4A">
                            <w:pPr>
                              <w:spacing w:line="240" w:lineRule="auto"/>
                              <w:ind w:left="0" w:leftChars="0" w:firstLine="0" w:firstLineChars="0"/>
                              <w:jc w:val="center"/>
                              <w:rPr>
                                <w:rFonts w:hint="default" w:ascii="Times New Roman" w:hAnsi="Times New Roman" w:eastAsia="宋体" w:cs="Times New Roman"/>
                                <w:sz w:val="21"/>
                                <w:lang w:val="en-US" w:eastAsia="zh-CN"/>
                              </w:rPr>
                            </w:pPr>
                            <w:r>
                              <w:rPr>
                                <w:rFonts w:hint="eastAsia" w:ascii="Times New Roman" w:hAnsi="Times New Roman" w:eastAsia="宋体" w:cs="Times New Roman"/>
                                <w:sz w:val="21"/>
                                <w:lang w:val="en-US" w:eastAsia="zh-CN"/>
                              </w:rPr>
                              <w:t>安全评估</w:t>
                            </w:r>
                          </w:p>
                        </w:txbxContent>
                      </wps:txbx>
                      <wps:bodyPr upright="1"/>
                    </wps:wsp>
                  </a:graphicData>
                </a:graphic>
              </wp:anchor>
            </w:drawing>
          </mc:Choice>
          <mc:Fallback>
            <w:pict>
              <v:shape id="_x0000_s1026" o:spid="_x0000_s1026" o:spt="202" type="#_x0000_t202" style="position:absolute;left:0pt;margin-left:9.1pt;margin-top:17.2pt;height:20.4pt;width:104.2pt;z-index:251685888;mso-width-relative:page;mso-height-relative:page;" fillcolor="#FFFFFF" filled="t" stroked="t" coordsize="21600,21600" o:gfxdata="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bCP7l2AAAAAgBAAAPAAAAAAAAAAEA&#10;IAAAACIAAABkcnMvZG93bnJldi54bWxQSwECFAAUAAAACACHTuJAXG7tdQ8CAAA4BAAADgAAAAAA&#10;AAABACAAAAAnAQAAZHJzL2Uyb0RvYy54bWxQSwUGAAAAAAYABgBZAQAAqAUAAAAA&#10;">
                <v:fill on="t" focussize="0,0"/>
                <v:stroke color="#000000" joinstyle="miter"/>
                <v:imagedata o:title=""/>
                <o:lock v:ext="edit" aspectratio="f"/>
                <v:textbox>
                  <w:txbxContent>
                    <w:p w14:paraId="3528DC4A">
                      <w:pPr>
                        <w:spacing w:line="240" w:lineRule="auto"/>
                        <w:ind w:left="0" w:leftChars="0" w:firstLine="0" w:firstLineChars="0"/>
                        <w:jc w:val="center"/>
                        <w:rPr>
                          <w:rFonts w:hint="default" w:ascii="Times New Roman" w:hAnsi="Times New Roman" w:eastAsia="宋体" w:cs="Times New Roman"/>
                          <w:sz w:val="21"/>
                          <w:lang w:val="en-US" w:eastAsia="zh-CN"/>
                        </w:rPr>
                      </w:pPr>
                      <w:r>
                        <w:rPr>
                          <w:rFonts w:hint="eastAsia" w:ascii="Times New Roman" w:hAnsi="Times New Roman" w:eastAsia="宋体" w:cs="Times New Roman"/>
                          <w:sz w:val="21"/>
                          <w:lang w:val="en-US" w:eastAsia="zh-CN"/>
                        </w:rPr>
                        <w:t>安全评估</w:t>
                      </w:r>
                    </w:p>
                  </w:txbxContent>
                </v:textbox>
              </v:shape>
            </w:pict>
          </mc:Fallback>
        </mc:AlternateContent>
      </w:r>
      <w:r>
        <w:rPr>
          <w:rFonts w:ascii="Times New Roman" w:hAnsi="Times New Roman" w:eastAsia="宋体" w:cs="Times New Roman"/>
          <w:color w:val="auto"/>
          <w:sz w:val="28"/>
        </w:rPr>
        <mc:AlternateContent>
          <mc:Choice Requires="wps">
            <w:drawing>
              <wp:anchor distT="0" distB="0" distL="114300" distR="114300" simplePos="0" relativeHeight="251683840" behindDoc="0" locked="0" layoutInCell="1" allowOverlap="1">
                <wp:simplePos x="0" y="0"/>
                <wp:positionH relativeFrom="column">
                  <wp:posOffset>1931035</wp:posOffset>
                </wp:positionH>
                <wp:positionV relativeFrom="paragraph">
                  <wp:posOffset>75565</wp:posOffset>
                </wp:positionV>
                <wp:extent cx="7620" cy="487680"/>
                <wp:effectExtent l="4445" t="0" r="6985" b="7620"/>
                <wp:wrapNone/>
                <wp:docPr id="33" name="直接连接符 33"/>
                <wp:cNvGraphicFramePr/>
                <a:graphic xmlns:a="http://schemas.openxmlformats.org/drawingml/2006/main">
                  <a:graphicData uri="http://schemas.microsoft.com/office/word/2010/wordprocessingShape">
                    <wps:wsp>
                      <wps:cNvCnPr/>
                      <wps:spPr>
                        <a:xfrm>
                          <a:off x="0" y="0"/>
                          <a:ext cx="7620" cy="48768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52.05pt;margin-top:5.95pt;height:38.4pt;width:0.6pt;z-index:251683840;mso-width-relative:page;mso-height-relative:page;" filled="f" stroked="t" coordsize="21600,21600" o:gfxdata="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2wq/S1wAAAAkBAAAPAAAAAAAAAAEAIAAAACIAAABkcnMvZG93bnJldi54&#10;bWxQSwECFAAUAAAACACHTuJA9XVchvsBAADoAwAADgAAAAAAAAABACAAAAAmAQAAZHJzL2Uyb0Rv&#10;Yy54bWxQSwUGAAAAAAYABgBZAQAAkwUAAAAA&#10;">
                <v:fill on="f" focussize="0,0"/>
                <v:stroke color="#000000" joinstyle="round"/>
                <v:imagedata o:title=""/>
                <o:lock v:ext="edit" aspectratio="f"/>
              </v:line>
            </w:pict>
          </mc:Fallback>
        </mc:AlternateContent>
      </w:r>
      <w:r>
        <w:rPr>
          <w:rFonts w:ascii="Times New Roman" w:hAnsi="Times New Roman" w:eastAsia="宋体" w:cs="Times New Roman"/>
          <w:color w:val="auto"/>
          <w:sz w:val="28"/>
        </w:rPr>
        <mc:AlternateContent>
          <mc:Choice Requires="wps">
            <w:drawing>
              <wp:anchor distT="0" distB="0" distL="114300" distR="114300" simplePos="0" relativeHeight="251681792" behindDoc="0" locked="0" layoutInCell="1" allowOverlap="1">
                <wp:simplePos x="0" y="0"/>
                <wp:positionH relativeFrom="column">
                  <wp:posOffset>1931035</wp:posOffset>
                </wp:positionH>
                <wp:positionV relativeFrom="paragraph">
                  <wp:posOffset>75565</wp:posOffset>
                </wp:positionV>
                <wp:extent cx="403860" cy="7620"/>
                <wp:effectExtent l="0" t="47625" r="15240" b="59055"/>
                <wp:wrapNone/>
                <wp:docPr id="46" name="直接连接符 46"/>
                <wp:cNvGraphicFramePr/>
                <a:graphic xmlns:a="http://schemas.openxmlformats.org/drawingml/2006/main">
                  <a:graphicData uri="http://schemas.microsoft.com/office/word/2010/wordprocessingShape">
                    <wps:wsp>
                      <wps:cNvCnPr/>
                      <wps:spPr>
                        <a:xfrm flipV="1">
                          <a:off x="0" y="0"/>
                          <a:ext cx="403860" cy="762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flip:y;margin-left:152.05pt;margin-top:5.95pt;height:0.6pt;width:31.8pt;z-index:251681792;mso-width-relative:page;mso-height-relative:page;" filled="f" stroked="t" coordsize="21600,21600" o:gfxdata="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MZ8kX1wAAAAkBAAAPAAAAAAAAAAEAIAAAACIAAABk&#10;cnMvZG93bnJldi54bWxQSwECFAAUAAAACACHTuJAGQleFgcCAADzAwAADgAAAAAAAAABACAAAAAm&#10;AQAAZHJzL2Uyb0RvYy54bWxQSwUGAAAAAAYABgBZAQAAnwUAAAAA&#10;">
                <v:fill on="f" focussize="0,0"/>
                <v:stroke color="#000000" joinstyle="round" endarrow="open"/>
                <v:imagedata o:title=""/>
                <o:lock v:ext="edit" aspectratio="f"/>
              </v:line>
            </w:pict>
          </mc:Fallback>
        </mc:AlternateContent>
      </w:r>
    </w:p>
    <w:p w14:paraId="3E358AB4">
      <w:pPr>
        <w:spacing w:line="600" w:lineRule="exact"/>
        <w:ind w:firstLine="0" w:firstLineChars="0"/>
        <w:rPr>
          <w:rFonts w:hint="eastAsia" w:ascii="Times New Roman" w:hAnsi="Times New Roman" w:eastAsia="宋体" w:cs="Times New Roman"/>
          <w:color w:val="auto"/>
          <w:sz w:val="28"/>
          <w:szCs w:val="28"/>
        </w:rPr>
      </w:pPr>
      <w:r>
        <w:rPr>
          <w:rFonts w:ascii="Times New Roman" w:hAnsi="Times New Roman" w:eastAsia="宋体" w:cs="Times New Roman"/>
          <w:color w:val="auto"/>
          <w:sz w:val="28"/>
        </w:rPr>
        <mc:AlternateContent>
          <mc:Choice Requires="wps">
            <w:drawing>
              <wp:anchor distT="0" distB="0" distL="114300" distR="114300" simplePos="0" relativeHeight="251687936" behindDoc="0" locked="0" layoutInCell="1" allowOverlap="1">
                <wp:simplePos x="0" y="0"/>
                <wp:positionH relativeFrom="column">
                  <wp:posOffset>810895</wp:posOffset>
                </wp:positionH>
                <wp:positionV relativeFrom="paragraph">
                  <wp:posOffset>102235</wp:posOffset>
                </wp:positionV>
                <wp:extent cx="635" cy="784860"/>
                <wp:effectExtent l="48895" t="0" r="64770" b="15240"/>
                <wp:wrapNone/>
                <wp:docPr id="34" name="直接连接符 34"/>
                <wp:cNvGraphicFramePr/>
                <a:graphic xmlns:a="http://schemas.openxmlformats.org/drawingml/2006/main">
                  <a:graphicData uri="http://schemas.microsoft.com/office/word/2010/wordprocessingShape">
                    <wps:wsp>
                      <wps:cNvCnPr/>
                      <wps:spPr>
                        <a:xfrm>
                          <a:off x="0" y="0"/>
                          <a:ext cx="635" cy="78486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63.85pt;margin-top:8.05pt;height:61.8pt;width:0.05pt;z-index:251687936;mso-width-relative:page;mso-height-relative:page;" filled="f" stroked="t" coordsize="21600,21600" o:gfxdata="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UoOwH2QAAAAoBAAAPAAAAAAAAAAEAIAAAACIAAABkcnMvZG93&#10;bnJldi54bWxQSwECFAAUAAAACACHTuJA2hFr0v8BAADoAwAADgAAAAAAAAABACAAAAAoAQAAZHJz&#10;L2Uyb0RvYy54bWxQSwUGAAAAAAYABgBZAQAAmQUAAAAA&#10;">
                <v:fill on="f" focussize="0,0"/>
                <v:stroke color="#000000" joinstyle="round" endarrow="open"/>
                <v:imagedata o:title=""/>
                <o:lock v:ext="edit" aspectratio="f"/>
              </v:line>
            </w:pict>
          </mc:Fallback>
        </mc:AlternateContent>
      </w:r>
      <w:r>
        <w:rPr>
          <w:rFonts w:ascii="Times New Roman" w:hAnsi="Times New Roman" w:eastAsia="宋体" w:cs="Times New Roman"/>
          <w:color w:val="auto"/>
          <w:sz w:val="28"/>
        </w:rPr>
        <mc:AlternateContent>
          <mc:Choice Requires="wps">
            <w:drawing>
              <wp:anchor distT="0" distB="0" distL="114300" distR="114300" simplePos="0" relativeHeight="251682816" behindDoc="0" locked="0" layoutInCell="1" allowOverlap="1">
                <wp:simplePos x="0" y="0"/>
                <wp:positionH relativeFrom="column">
                  <wp:posOffset>1923415</wp:posOffset>
                </wp:positionH>
                <wp:positionV relativeFrom="paragraph">
                  <wp:posOffset>189865</wp:posOffset>
                </wp:positionV>
                <wp:extent cx="373380" cy="635"/>
                <wp:effectExtent l="0" t="48895" r="7620" b="64770"/>
                <wp:wrapNone/>
                <wp:docPr id="48" name="直接连接符 48"/>
                <wp:cNvGraphicFramePr/>
                <a:graphic xmlns:a="http://schemas.openxmlformats.org/drawingml/2006/main">
                  <a:graphicData uri="http://schemas.microsoft.com/office/word/2010/wordprocessingShape">
                    <wps:wsp>
                      <wps:cNvCnPr/>
                      <wps:spPr>
                        <a:xfrm>
                          <a:off x="0" y="0"/>
                          <a:ext cx="373380" cy="63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151.45pt;margin-top:14.95pt;height:0.05pt;width:29.4pt;z-index:251682816;mso-width-relative:page;mso-height-relative:page;" filled="f" stroked="t" coordsize="21600,21600" o:gfxdata="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42rXp2QAAAAkBAAAPAAAAAAAAAAEAIAAAACIAAABkcnMvZG93bnJl&#10;di54bWxQSwECFAAUAAAACACHTuJAedX5afwBAADoAwAADgAAAAAAAAABACAAAAAoAQAAZHJzL2Uy&#10;b0RvYy54bWxQSwUGAAAAAAYABgBZAQAAlgUAAAAA&#10;">
                <v:fill on="f" focussize="0,0"/>
                <v:stroke color="#000000" joinstyle="round" endarrow="open"/>
                <v:imagedata o:title=""/>
                <o:lock v:ext="edit" aspectratio="f"/>
              </v:line>
            </w:pict>
          </mc:Fallback>
        </mc:AlternateContent>
      </w:r>
      <w:r>
        <w:rPr>
          <w:rFonts w:ascii="Times New Roman" w:hAnsi="Times New Roman" w:eastAsia="宋体" w:cs="Times New Roman"/>
          <w:color w:val="auto"/>
          <w:sz w:val="28"/>
        </w:rPr>
        <mc:AlternateContent>
          <mc:Choice Requires="wps">
            <w:drawing>
              <wp:anchor distT="0" distB="0" distL="114300" distR="114300" simplePos="0" relativeHeight="251680768" behindDoc="0" locked="0" layoutInCell="1" allowOverlap="1">
                <wp:simplePos x="0" y="0"/>
                <wp:positionH relativeFrom="column">
                  <wp:posOffset>2289175</wp:posOffset>
                </wp:positionH>
                <wp:positionV relativeFrom="paragraph">
                  <wp:posOffset>83185</wp:posOffset>
                </wp:positionV>
                <wp:extent cx="1272540" cy="251460"/>
                <wp:effectExtent l="4445" t="5080" r="18415" b="10160"/>
                <wp:wrapNone/>
                <wp:docPr id="44" name="文本框 44"/>
                <wp:cNvGraphicFramePr/>
                <a:graphic xmlns:a="http://schemas.openxmlformats.org/drawingml/2006/main">
                  <a:graphicData uri="http://schemas.microsoft.com/office/word/2010/wordprocessingShape">
                    <wps:wsp>
                      <wps:cNvSpPr txBox="1"/>
                      <wps:spPr>
                        <a:xfrm>
                          <a:off x="0" y="0"/>
                          <a:ext cx="1272540" cy="25146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C602FF0">
                            <w:pPr>
                              <w:spacing w:line="240" w:lineRule="auto"/>
                              <w:ind w:firstLine="0" w:firstLineChars="0"/>
                              <w:jc w:val="center"/>
                              <w:rPr>
                                <w:rFonts w:hint="default" w:ascii="Times New Roman" w:hAnsi="Times New Roman" w:eastAsia="宋体" w:cs="Times New Roman"/>
                                <w:sz w:val="21"/>
                                <w:lang w:val="en-US" w:eastAsia="zh-CN"/>
                              </w:rPr>
                            </w:pPr>
                            <w:r>
                              <w:rPr>
                                <w:rFonts w:hint="eastAsia" w:ascii="Times New Roman" w:hAnsi="Times New Roman" w:eastAsia="宋体" w:cs="Times New Roman"/>
                                <w:sz w:val="21"/>
                                <w:lang w:val="en-US" w:eastAsia="zh-CN"/>
                              </w:rPr>
                              <w:t>小组讨论定稿</w:t>
                            </w:r>
                          </w:p>
                        </w:txbxContent>
                      </wps:txbx>
                      <wps:bodyPr upright="1"/>
                    </wps:wsp>
                  </a:graphicData>
                </a:graphic>
              </wp:anchor>
            </w:drawing>
          </mc:Choice>
          <mc:Fallback>
            <w:pict>
              <v:shape id="_x0000_s1026" o:spid="_x0000_s1026" o:spt="202" type="#_x0000_t202" style="position:absolute;left:0pt;margin-left:180.25pt;margin-top:6.55pt;height:19.8pt;width:100.2pt;z-index:251680768;mso-width-relative:page;mso-height-relative:page;" fillcolor="#FFFFFF" filled="t" stroked="t" coordsize="21600,21600" o:gfxdata="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TX8qd9gAAAAJAQAADwAAAAAAAAABACAA&#10;AAAiAAAAZHJzL2Rvd25yZXYueG1sUEsBAhQAFAAAAAgAh07iQHilY8oNAgAAOAQAAA4AAAAAAAAA&#10;AQAgAAAAJwEAAGRycy9lMm9Eb2MueG1sUEsFBgAAAAAGAAYAWQEAAKYFAAAAAA==&#10;">
                <v:fill on="t" focussize="0,0"/>
                <v:stroke color="#000000" joinstyle="miter"/>
                <v:imagedata o:title=""/>
                <o:lock v:ext="edit" aspectratio="f"/>
                <v:textbox>
                  <w:txbxContent>
                    <w:p w14:paraId="3C602FF0">
                      <w:pPr>
                        <w:spacing w:line="240" w:lineRule="auto"/>
                        <w:ind w:firstLine="0" w:firstLineChars="0"/>
                        <w:jc w:val="center"/>
                        <w:rPr>
                          <w:rFonts w:hint="default" w:ascii="Times New Roman" w:hAnsi="Times New Roman" w:eastAsia="宋体" w:cs="Times New Roman"/>
                          <w:sz w:val="21"/>
                          <w:lang w:val="en-US" w:eastAsia="zh-CN"/>
                        </w:rPr>
                      </w:pPr>
                      <w:r>
                        <w:rPr>
                          <w:rFonts w:hint="eastAsia" w:ascii="Times New Roman" w:hAnsi="Times New Roman" w:eastAsia="宋体" w:cs="Times New Roman"/>
                          <w:sz w:val="21"/>
                          <w:lang w:val="en-US" w:eastAsia="zh-CN"/>
                        </w:rPr>
                        <w:t>小组讨论定稿</w:t>
                      </w:r>
                    </w:p>
                  </w:txbxContent>
                </v:textbox>
              </v:shape>
            </w:pict>
          </mc:Fallback>
        </mc:AlternateContent>
      </w:r>
    </w:p>
    <w:p w14:paraId="7A012B84">
      <w:pPr>
        <w:spacing w:line="600" w:lineRule="exact"/>
        <w:ind w:firstLine="0" w:firstLineChars="0"/>
        <w:rPr>
          <w:rFonts w:hint="eastAsia" w:ascii="Times New Roman" w:hAnsi="Times New Roman" w:eastAsia="宋体" w:cs="Times New Roman"/>
          <w:color w:val="auto"/>
          <w:sz w:val="28"/>
          <w:szCs w:val="28"/>
        </w:rPr>
      </w:pPr>
    </w:p>
    <w:p w14:paraId="08495CD3">
      <w:pPr>
        <w:spacing w:line="600" w:lineRule="exact"/>
        <w:ind w:firstLine="0" w:firstLineChars="0"/>
        <w:rPr>
          <w:rFonts w:hint="eastAsia" w:ascii="Times New Roman" w:hAnsi="Times New Roman" w:eastAsia="宋体" w:cs="Times New Roman"/>
          <w:color w:val="auto"/>
          <w:sz w:val="28"/>
          <w:szCs w:val="28"/>
        </w:rPr>
      </w:pPr>
      <w:r>
        <w:rPr>
          <w:rFonts w:ascii="Times New Roman" w:hAnsi="Times New Roman" w:eastAsia="宋体" w:cs="Times New Roman"/>
          <w:color w:val="auto"/>
          <w:sz w:val="28"/>
        </w:rPr>
        <mc:AlternateContent>
          <mc:Choice Requires="wps">
            <w:drawing>
              <wp:anchor distT="0" distB="0" distL="114300" distR="114300" simplePos="0" relativeHeight="251686912" behindDoc="0" locked="0" layoutInCell="1" allowOverlap="1">
                <wp:simplePos x="0" y="0"/>
                <wp:positionH relativeFrom="column">
                  <wp:posOffset>160020</wp:posOffset>
                </wp:positionH>
                <wp:positionV relativeFrom="paragraph">
                  <wp:posOffset>120015</wp:posOffset>
                </wp:positionV>
                <wp:extent cx="1351915" cy="304800"/>
                <wp:effectExtent l="4445" t="4445" r="15240" b="14605"/>
                <wp:wrapNone/>
                <wp:docPr id="49" name="文本框 49"/>
                <wp:cNvGraphicFramePr/>
                <a:graphic xmlns:a="http://schemas.openxmlformats.org/drawingml/2006/main">
                  <a:graphicData uri="http://schemas.microsoft.com/office/word/2010/wordprocessingShape">
                    <wps:wsp>
                      <wps:cNvSpPr txBox="1"/>
                      <wps:spPr>
                        <a:xfrm>
                          <a:off x="0" y="0"/>
                          <a:ext cx="1351915" cy="3048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C83A36F">
                            <w:pPr>
                              <w:spacing w:line="240" w:lineRule="auto"/>
                              <w:ind w:left="0" w:leftChars="0" w:firstLine="0" w:firstLineChars="0"/>
                              <w:jc w:val="center"/>
                              <w:rPr>
                                <w:rFonts w:hint="default" w:ascii="Times New Roman" w:hAnsi="Times New Roman" w:eastAsia="宋体" w:cs="Times New Roman"/>
                                <w:sz w:val="21"/>
                                <w:lang w:val="en-US" w:eastAsia="zh-CN"/>
                              </w:rPr>
                            </w:pPr>
                            <w:r>
                              <w:rPr>
                                <w:rFonts w:hint="eastAsia" w:ascii="Times New Roman" w:hAnsi="Times New Roman" w:eastAsia="宋体" w:cs="Times New Roman"/>
                                <w:sz w:val="21"/>
                                <w:lang w:val="en-US" w:eastAsia="zh-CN"/>
                              </w:rPr>
                              <w:t>编制安全评估报告</w:t>
                            </w:r>
                          </w:p>
                        </w:txbxContent>
                      </wps:txbx>
                      <wps:bodyPr upright="1"/>
                    </wps:wsp>
                  </a:graphicData>
                </a:graphic>
              </wp:anchor>
            </w:drawing>
          </mc:Choice>
          <mc:Fallback>
            <w:pict>
              <v:shape id="_x0000_s1026" o:spid="_x0000_s1026" o:spt="202" type="#_x0000_t202" style="position:absolute;left:0pt;margin-left:12.6pt;margin-top:9.45pt;height:24pt;width:106.45pt;z-index:251686912;mso-width-relative:page;mso-height-relative:page;" fillcolor="#FFFFFF" filled="t" stroked="t" coordsize="21600,21600" o:gfxdata="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CJhT7XYAAAACAEAAA8AAAAAAAAAAQAg&#10;AAAAIgAAAGRycy9kb3ducmV2LnhtbFBLAQIUABQAAAAIAIdO4kBNMpU7DgIAADgEAAAOAAAAAAAA&#10;AAEAIAAAACcBAABkcnMvZTJvRG9jLnhtbFBLBQYAAAAABgAGAFkBAACnBQAAAAA=&#10;">
                <v:fill on="t" focussize="0,0"/>
                <v:stroke color="#000000" joinstyle="miter"/>
                <v:imagedata o:title=""/>
                <o:lock v:ext="edit" aspectratio="f"/>
                <v:textbox>
                  <w:txbxContent>
                    <w:p w14:paraId="5C83A36F">
                      <w:pPr>
                        <w:spacing w:line="240" w:lineRule="auto"/>
                        <w:ind w:left="0" w:leftChars="0" w:firstLine="0" w:firstLineChars="0"/>
                        <w:jc w:val="center"/>
                        <w:rPr>
                          <w:rFonts w:hint="default" w:ascii="Times New Roman" w:hAnsi="Times New Roman" w:eastAsia="宋体" w:cs="Times New Roman"/>
                          <w:sz w:val="21"/>
                          <w:lang w:val="en-US" w:eastAsia="zh-CN"/>
                        </w:rPr>
                      </w:pPr>
                      <w:r>
                        <w:rPr>
                          <w:rFonts w:hint="eastAsia" w:ascii="Times New Roman" w:hAnsi="Times New Roman" w:eastAsia="宋体" w:cs="Times New Roman"/>
                          <w:sz w:val="21"/>
                          <w:lang w:val="en-US" w:eastAsia="zh-CN"/>
                        </w:rPr>
                        <w:t>编制安全评估报告</w:t>
                      </w:r>
                    </w:p>
                  </w:txbxContent>
                </v:textbox>
              </v:shape>
            </w:pict>
          </mc:Fallback>
        </mc:AlternateContent>
      </w:r>
    </w:p>
    <w:p w14:paraId="5059BC1B">
      <w:pPr>
        <w:pStyle w:val="11"/>
        <w:spacing w:after="0" w:line="520" w:lineRule="exact"/>
        <w:ind w:left="0" w:leftChars="0" w:right="3" w:rightChars="1" w:firstLine="0" w:firstLineChars="0"/>
        <w:jc w:val="center"/>
        <w:rPr>
          <w:rFonts w:ascii="Times New Roman" w:hAnsi="Times New Roman" w:eastAsia="宋体" w:cs="Times New Roman"/>
          <w:color w:val="auto"/>
          <w:sz w:val="28"/>
          <w:szCs w:val="28"/>
        </w:rPr>
      </w:pPr>
    </w:p>
    <w:p w14:paraId="535B274A">
      <w:pPr>
        <w:bidi w:val="0"/>
        <w:ind w:left="0" w:leftChars="0" w:firstLine="0" w:firstLineChars="0"/>
        <w:jc w:val="center"/>
        <w:rPr>
          <w:color w:val="auto"/>
        </w:rPr>
      </w:pPr>
      <w:r>
        <w:rPr>
          <w:rFonts w:hint="eastAsia"/>
          <w:color w:val="auto"/>
          <w:lang w:val="en-US" w:eastAsia="zh-CN"/>
        </w:rPr>
        <w:t xml:space="preserve">图1.4-1 </w:t>
      </w:r>
      <w:r>
        <w:rPr>
          <w:rFonts w:hint="eastAsia"/>
          <w:color w:val="auto"/>
        </w:rPr>
        <w:t>安全</w:t>
      </w:r>
      <w:r>
        <w:rPr>
          <w:rFonts w:hint="eastAsia"/>
          <w:color w:val="auto"/>
          <w:lang w:val="en-US" w:eastAsia="zh-CN"/>
        </w:rPr>
        <w:t>风险</w:t>
      </w:r>
      <w:r>
        <w:rPr>
          <w:rFonts w:hint="eastAsia"/>
          <w:color w:val="auto"/>
        </w:rPr>
        <w:t>评估程序框</w:t>
      </w:r>
    </w:p>
    <w:p w14:paraId="2C94622D">
      <w:pPr>
        <w:ind w:left="0" w:leftChars="0" w:firstLine="0" w:firstLineChars="0"/>
        <w:rPr>
          <w:rFonts w:hint="eastAsia"/>
          <w:color w:val="auto"/>
        </w:rPr>
      </w:pPr>
      <w:r>
        <w:rPr>
          <w:color w:val="auto"/>
          <w:sz w:val="28"/>
        </w:rPr>
        <mc:AlternateContent>
          <mc:Choice Requires="wps">
            <w:drawing>
              <wp:anchor distT="0" distB="0" distL="114300" distR="114300" simplePos="0" relativeHeight="251659264" behindDoc="0" locked="0" layoutInCell="1" allowOverlap="1">
                <wp:simplePos x="0" y="0"/>
                <wp:positionH relativeFrom="column">
                  <wp:posOffset>-46355</wp:posOffset>
                </wp:positionH>
                <wp:positionV relativeFrom="paragraph">
                  <wp:posOffset>5895340</wp:posOffset>
                </wp:positionV>
                <wp:extent cx="5753100" cy="381000"/>
                <wp:effectExtent l="0" t="0" r="0" b="0"/>
                <wp:wrapNone/>
                <wp:docPr id="39" name="文本框 39"/>
                <wp:cNvGraphicFramePr/>
                <a:graphic xmlns:a="http://schemas.openxmlformats.org/drawingml/2006/main">
                  <a:graphicData uri="http://schemas.microsoft.com/office/word/2010/wordprocessingShape">
                    <wps:wsp>
                      <wps:cNvSpPr txBox="1"/>
                      <wps:spPr>
                        <a:xfrm>
                          <a:off x="0" y="0"/>
                          <a:ext cx="5753100" cy="3810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77471A41">
                            <w:pPr>
                              <w:bidi w:val="0"/>
                              <w:ind w:left="0" w:leftChars="0" w:firstLine="0" w:firstLineChars="0"/>
                              <w:jc w:val="center"/>
                              <w:rPr>
                                <w:rFonts w:hint="default"/>
                                <w:lang w:val="en-US" w:eastAsia="zh-CN"/>
                              </w:rPr>
                            </w:pPr>
                            <w:r>
                              <w:rPr>
                                <w:rFonts w:hint="eastAsia"/>
                                <w:lang w:val="en-US" w:eastAsia="zh-CN"/>
                              </w:rPr>
                              <w:t xml:space="preserve">图1-1 </w:t>
                            </w:r>
                            <w:r>
                              <w:t>安全现状</w:t>
                            </w:r>
                            <w:r>
                              <w:rPr>
                                <w:rFonts w:hint="eastAsia"/>
                                <w:lang w:eastAsia="zh-CN"/>
                              </w:rPr>
                              <w:t>评估</w:t>
                            </w:r>
                            <w:r>
                              <w:t>程序框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65pt;margin-top:464.2pt;height:30pt;width:453pt;z-index:251659264;mso-width-relative:page;mso-height-relative:page;" fillcolor="#FFFFFF [3201]" filled="t" stroked="f" coordsize="21600,21600" o:gfxdata="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JHv0nLWAAAACgEAAA8A&#10;AAAAAAAAAQAgAAAAIgAAAGRycy9kb3ducmV2LnhtbFBLAQIUABQAAAAIAIdO4kAA7ySWUgIAAJEE&#10;AAAOAAAAAAAAAAEAIAAAACUBAABkcnMvZTJvRG9jLnhtbFBLBQYAAAAABgAGAFkBAADpBQAAAAA=&#10;">
                <v:fill on="t" focussize="0,0"/>
                <v:stroke on="f" weight="0.5pt"/>
                <v:imagedata o:title=""/>
                <o:lock v:ext="edit" aspectratio="f"/>
                <v:textbox>
                  <w:txbxContent>
                    <w:p w14:paraId="77471A41">
                      <w:pPr>
                        <w:bidi w:val="0"/>
                        <w:ind w:left="0" w:leftChars="0" w:firstLine="0" w:firstLineChars="0"/>
                        <w:jc w:val="center"/>
                        <w:rPr>
                          <w:rFonts w:hint="default"/>
                          <w:lang w:val="en-US" w:eastAsia="zh-CN"/>
                        </w:rPr>
                      </w:pPr>
                      <w:r>
                        <w:rPr>
                          <w:rFonts w:hint="eastAsia"/>
                          <w:lang w:val="en-US" w:eastAsia="zh-CN"/>
                        </w:rPr>
                        <w:t xml:space="preserve">图1-1 </w:t>
                      </w:r>
                      <w:r>
                        <w:t>安全现状</w:t>
                      </w:r>
                      <w:r>
                        <w:rPr>
                          <w:rFonts w:hint="eastAsia"/>
                          <w:lang w:eastAsia="zh-CN"/>
                        </w:rPr>
                        <w:t>评估</w:t>
                      </w:r>
                      <w:r>
                        <w:t>程序框</w:t>
                      </w:r>
                    </w:p>
                  </w:txbxContent>
                </v:textbox>
              </v:shape>
            </w:pict>
          </mc:Fallback>
        </mc:AlternateContent>
      </w:r>
      <w:r>
        <w:rPr>
          <w:rFonts w:hint="eastAsia"/>
          <w:color w:val="auto"/>
        </w:rPr>
        <w:br w:type="page"/>
      </w:r>
    </w:p>
    <w:p w14:paraId="00CC2BA2">
      <w:pPr>
        <w:pStyle w:val="2"/>
        <w:numPr>
          <w:ilvl w:val="0"/>
          <w:numId w:val="2"/>
        </w:numPr>
        <w:bidi w:val="0"/>
        <w:ind w:left="0" w:leftChars="0" w:firstLine="0" w:firstLineChars="0"/>
        <w:rPr>
          <w:rFonts w:hint="eastAsia"/>
          <w:color w:val="auto"/>
        </w:rPr>
      </w:pPr>
      <w:bookmarkStart w:id="64" w:name="_Toc24320"/>
      <w:bookmarkStart w:id="65" w:name="_Toc19118"/>
      <w:bookmarkStart w:id="66" w:name="_Toc32025"/>
      <w:bookmarkStart w:id="67" w:name="_Toc4025"/>
      <w:r>
        <w:rPr>
          <w:rFonts w:hint="eastAsia"/>
          <w:color w:val="auto"/>
        </w:rPr>
        <w:t>尾矿库概况</w:t>
      </w:r>
      <w:bookmarkEnd w:id="64"/>
      <w:bookmarkEnd w:id="65"/>
      <w:bookmarkEnd w:id="66"/>
      <w:bookmarkEnd w:id="67"/>
    </w:p>
    <w:p w14:paraId="34C45DED">
      <w:pPr>
        <w:pStyle w:val="3"/>
        <w:bidi w:val="0"/>
        <w:rPr>
          <w:rFonts w:hint="eastAsia"/>
          <w:color w:val="auto"/>
        </w:rPr>
      </w:pPr>
      <w:bookmarkStart w:id="68" w:name="_Toc159"/>
      <w:bookmarkStart w:id="69" w:name="_Toc14132"/>
      <w:bookmarkStart w:id="70" w:name="_Toc19397"/>
      <w:bookmarkStart w:id="71" w:name="_Toc14277"/>
      <w:r>
        <w:rPr>
          <w:rFonts w:hint="eastAsia"/>
          <w:color w:val="auto"/>
        </w:rPr>
        <w:t>2.1</w:t>
      </w:r>
      <w:r>
        <w:rPr>
          <w:rFonts w:hint="eastAsia"/>
          <w:color w:val="auto"/>
          <w:lang w:val="en-US" w:eastAsia="zh-CN"/>
        </w:rPr>
        <w:t xml:space="preserve"> </w:t>
      </w:r>
      <w:r>
        <w:rPr>
          <w:rFonts w:hint="eastAsia"/>
          <w:color w:val="auto"/>
        </w:rPr>
        <w:t>企业简介</w:t>
      </w:r>
      <w:bookmarkEnd w:id="68"/>
      <w:bookmarkEnd w:id="69"/>
      <w:bookmarkEnd w:id="70"/>
      <w:bookmarkEnd w:id="71"/>
    </w:p>
    <w:p w14:paraId="427CD151">
      <w:pPr>
        <w:bidi w:val="0"/>
        <w:rPr>
          <w:rFonts w:hint="default"/>
          <w:color w:val="auto"/>
          <w:lang w:val="en-US" w:eastAsia="zh-CN"/>
        </w:rPr>
      </w:pPr>
      <w:r>
        <w:rPr>
          <w:rFonts w:hint="default"/>
          <w:color w:val="auto"/>
          <w:lang w:val="en-US" w:eastAsia="zh-CN"/>
        </w:rPr>
        <w:t>江西浒坑钨业有限公司隶属江西钨业控股集团有限公司，是一座开采了</w:t>
      </w:r>
      <w:r>
        <w:rPr>
          <w:rFonts w:hint="eastAsia"/>
          <w:color w:val="auto"/>
          <w:lang w:val="en-US" w:eastAsia="zh-CN"/>
        </w:rPr>
        <w:t>60</w:t>
      </w:r>
      <w:r>
        <w:rPr>
          <w:rFonts w:hint="default"/>
          <w:color w:val="auto"/>
          <w:lang w:val="en-US" w:eastAsia="zh-CN"/>
        </w:rPr>
        <w:t>余年的国有矿山企业。矿区于1950年2月发现钨砂，1951年民窿开采，1953年收回国营并成立浒坑钨矿。2008年8月，实施政策性关破改制改制，重组为江西浒坑钨业有限公司。</w:t>
      </w:r>
    </w:p>
    <w:p w14:paraId="46291F11">
      <w:pPr>
        <w:bidi w:val="0"/>
        <w:rPr>
          <w:rFonts w:hint="default"/>
          <w:color w:val="auto"/>
          <w:lang w:val="en-US" w:eastAsia="zh-CN"/>
        </w:rPr>
      </w:pPr>
      <w:r>
        <w:rPr>
          <w:rFonts w:hint="default"/>
          <w:color w:val="auto"/>
          <w:lang w:val="en-US" w:eastAsia="zh-CN"/>
        </w:rPr>
        <w:t>矿山采用平硐＋竖井＋盲斜井联合开拓方式，采取浅孔留矿法和全面法采矿，箕斗提矿，矿车运输，实行重、浮、磁、联合流程选矿。现有提升竖井、盲竖井各1座，盲斜井1座，开拓、运输、通风、供风、供电、供水、排水工艺系统及机械加工等辅助生产系统齐全完善。主要产品有黑钨精矿、仲钨酸铵、黄钨，伴生回收有铋精矿、锌精矿、黄铁矿等。公司年采掘综合生产能力33万吨，年产黑钨精矿能力2000吨，产仲钨酸铵能力1500吨，系集采、选、冶于一体的综合型生产企业。</w:t>
      </w:r>
    </w:p>
    <w:p w14:paraId="63F64E03">
      <w:pPr>
        <w:pStyle w:val="3"/>
        <w:bidi w:val="0"/>
        <w:rPr>
          <w:rFonts w:hint="default"/>
          <w:color w:val="auto"/>
          <w:lang w:val="en-US" w:eastAsia="zh-CN"/>
        </w:rPr>
      </w:pPr>
      <w:bookmarkStart w:id="72" w:name="_Toc11942"/>
      <w:bookmarkStart w:id="73" w:name="_Toc7275"/>
      <w:bookmarkStart w:id="74" w:name="_Toc18690"/>
      <w:r>
        <w:rPr>
          <w:rFonts w:hint="default"/>
          <w:color w:val="auto"/>
          <w:lang w:val="en-US" w:eastAsia="zh-CN"/>
        </w:rPr>
        <w:t>2.2</w:t>
      </w:r>
      <w:r>
        <w:rPr>
          <w:rFonts w:hint="eastAsia"/>
          <w:color w:val="auto"/>
          <w:lang w:val="en-US" w:eastAsia="zh-CN"/>
        </w:rPr>
        <w:t xml:space="preserve"> </w:t>
      </w:r>
      <w:bookmarkEnd w:id="72"/>
      <w:bookmarkEnd w:id="73"/>
      <w:r>
        <w:rPr>
          <w:rFonts w:hint="default"/>
          <w:color w:val="auto"/>
          <w:lang w:val="en-US" w:eastAsia="zh-CN"/>
        </w:rPr>
        <w:t>尾矿库概况</w:t>
      </w:r>
      <w:bookmarkEnd w:id="74"/>
    </w:p>
    <w:p w14:paraId="39ECA8C1">
      <w:pPr>
        <w:bidi w:val="0"/>
        <w:rPr>
          <w:rFonts w:hint="default"/>
          <w:color w:val="auto"/>
          <w:lang w:val="en-US" w:eastAsia="zh-CN"/>
        </w:rPr>
      </w:pPr>
      <w:r>
        <w:rPr>
          <w:rFonts w:hint="default"/>
          <w:color w:val="auto"/>
          <w:lang w:val="en-US" w:eastAsia="zh-CN"/>
        </w:rPr>
        <w:t>江西浒坑钨业有限公司位于江西省安福县浒坑镇，杨家店尾矿库库区位于浒坑镇东侧。其地理中心坐标为：东经114</w:t>
      </w:r>
      <w:r>
        <w:rPr>
          <w:rFonts w:hint="eastAsia" w:ascii="宋体" w:hAnsi="宋体" w:eastAsia="宋体" w:cs="宋体"/>
          <w:color w:val="auto"/>
          <w:lang w:val="en-US" w:eastAsia="zh-CN"/>
        </w:rPr>
        <w:t>°</w:t>
      </w:r>
      <w:r>
        <w:rPr>
          <w:rFonts w:hint="default"/>
          <w:color w:val="auto"/>
          <w:lang w:val="en-US" w:eastAsia="zh-CN"/>
        </w:rPr>
        <w:t>31</w:t>
      </w:r>
      <w:r>
        <w:rPr>
          <w:rFonts w:hint="eastAsia" w:ascii="宋体" w:hAnsi="宋体" w:eastAsia="宋体" w:cs="宋体"/>
          <w:color w:val="auto"/>
          <w:lang w:val="en-US" w:eastAsia="zh-CN"/>
        </w:rPr>
        <w:t>′</w:t>
      </w:r>
      <w:r>
        <w:rPr>
          <w:rFonts w:hint="default"/>
          <w:color w:val="auto"/>
          <w:lang w:val="en-US" w:eastAsia="zh-CN"/>
        </w:rPr>
        <w:t>，北纬27</w:t>
      </w:r>
      <w:r>
        <w:rPr>
          <w:rFonts w:hint="eastAsia" w:ascii="宋体" w:hAnsi="宋体" w:eastAsia="宋体" w:cs="宋体"/>
          <w:color w:val="auto"/>
          <w:lang w:val="en-US" w:eastAsia="zh-CN"/>
        </w:rPr>
        <w:t>°</w:t>
      </w:r>
      <w:r>
        <w:rPr>
          <w:rFonts w:hint="default"/>
          <w:color w:val="auto"/>
          <w:lang w:val="en-US" w:eastAsia="zh-CN"/>
        </w:rPr>
        <w:t>47</w:t>
      </w:r>
      <w:r>
        <w:rPr>
          <w:rFonts w:hint="eastAsia" w:ascii="宋体" w:hAnsi="宋体" w:eastAsia="宋体" w:cs="宋体"/>
          <w:color w:val="auto"/>
          <w:lang w:val="en-US" w:eastAsia="zh-CN"/>
        </w:rPr>
        <w:t>′</w:t>
      </w:r>
      <w:r>
        <w:rPr>
          <w:rFonts w:hint="default"/>
          <w:color w:val="auto"/>
          <w:lang w:val="en-US" w:eastAsia="zh-CN"/>
        </w:rPr>
        <w:t>，库区西有环山公路，东有S224省道。江西浒坑钨业有限公司修筑简易公路可直达杨家店尾矿库，交通较为便利，详见交通位置示意图2</w:t>
      </w:r>
      <w:r>
        <w:rPr>
          <w:rFonts w:hint="eastAsia"/>
          <w:color w:val="auto"/>
          <w:lang w:val="en-US" w:eastAsia="zh-CN"/>
        </w:rPr>
        <w:t>.2</w:t>
      </w:r>
      <w:r>
        <w:rPr>
          <w:rFonts w:hint="default"/>
          <w:color w:val="auto"/>
          <w:lang w:val="en-US" w:eastAsia="zh-CN"/>
        </w:rPr>
        <w:t>-1。</w:t>
      </w:r>
    </w:p>
    <w:p w14:paraId="4EED3A42">
      <w:pPr>
        <w:ind w:left="0" w:leftChars="0" w:firstLine="0" w:firstLineChars="0"/>
        <w:jc w:val="center"/>
        <w:rPr>
          <w:rFonts w:hint="default"/>
          <w:color w:val="auto"/>
          <w:lang w:val="en-US" w:eastAsia="zh-CN"/>
        </w:rPr>
      </w:pPr>
      <w:r>
        <w:rPr>
          <w:rFonts w:hint="eastAsia" w:ascii="宋体" w:hAnsi="宋体" w:cs="宋体"/>
          <w:b/>
          <w:bCs/>
          <w:color w:val="auto"/>
          <w:kern w:val="0"/>
          <w:sz w:val="21"/>
          <w:szCs w:val="21"/>
        </w:rPr>
        <w:drawing>
          <wp:inline distT="0" distB="0" distL="114300" distR="114300">
            <wp:extent cx="5039995" cy="3440430"/>
            <wp:effectExtent l="0" t="0" r="8255" b="7620"/>
            <wp:docPr id="62" name="图片 8" descr="16240676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8" descr="1624067637(1)"/>
                    <pic:cNvPicPr>
                      <a:picLocks noChangeAspect="1"/>
                    </pic:cNvPicPr>
                  </pic:nvPicPr>
                  <pic:blipFill>
                    <a:blip r:embed="rId17"/>
                    <a:stretch>
                      <a:fillRect/>
                    </a:stretch>
                  </pic:blipFill>
                  <pic:spPr>
                    <a:xfrm>
                      <a:off x="0" y="0"/>
                      <a:ext cx="5039995" cy="3440430"/>
                    </a:xfrm>
                    <a:prstGeom prst="rect">
                      <a:avLst/>
                    </a:prstGeom>
                    <a:noFill/>
                    <a:ln>
                      <a:noFill/>
                    </a:ln>
                  </pic:spPr>
                </pic:pic>
              </a:graphicData>
            </a:graphic>
          </wp:inline>
        </w:drawing>
      </w:r>
    </w:p>
    <w:p w14:paraId="60B30F6F">
      <w:pPr>
        <w:ind w:left="0" w:leftChars="0" w:firstLine="0" w:firstLineChars="0"/>
        <w:jc w:val="center"/>
        <w:rPr>
          <w:rFonts w:hint="eastAsia"/>
          <w:color w:val="auto"/>
          <w:lang w:val="en-US" w:eastAsia="zh-CN"/>
        </w:rPr>
      </w:pPr>
      <w:r>
        <w:rPr>
          <w:rFonts w:hint="default"/>
          <w:color w:val="auto"/>
          <w:lang w:val="en-US" w:eastAsia="zh-CN"/>
        </w:rPr>
        <w:t>图2</w:t>
      </w:r>
      <w:r>
        <w:rPr>
          <w:rFonts w:hint="eastAsia"/>
          <w:color w:val="auto"/>
          <w:lang w:val="en-US" w:eastAsia="zh-CN"/>
        </w:rPr>
        <w:t>.2</w:t>
      </w:r>
      <w:r>
        <w:rPr>
          <w:rFonts w:hint="default"/>
          <w:color w:val="auto"/>
          <w:lang w:val="en-US" w:eastAsia="zh-CN"/>
        </w:rPr>
        <w:t>-1</w:t>
      </w:r>
      <w:r>
        <w:rPr>
          <w:rFonts w:hint="eastAsia"/>
          <w:color w:val="auto"/>
          <w:lang w:val="en-US" w:eastAsia="zh-CN"/>
        </w:rPr>
        <w:t xml:space="preserve"> </w:t>
      </w:r>
      <w:r>
        <w:rPr>
          <w:rFonts w:hint="default"/>
          <w:color w:val="auto"/>
          <w:lang w:val="en-US" w:eastAsia="zh-CN"/>
        </w:rPr>
        <w:t>杨家店</w:t>
      </w:r>
      <w:r>
        <w:rPr>
          <w:rFonts w:hint="eastAsia"/>
          <w:color w:val="auto"/>
          <w:lang w:val="en-US" w:eastAsia="zh-CN"/>
        </w:rPr>
        <w:t>尾矿库交通图</w:t>
      </w:r>
    </w:p>
    <w:p w14:paraId="54D2F199">
      <w:pPr>
        <w:rPr>
          <w:rFonts w:hint="default"/>
          <w:color w:val="auto"/>
          <w:lang w:val="en-US" w:eastAsia="zh-CN"/>
        </w:rPr>
      </w:pPr>
      <w:r>
        <w:rPr>
          <w:rFonts w:hint="default"/>
          <w:color w:val="auto"/>
          <w:lang w:val="en-US" w:eastAsia="zh-CN"/>
        </w:rPr>
        <w:t>江西浒坑钨业有限公司杨家店尾矿库位于浒坑镇东北侧，选厂东北方向0.8km处的一狭长沟内，属于山谷型尾矿库，库内总长1760m，坝体宽220m，汇水面积为6.9km</w:t>
      </w:r>
      <w:r>
        <w:rPr>
          <w:rFonts w:hint="default"/>
          <w:color w:val="auto"/>
          <w:vertAlign w:val="superscript"/>
          <w:lang w:val="en-US" w:eastAsia="zh-CN"/>
        </w:rPr>
        <w:t>2</w:t>
      </w:r>
      <w:r>
        <w:rPr>
          <w:rFonts w:hint="default"/>
          <w:color w:val="auto"/>
          <w:lang w:val="en-US" w:eastAsia="zh-CN"/>
        </w:rPr>
        <w:t>，库区三面环山，山坡植被发育良好，属低山丘陵地貌。</w:t>
      </w:r>
    </w:p>
    <w:p w14:paraId="316F1F8F">
      <w:pPr>
        <w:rPr>
          <w:rFonts w:hint="default"/>
          <w:color w:val="auto"/>
          <w:lang w:val="en-US" w:eastAsia="zh-CN"/>
        </w:rPr>
      </w:pPr>
      <w:r>
        <w:rPr>
          <w:rFonts w:hint="default"/>
          <w:color w:val="auto"/>
          <w:lang w:val="en-US" w:eastAsia="zh-CN"/>
        </w:rPr>
        <w:t>1963年，杨家店尾矿库由南昌有色冶金设计研究院设计，1965年建成并投入运行。2008，杨家店尾矿库由江西省冶金设计院进行了加高扩容设计。2012年，长沙有色冶金设计研究院有限公司对杨家店尾矿库进行综合隐患治理设计。杨家店尾矿坝由初期坝+堆积坝组成，初期坝采用土石混合坝，坝顶高程为</w:t>
      </w:r>
      <w:r>
        <w:rPr>
          <w:rFonts w:hint="eastAsia"/>
          <w:color w:val="auto"/>
          <w:lang w:val="en-US" w:eastAsia="zh-CN"/>
        </w:rPr>
        <w:t>+</w:t>
      </w:r>
      <w:r>
        <w:rPr>
          <w:rFonts w:hint="default"/>
          <w:color w:val="auto"/>
          <w:lang w:val="en-US" w:eastAsia="zh-CN"/>
        </w:rPr>
        <w:t>282.22m，坝顶宽为6.0m</w:t>
      </w:r>
      <w:r>
        <w:rPr>
          <w:rFonts w:hint="eastAsia"/>
          <w:color w:val="auto"/>
          <w:lang w:val="en-US" w:eastAsia="zh-CN"/>
        </w:rPr>
        <w:t>。</w:t>
      </w:r>
      <w:r>
        <w:rPr>
          <w:rFonts w:hint="default"/>
          <w:color w:val="auto"/>
          <w:lang w:val="en-US" w:eastAsia="zh-CN"/>
        </w:rPr>
        <w:t>后期采用尾砂筑坝，堆积至</w:t>
      </w:r>
      <w:r>
        <w:rPr>
          <w:rFonts w:hint="eastAsia"/>
          <w:color w:val="auto"/>
          <w:lang w:val="en-US" w:eastAsia="zh-CN"/>
        </w:rPr>
        <w:t>+</w:t>
      </w:r>
      <w:r>
        <w:rPr>
          <w:rFonts w:hint="default"/>
          <w:color w:val="auto"/>
          <w:lang w:val="en-US" w:eastAsia="zh-CN"/>
        </w:rPr>
        <w:t>292.0m高程，总设计坝高为55.0m。由于下游为浒坑镇居民较多，综合隐患治理设计时将杨家店尾矿库定为三等库，防洪标准为500年一遇。排洪系统采用框架式排水井+排洪隧洞的方式，杨家店尾矿库综合隐患治理工程已于2016年6月竣工验收完成并取得了原江西省安全生产监督管理局的竣工验收批复。</w:t>
      </w:r>
    </w:p>
    <w:p w14:paraId="6611C9B2">
      <w:pPr>
        <w:rPr>
          <w:rFonts w:hint="default"/>
          <w:color w:val="auto"/>
          <w:lang w:val="en-US" w:eastAsia="zh-CN"/>
        </w:rPr>
      </w:pPr>
      <w:r>
        <w:rPr>
          <w:rFonts w:hint="default"/>
          <w:color w:val="auto"/>
          <w:lang w:val="en-US" w:eastAsia="zh-CN"/>
        </w:rPr>
        <w:t>杨家店尾矿库安全生产许可证书编号（赣）FM安许证字</w:t>
      </w:r>
      <w:r>
        <w:rPr>
          <w:rFonts w:hint="eastAsia" w:ascii="宋体" w:hAnsi="宋体" w:eastAsia="宋体" w:cs="宋体"/>
          <w:color w:val="auto"/>
          <w:lang w:val="en-US" w:eastAsia="zh-CN"/>
        </w:rPr>
        <w:t>[</w:t>
      </w:r>
      <w:r>
        <w:rPr>
          <w:rFonts w:hint="default"/>
          <w:color w:val="auto"/>
          <w:lang w:val="en-US" w:eastAsia="zh-CN"/>
        </w:rPr>
        <w:t>2006</w:t>
      </w:r>
      <w:r>
        <w:rPr>
          <w:rFonts w:hint="eastAsia" w:ascii="宋体" w:hAnsi="宋体" w:eastAsia="宋体" w:cs="宋体"/>
          <w:color w:val="auto"/>
          <w:lang w:val="en-US" w:eastAsia="zh-CN"/>
        </w:rPr>
        <w:t>]</w:t>
      </w:r>
      <w:r>
        <w:rPr>
          <w:rFonts w:hint="default"/>
          <w:color w:val="auto"/>
          <w:lang w:val="en-US" w:eastAsia="zh-CN"/>
        </w:rPr>
        <w:t>M0164号，有效期从202</w:t>
      </w:r>
      <w:r>
        <w:rPr>
          <w:rFonts w:hint="eastAsia"/>
          <w:color w:val="auto"/>
          <w:lang w:val="en-US" w:eastAsia="zh-CN"/>
        </w:rPr>
        <w:t>4</w:t>
      </w:r>
      <w:r>
        <w:rPr>
          <w:rFonts w:hint="default"/>
          <w:color w:val="auto"/>
          <w:lang w:val="en-US" w:eastAsia="zh-CN"/>
        </w:rPr>
        <w:t>年02月24日到202</w:t>
      </w:r>
      <w:r>
        <w:rPr>
          <w:rFonts w:hint="eastAsia"/>
          <w:color w:val="auto"/>
          <w:lang w:val="en-US" w:eastAsia="zh-CN"/>
        </w:rPr>
        <w:t>7</w:t>
      </w:r>
      <w:r>
        <w:rPr>
          <w:rFonts w:hint="default"/>
          <w:color w:val="auto"/>
          <w:lang w:val="en-US" w:eastAsia="zh-CN"/>
        </w:rPr>
        <w:t>年02月23日。许可范围：尾矿库运营（三等库，初级坝高45.22m，高程+282.22m以下，堆积坝坝顶最终标高+292m以下</w:t>
      </w:r>
      <w:r>
        <w:rPr>
          <w:rFonts w:hint="eastAsia"/>
          <w:color w:val="auto"/>
          <w:lang w:val="en-US" w:eastAsia="zh-CN"/>
        </w:rPr>
        <w:t>，总库容956.68m</w:t>
      </w:r>
      <w:r>
        <w:rPr>
          <w:rFonts w:hint="eastAsia"/>
          <w:color w:val="auto"/>
          <w:vertAlign w:val="superscript"/>
          <w:lang w:val="en-US" w:eastAsia="zh-CN"/>
        </w:rPr>
        <w:t>3</w:t>
      </w:r>
      <w:r>
        <w:rPr>
          <w:rFonts w:hint="default"/>
          <w:color w:val="auto"/>
          <w:lang w:val="en-US" w:eastAsia="zh-CN"/>
        </w:rPr>
        <w:t>）。</w:t>
      </w:r>
    </w:p>
    <w:p w14:paraId="2638120A">
      <w:pPr>
        <w:rPr>
          <w:rFonts w:hint="default"/>
          <w:color w:val="auto"/>
          <w:lang w:val="en-US" w:eastAsia="zh-CN"/>
        </w:rPr>
      </w:pPr>
      <w:r>
        <w:rPr>
          <w:rFonts w:hint="default"/>
          <w:color w:val="auto"/>
          <w:lang w:val="en-US" w:eastAsia="zh-CN"/>
        </w:rPr>
        <w:t>杨家店尾砂库从1965年至今连续生产运行，其堆积尾砂量</w:t>
      </w:r>
      <w:r>
        <w:rPr>
          <w:rFonts w:hint="eastAsia"/>
          <w:color w:val="auto"/>
          <w:lang w:val="en-US" w:eastAsia="zh-CN"/>
        </w:rPr>
        <w:t>约为</w:t>
      </w:r>
      <w:r>
        <w:rPr>
          <w:rFonts w:hint="default"/>
          <w:color w:val="auto"/>
          <w:lang w:val="en-US" w:eastAsia="zh-CN"/>
        </w:rPr>
        <w:t>3</w:t>
      </w:r>
      <w:r>
        <w:rPr>
          <w:rFonts w:hint="eastAsia"/>
          <w:color w:val="auto"/>
          <w:lang w:val="en-US" w:eastAsia="zh-CN"/>
        </w:rPr>
        <w:t>98</w:t>
      </w:r>
      <w:r>
        <w:rPr>
          <w:rFonts w:hint="default"/>
          <w:color w:val="auto"/>
          <w:lang w:val="en-US" w:eastAsia="zh-CN"/>
        </w:rPr>
        <w:t>万m</w:t>
      </w:r>
      <w:r>
        <w:rPr>
          <w:rFonts w:hint="default"/>
          <w:color w:val="auto"/>
          <w:vertAlign w:val="superscript"/>
          <w:lang w:val="en-US" w:eastAsia="zh-CN"/>
        </w:rPr>
        <w:t>3</w:t>
      </w:r>
      <w:r>
        <w:rPr>
          <w:rFonts w:hint="default"/>
          <w:color w:val="auto"/>
          <w:lang w:val="en-US" w:eastAsia="zh-CN"/>
        </w:rPr>
        <w:t>。当前尾矿坝滩顶标高为</w:t>
      </w:r>
      <w:r>
        <w:rPr>
          <w:rFonts w:hint="eastAsia"/>
          <w:color w:val="auto"/>
          <w:lang w:val="en-US" w:eastAsia="zh-CN"/>
        </w:rPr>
        <w:t>+285.50</w:t>
      </w:r>
      <w:r>
        <w:rPr>
          <w:rFonts w:hint="default"/>
          <w:color w:val="auto"/>
          <w:lang w:val="en-US" w:eastAsia="zh-CN"/>
        </w:rPr>
        <w:t>m，当前坝高</w:t>
      </w:r>
      <w:r>
        <w:rPr>
          <w:rFonts w:hint="eastAsia"/>
          <w:color w:val="auto"/>
          <w:lang w:val="en-US" w:eastAsia="zh-CN"/>
        </w:rPr>
        <w:t>55</w:t>
      </w:r>
      <w:r>
        <w:rPr>
          <w:rFonts w:hint="default"/>
          <w:color w:val="auto"/>
          <w:lang w:val="en-US" w:eastAsia="zh-CN"/>
        </w:rPr>
        <w:t>.0m，杨家店尾矿库基本情况调查见表2</w:t>
      </w:r>
      <w:r>
        <w:rPr>
          <w:rFonts w:hint="eastAsia"/>
          <w:color w:val="auto"/>
          <w:lang w:val="en-US" w:eastAsia="zh-CN"/>
        </w:rPr>
        <w:t>.2</w:t>
      </w:r>
      <w:r>
        <w:rPr>
          <w:rFonts w:hint="default"/>
          <w:color w:val="auto"/>
          <w:lang w:val="en-US" w:eastAsia="zh-CN"/>
        </w:rPr>
        <w:t>-</w:t>
      </w:r>
      <w:r>
        <w:rPr>
          <w:rFonts w:hint="eastAsia"/>
          <w:color w:val="auto"/>
          <w:lang w:val="en-US" w:eastAsia="zh-CN"/>
        </w:rPr>
        <w:t>1</w:t>
      </w:r>
      <w:r>
        <w:rPr>
          <w:rFonts w:hint="default"/>
          <w:color w:val="auto"/>
          <w:lang w:val="en-US" w:eastAsia="zh-CN"/>
        </w:rPr>
        <w:t>。</w:t>
      </w:r>
    </w:p>
    <w:p w14:paraId="305F18A4">
      <w:pPr>
        <w:bidi w:val="0"/>
        <w:ind w:left="0" w:leftChars="0" w:firstLine="0" w:firstLineChars="0"/>
        <w:jc w:val="center"/>
        <w:rPr>
          <w:rFonts w:hint="default"/>
          <w:color w:val="auto"/>
          <w:lang w:val="en-US" w:eastAsia="zh-CN"/>
        </w:rPr>
      </w:pPr>
      <w:r>
        <w:rPr>
          <w:rFonts w:hint="default"/>
          <w:color w:val="auto"/>
          <w:lang w:val="en-US" w:eastAsia="zh-CN"/>
        </w:rPr>
        <w:t>表2</w:t>
      </w:r>
      <w:r>
        <w:rPr>
          <w:rFonts w:hint="eastAsia"/>
          <w:color w:val="auto"/>
          <w:lang w:val="en-US" w:eastAsia="zh-CN"/>
        </w:rPr>
        <w:t>.2</w:t>
      </w:r>
      <w:r>
        <w:rPr>
          <w:rFonts w:hint="default"/>
          <w:color w:val="auto"/>
          <w:lang w:val="en-US" w:eastAsia="zh-CN"/>
        </w:rPr>
        <w:t>-1 尾矿库基本情况调查表</w:t>
      </w:r>
    </w:p>
    <w:tbl>
      <w:tblPr>
        <w:tblStyle w:val="19"/>
        <w:tblW w:w="51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460"/>
        <w:gridCol w:w="2138"/>
        <w:gridCol w:w="1981"/>
        <w:gridCol w:w="2882"/>
      </w:tblGrid>
      <w:tr w14:paraId="102B2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5" w:hRule="atLeast"/>
          <w:jc w:val="center"/>
        </w:trPr>
        <w:tc>
          <w:tcPr>
            <w:tcW w:w="1300" w:type="pct"/>
            <w:noWrap w:val="0"/>
            <w:tcMar>
              <w:top w:w="15" w:type="dxa"/>
              <w:left w:w="15" w:type="dxa"/>
              <w:bottom w:w="0" w:type="dxa"/>
              <w:right w:w="15" w:type="dxa"/>
            </w:tcMar>
            <w:vAlign w:val="center"/>
          </w:tcPr>
          <w:p w14:paraId="77E42D91">
            <w:pPr>
              <w:spacing w:line="240" w:lineRule="exact"/>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企业名称</w:t>
            </w:r>
          </w:p>
        </w:tc>
        <w:tc>
          <w:tcPr>
            <w:tcW w:w="1130" w:type="pct"/>
            <w:noWrap w:val="0"/>
            <w:tcMar>
              <w:top w:w="15" w:type="dxa"/>
              <w:left w:w="15" w:type="dxa"/>
              <w:bottom w:w="0" w:type="dxa"/>
              <w:right w:w="15" w:type="dxa"/>
            </w:tcMar>
            <w:vAlign w:val="center"/>
          </w:tcPr>
          <w:p w14:paraId="18DC1A19">
            <w:pPr>
              <w:spacing w:line="240" w:lineRule="exact"/>
              <w:ind w:firstLine="0" w:firstLineChars="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bCs/>
                <w:color w:val="auto"/>
                <w:sz w:val="21"/>
                <w:szCs w:val="21"/>
                <w:lang w:eastAsia="zh-CN"/>
              </w:rPr>
              <w:t>江西浒坑钨业有限公司</w:t>
            </w:r>
          </w:p>
        </w:tc>
        <w:tc>
          <w:tcPr>
            <w:tcW w:w="1047" w:type="pct"/>
            <w:noWrap w:val="0"/>
            <w:tcMar>
              <w:top w:w="15" w:type="dxa"/>
              <w:left w:w="15" w:type="dxa"/>
              <w:bottom w:w="0" w:type="dxa"/>
              <w:right w:w="15" w:type="dxa"/>
            </w:tcMar>
            <w:vAlign w:val="center"/>
          </w:tcPr>
          <w:p w14:paraId="130DB26C">
            <w:pPr>
              <w:spacing w:line="240" w:lineRule="exact"/>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*行业类别</w:t>
            </w:r>
          </w:p>
        </w:tc>
        <w:tc>
          <w:tcPr>
            <w:tcW w:w="1523" w:type="pct"/>
            <w:noWrap w:val="0"/>
            <w:tcMar>
              <w:top w:w="15" w:type="dxa"/>
              <w:left w:w="15" w:type="dxa"/>
              <w:bottom w:w="0" w:type="dxa"/>
              <w:right w:w="15" w:type="dxa"/>
            </w:tcMar>
            <w:vAlign w:val="center"/>
          </w:tcPr>
          <w:p w14:paraId="19A14D32">
            <w:pPr>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钨</w:t>
            </w:r>
            <w:r>
              <w:rPr>
                <w:rFonts w:hint="default" w:ascii="Times New Roman" w:hAnsi="Times New Roman" w:eastAsia="宋体" w:cs="Times New Roman"/>
                <w:color w:val="auto"/>
                <w:sz w:val="21"/>
                <w:szCs w:val="21"/>
              </w:rPr>
              <w:t>矿山</w:t>
            </w:r>
          </w:p>
        </w:tc>
      </w:tr>
      <w:tr w14:paraId="5EDCA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5" w:hRule="atLeast"/>
          <w:jc w:val="center"/>
        </w:trPr>
        <w:tc>
          <w:tcPr>
            <w:tcW w:w="1300" w:type="pct"/>
            <w:noWrap w:val="0"/>
            <w:tcMar>
              <w:top w:w="15" w:type="dxa"/>
              <w:left w:w="15" w:type="dxa"/>
              <w:bottom w:w="0" w:type="dxa"/>
              <w:right w:w="15" w:type="dxa"/>
            </w:tcMar>
            <w:vAlign w:val="center"/>
          </w:tcPr>
          <w:p w14:paraId="3AFC1EC8">
            <w:pPr>
              <w:spacing w:line="240" w:lineRule="exact"/>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尾矿库名称</w:t>
            </w:r>
          </w:p>
        </w:tc>
        <w:tc>
          <w:tcPr>
            <w:tcW w:w="1130" w:type="pct"/>
            <w:noWrap w:val="0"/>
            <w:tcMar>
              <w:top w:w="15" w:type="dxa"/>
              <w:left w:w="15" w:type="dxa"/>
              <w:bottom w:w="0" w:type="dxa"/>
              <w:right w:w="15" w:type="dxa"/>
            </w:tcMar>
            <w:vAlign w:val="center"/>
          </w:tcPr>
          <w:p w14:paraId="1F2AF9A4">
            <w:pPr>
              <w:spacing w:line="240" w:lineRule="exact"/>
              <w:ind w:firstLine="0" w:firstLineChars="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bCs/>
                <w:color w:val="auto"/>
                <w:sz w:val="21"/>
                <w:szCs w:val="21"/>
                <w:lang w:eastAsia="zh-CN"/>
              </w:rPr>
              <w:t>江西浒坑钨业有限公司杨家店尾矿库</w:t>
            </w:r>
          </w:p>
        </w:tc>
        <w:tc>
          <w:tcPr>
            <w:tcW w:w="1047" w:type="pct"/>
            <w:noWrap w:val="0"/>
            <w:tcMar>
              <w:top w:w="15" w:type="dxa"/>
              <w:left w:w="15" w:type="dxa"/>
              <w:bottom w:w="0" w:type="dxa"/>
              <w:right w:w="15" w:type="dxa"/>
            </w:tcMar>
            <w:vAlign w:val="center"/>
          </w:tcPr>
          <w:p w14:paraId="73328BF5">
            <w:pPr>
              <w:spacing w:line="240" w:lineRule="exact"/>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投产时间</w:t>
            </w:r>
          </w:p>
        </w:tc>
        <w:tc>
          <w:tcPr>
            <w:tcW w:w="1523" w:type="pct"/>
            <w:noWrap w:val="0"/>
            <w:tcMar>
              <w:top w:w="15" w:type="dxa"/>
              <w:left w:w="15" w:type="dxa"/>
              <w:bottom w:w="0" w:type="dxa"/>
              <w:right w:w="15" w:type="dxa"/>
            </w:tcMar>
            <w:vAlign w:val="center"/>
          </w:tcPr>
          <w:p w14:paraId="69FDD885">
            <w:pPr>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1965</w:t>
            </w:r>
            <w:r>
              <w:rPr>
                <w:rFonts w:hint="default" w:ascii="Times New Roman" w:hAnsi="Times New Roman" w:eastAsia="宋体" w:cs="Times New Roman"/>
                <w:color w:val="auto"/>
                <w:sz w:val="21"/>
                <w:szCs w:val="21"/>
              </w:rPr>
              <w:t>年</w:t>
            </w:r>
          </w:p>
        </w:tc>
      </w:tr>
      <w:tr w14:paraId="6407F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4" w:hRule="atLeast"/>
          <w:jc w:val="center"/>
        </w:trPr>
        <w:tc>
          <w:tcPr>
            <w:tcW w:w="1300" w:type="pct"/>
            <w:noWrap w:val="0"/>
            <w:tcMar>
              <w:top w:w="15" w:type="dxa"/>
              <w:left w:w="15" w:type="dxa"/>
              <w:bottom w:w="0" w:type="dxa"/>
              <w:right w:w="15" w:type="dxa"/>
            </w:tcMar>
            <w:vAlign w:val="center"/>
          </w:tcPr>
          <w:p w14:paraId="4AFB5A4D">
            <w:pPr>
              <w:spacing w:line="240" w:lineRule="exact"/>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尾矿库地址</w:t>
            </w:r>
          </w:p>
        </w:tc>
        <w:tc>
          <w:tcPr>
            <w:tcW w:w="1130" w:type="pct"/>
            <w:noWrap w:val="0"/>
            <w:tcMar>
              <w:top w:w="15" w:type="dxa"/>
              <w:left w:w="15" w:type="dxa"/>
              <w:bottom w:w="0" w:type="dxa"/>
              <w:right w:w="15" w:type="dxa"/>
            </w:tcMar>
            <w:vAlign w:val="center"/>
          </w:tcPr>
          <w:p w14:paraId="669CDE4E">
            <w:pPr>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安福县浒坑</w:t>
            </w:r>
            <w:r>
              <w:rPr>
                <w:rFonts w:hint="default" w:ascii="Times New Roman" w:hAnsi="Times New Roman" w:eastAsia="宋体" w:cs="Times New Roman"/>
                <w:color w:val="auto"/>
                <w:sz w:val="21"/>
                <w:szCs w:val="21"/>
              </w:rPr>
              <w:t>镇</w:t>
            </w:r>
          </w:p>
        </w:tc>
        <w:tc>
          <w:tcPr>
            <w:tcW w:w="1047" w:type="pct"/>
            <w:noWrap w:val="0"/>
            <w:tcMar>
              <w:top w:w="15" w:type="dxa"/>
              <w:left w:w="15" w:type="dxa"/>
              <w:bottom w:w="0" w:type="dxa"/>
              <w:right w:w="15" w:type="dxa"/>
            </w:tcMar>
            <w:vAlign w:val="center"/>
          </w:tcPr>
          <w:p w14:paraId="4A0041A0">
            <w:pPr>
              <w:spacing w:line="240" w:lineRule="exact"/>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尾矿库服务期限</w:t>
            </w:r>
          </w:p>
        </w:tc>
        <w:tc>
          <w:tcPr>
            <w:tcW w:w="1523" w:type="pct"/>
            <w:noWrap w:val="0"/>
            <w:tcMar>
              <w:top w:w="15" w:type="dxa"/>
              <w:left w:w="15" w:type="dxa"/>
              <w:bottom w:w="0" w:type="dxa"/>
              <w:right w:w="15" w:type="dxa"/>
            </w:tcMar>
            <w:vAlign w:val="center"/>
          </w:tcPr>
          <w:p w14:paraId="793EC1A8">
            <w:pPr>
              <w:spacing w:line="240" w:lineRule="exact"/>
              <w:ind w:firstLine="0" w:firstLineChars="0"/>
              <w:jc w:val="center"/>
              <w:rPr>
                <w:rFonts w:hint="default" w:ascii="Times New Roman" w:hAnsi="Times New Roman" w:eastAsia="宋体" w:cs="Times New Roman"/>
                <w:color w:val="auto"/>
                <w:sz w:val="21"/>
                <w:szCs w:val="21"/>
              </w:rPr>
            </w:pPr>
          </w:p>
        </w:tc>
      </w:tr>
      <w:tr w14:paraId="0966D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06" w:hRule="atLeast"/>
          <w:jc w:val="center"/>
        </w:trPr>
        <w:tc>
          <w:tcPr>
            <w:tcW w:w="1300" w:type="pct"/>
            <w:noWrap w:val="0"/>
            <w:tcMar>
              <w:top w:w="15" w:type="dxa"/>
              <w:left w:w="15" w:type="dxa"/>
              <w:bottom w:w="0" w:type="dxa"/>
              <w:right w:w="15" w:type="dxa"/>
            </w:tcMar>
            <w:vAlign w:val="center"/>
          </w:tcPr>
          <w:p w14:paraId="32F2BB92">
            <w:pPr>
              <w:spacing w:line="240" w:lineRule="exact"/>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*设计单位</w:t>
            </w:r>
          </w:p>
        </w:tc>
        <w:tc>
          <w:tcPr>
            <w:tcW w:w="1130" w:type="pct"/>
            <w:noWrap w:val="0"/>
            <w:tcMar>
              <w:top w:w="15" w:type="dxa"/>
              <w:left w:w="15" w:type="dxa"/>
              <w:bottom w:w="0" w:type="dxa"/>
              <w:right w:w="15" w:type="dxa"/>
            </w:tcMar>
            <w:vAlign w:val="center"/>
          </w:tcPr>
          <w:p w14:paraId="20563E69">
            <w:pPr>
              <w:keepNext w:val="0"/>
              <w:keepLines w:val="0"/>
              <w:widowControl/>
              <w:suppressLineNumbers w:val="0"/>
              <w:spacing w:line="240" w:lineRule="auto"/>
              <w:ind w:firstLine="0" w:firstLineChars="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lang w:val="en-US" w:eastAsia="zh-CN" w:bidi="ar"/>
              </w:rPr>
              <w:t>1963年南昌有色设计院后由2008年江西省冶金设计院加高扩容设计，2012年由长沙有色冶金设计研究院有限公司</w:t>
            </w:r>
          </w:p>
        </w:tc>
        <w:tc>
          <w:tcPr>
            <w:tcW w:w="1047" w:type="pct"/>
            <w:noWrap w:val="0"/>
            <w:tcMar>
              <w:top w:w="15" w:type="dxa"/>
              <w:left w:w="15" w:type="dxa"/>
              <w:bottom w:w="0" w:type="dxa"/>
              <w:right w:w="15" w:type="dxa"/>
            </w:tcMar>
            <w:vAlign w:val="center"/>
          </w:tcPr>
          <w:p w14:paraId="5E18FDB1">
            <w:pPr>
              <w:spacing w:line="240" w:lineRule="exact"/>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*设计审批单位</w:t>
            </w:r>
          </w:p>
        </w:tc>
        <w:tc>
          <w:tcPr>
            <w:tcW w:w="1523" w:type="pct"/>
            <w:noWrap w:val="0"/>
            <w:tcMar>
              <w:top w:w="15" w:type="dxa"/>
              <w:left w:w="15" w:type="dxa"/>
              <w:bottom w:w="0" w:type="dxa"/>
              <w:right w:w="15" w:type="dxa"/>
            </w:tcMar>
            <w:vAlign w:val="center"/>
          </w:tcPr>
          <w:p w14:paraId="638A960A">
            <w:pPr>
              <w:spacing w:line="240" w:lineRule="exact"/>
              <w:ind w:firstLine="0" w:firstLine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分别由江西省冶金厅，原江西省安全生产监督管理局审批</w:t>
            </w:r>
          </w:p>
        </w:tc>
      </w:tr>
      <w:tr w14:paraId="23E7B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5" w:hRule="atLeast"/>
          <w:jc w:val="center"/>
        </w:trPr>
        <w:tc>
          <w:tcPr>
            <w:tcW w:w="1300" w:type="pct"/>
            <w:noWrap w:val="0"/>
            <w:tcMar>
              <w:top w:w="15" w:type="dxa"/>
              <w:left w:w="15" w:type="dxa"/>
              <w:bottom w:w="0" w:type="dxa"/>
              <w:right w:w="15" w:type="dxa"/>
            </w:tcMar>
            <w:vAlign w:val="center"/>
          </w:tcPr>
          <w:p w14:paraId="26CDA196">
            <w:pPr>
              <w:spacing w:line="240" w:lineRule="exact"/>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总库容（万m</w:t>
            </w:r>
            <w:r>
              <w:rPr>
                <w:rFonts w:hint="default" w:ascii="Times New Roman" w:hAnsi="Times New Roman" w:eastAsia="宋体" w:cs="Times New Roman"/>
                <w:bCs/>
                <w:color w:val="auto"/>
                <w:sz w:val="21"/>
                <w:szCs w:val="21"/>
                <w:vertAlign w:val="superscript"/>
              </w:rPr>
              <w:t>3</w:t>
            </w:r>
            <w:r>
              <w:rPr>
                <w:rFonts w:hint="default" w:ascii="Times New Roman" w:hAnsi="Times New Roman" w:eastAsia="宋体" w:cs="Times New Roman"/>
                <w:bCs/>
                <w:color w:val="auto"/>
                <w:sz w:val="21"/>
                <w:szCs w:val="21"/>
              </w:rPr>
              <w:t>）</w:t>
            </w:r>
          </w:p>
        </w:tc>
        <w:tc>
          <w:tcPr>
            <w:tcW w:w="1130" w:type="pct"/>
            <w:noWrap w:val="0"/>
            <w:tcMar>
              <w:top w:w="15" w:type="dxa"/>
              <w:left w:w="15" w:type="dxa"/>
              <w:bottom w:w="0" w:type="dxa"/>
              <w:right w:w="15" w:type="dxa"/>
            </w:tcMar>
            <w:vAlign w:val="center"/>
          </w:tcPr>
          <w:p w14:paraId="71C0FAC6">
            <w:pPr>
              <w:spacing w:line="240" w:lineRule="exact"/>
              <w:ind w:firstLine="0" w:firstLineChars="0"/>
              <w:jc w:val="center"/>
              <w:rPr>
                <w:rFonts w:hint="default" w:ascii="Times New Roman" w:hAnsi="Times New Roman" w:eastAsia="宋体" w:cs="Times New Roman"/>
                <w:color w:val="auto"/>
                <w:sz w:val="21"/>
                <w:szCs w:val="21"/>
              </w:rPr>
            </w:pPr>
            <w:r>
              <w:rPr>
                <w:rFonts w:hint="eastAsia" w:eastAsia="宋体"/>
                <w:color w:val="auto"/>
                <w:sz w:val="21"/>
                <w:szCs w:val="21"/>
                <w:lang w:val="en-US" w:eastAsia="zh-CN"/>
              </w:rPr>
              <w:t>956.68</w:t>
            </w:r>
          </w:p>
        </w:tc>
        <w:tc>
          <w:tcPr>
            <w:tcW w:w="1047" w:type="pct"/>
            <w:noWrap w:val="0"/>
            <w:tcMar>
              <w:top w:w="15" w:type="dxa"/>
              <w:left w:w="15" w:type="dxa"/>
              <w:bottom w:w="0" w:type="dxa"/>
              <w:right w:w="15" w:type="dxa"/>
            </w:tcMar>
            <w:vAlign w:val="center"/>
          </w:tcPr>
          <w:p w14:paraId="4CDE7135">
            <w:pPr>
              <w:spacing w:line="240" w:lineRule="exact"/>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已堆积库容（万m</w:t>
            </w:r>
            <w:r>
              <w:rPr>
                <w:rFonts w:hint="default" w:ascii="Times New Roman" w:hAnsi="Times New Roman" w:eastAsia="宋体" w:cs="Times New Roman"/>
                <w:bCs/>
                <w:color w:val="auto"/>
                <w:sz w:val="21"/>
                <w:szCs w:val="21"/>
                <w:vertAlign w:val="superscript"/>
              </w:rPr>
              <w:t>3</w:t>
            </w:r>
            <w:r>
              <w:rPr>
                <w:rFonts w:hint="default" w:ascii="Times New Roman" w:hAnsi="Times New Roman" w:eastAsia="宋体" w:cs="Times New Roman"/>
                <w:bCs/>
                <w:color w:val="auto"/>
                <w:sz w:val="21"/>
                <w:szCs w:val="21"/>
              </w:rPr>
              <w:t>）</w:t>
            </w:r>
          </w:p>
        </w:tc>
        <w:tc>
          <w:tcPr>
            <w:tcW w:w="1523" w:type="pct"/>
            <w:noWrap w:val="0"/>
            <w:tcMar>
              <w:top w:w="15" w:type="dxa"/>
              <w:left w:w="15" w:type="dxa"/>
              <w:bottom w:w="0" w:type="dxa"/>
              <w:right w:w="15" w:type="dxa"/>
            </w:tcMar>
            <w:vAlign w:val="center"/>
          </w:tcPr>
          <w:p w14:paraId="75B290C0">
            <w:pPr>
              <w:spacing w:line="240" w:lineRule="exact"/>
              <w:ind w:firstLine="0" w:firstLineChars="0"/>
              <w:jc w:val="center"/>
              <w:rPr>
                <w:rFonts w:hint="default" w:ascii="Times New Roman" w:hAnsi="Times New Roman" w:eastAsia="宋体" w:cs="Times New Roman"/>
                <w:color w:val="auto"/>
                <w:sz w:val="21"/>
                <w:szCs w:val="21"/>
              </w:rPr>
            </w:pPr>
            <w:r>
              <w:rPr>
                <w:rFonts w:hint="eastAsia"/>
                <w:color w:val="auto"/>
                <w:sz w:val="21"/>
                <w:szCs w:val="21"/>
              </w:rPr>
              <w:t>3</w:t>
            </w:r>
            <w:r>
              <w:rPr>
                <w:rFonts w:hint="eastAsia" w:ascii="Times New Roman" w:eastAsia="宋体"/>
                <w:color w:val="auto"/>
                <w:sz w:val="21"/>
                <w:szCs w:val="21"/>
                <w:lang w:val="en-US" w:eastAsia="zh-CN"/>
              </w:rPr>
              <w:t>98</w:t>
            </w:r>
          </w:p>
        </w:tc>
      </w:tr>
      <w:tr w14:paraId="29784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5" w:hRule="atLeast"/>
          <w:jc w:val="center"/>
        </w:trPr>
        <w:tc>
          <w:tcPr>
            <w:tcW w:w="1300" w:type="pct"/>
            <w:noWrap w:val="0"/>
            <w:tcMar>
              <w:top w:w="15" w:type="dxa"/>
              <w:left w:w="15" w:type="dxa"/>
              <w:bottom w:w="0" w:type="dxa"/>
              <w:right w:w="15" w:type="dxa"/>
            </w:tcMar>
            <w:vAlign w:val="center"/>
          </w:tcPr>
          <w:p w14:paraId="123DD924">
            <w:pPr>
              <w:spacing w:line="240" w:lineRule="exact"/>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*设计坝高（m）</w:t>
            </w:r>
          </w:p>
        </w:tc>
        <w:tc>
          <w:tcPr>
            <w:tcW w:w="1130" w:type="pct"/>
            <w:noWrap w:val="0"/>
            <w:tcMar>
              <w:top w:w="15" w:type="dxa"/>
              <w:left w:w="15" w:type="dxa"/>
              <w:bottom w:w="0" w:type="dxa"/>
              <w:right w:w="15" w:type="dxa"/>
            </w:tcMar>
            <w:vAlign w:val="center"/>
          </w:tcPr>
          <w:p w14:paraId="31707FAE">
            <w:pPr>
              <w:spacing w:line="24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55</w:t>
            </w:r>
          </w:p>
        </w:tc>
        <w:tc>
          <w:tcPr>
            <w:tcW w:w="1047" w:type="pct"/>
            <w:noWrap w:val="0"/>
            <w:tcMar>
              <w:top w:w="15" w:type="dxa"/>
              <w:left w:w="15" w:type="dxa"/>
              <w:bottom w:w="0" w:type="dxa"/>
              <w:right w:w="15" w:type="dxa"/>
            </w:tcMar>
            <w:vAlign w:val="center"/>
          </w:tcPr>
          <w:p w14:paraId="1BF3E234">
            <w:pPr>
              <w:spacing w:line="240" w:lineRule="exact"/>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*目前坝高（m）</w:t>
            </w:r>
          </w:p>
        </w:tc>
        <w:tc>
          <w:tcPr>
            <w:tcW w:w="1523" w:type="pct"/>
            <w:noWrap w:val="0"/>
            <w:tcMar>
              <w:top w:w="15" w:type="dxa"/>
              <w:left w:w="15" w:type="dxa"/>
              <w:bottom w:w="0" w:type="dxa"/>
              <w:right w:w="15" w:type="dxa"/>
            </w:tcMar>
            <w:vAlign w:val="center"/>
          </w:tcPr>
          <w:p w14:paraId="172ED849">
            <w:pPr>
              <w:spacing w:line="240" w:lineRule="exact"/>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55</w:t>
            </w:r>
          </w:p>
        </w:tc>
      </w:tr>
      <w:tr w14:paraId="0D6CA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5" w:hRule="atLeast"/>
          <w:jc w:val="center"/>
        </w:trPr>
        <w:tc>
          <w:tcPr>
            <w:tcW w:w="1300" w:type="pct"/>
            <w:noWrap w:val="0"/>
            <w:tcMar>
              <w:top w:w="15" w:type="dxa"/>
              <w:left w:w="15" w:type="dxa"/>
              <w:bottom w:w="0" w:type="dxa"/>
              <w:right w:w="15" w:type="dxa"/>
            </w:tcMar>
            <w:vAlign w:val="center"/>
          </w:tcPr>
          <w:p w14:paraId="2D1529BF">
            <w:pPr>
              <w:spacing w:line="240" w:lineRule="exact"/>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*尾矿库等别</w:t>
            </w:r>
          </w:p>
        </w:tc>
        <w:tc>
          <w:tcPr>
            <w:tcW w:w="1130" w:type="pct"/>
            <w:noWrap w:val="0"/>
            <w:tcMar>
              <w:top w:w="15" w:type="dxa"/>
              <w:left w:w="15" w:type="dxa"/>
              <w:bottom w:w="0" w:type="dxa"/>
              <w:right w:w="15" w:type="dxa"/>
            </w:tcMar>
            <w:vAlign w:val="center"/>
          </w:tcPr>
          <w:p w14:paraId="22E3F1B5">
            <w:pPr>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三等</w:t>
            </w:r>
          </w:p>
        </w:tc>
        <w:tc>
          <w:tcPr>
            <w:tcW w:w="1047" w:type="pct"/>
            <w:noWrap w:val="0"/>
            <w:tcMar>
              <w:top w:w="15" w:type="dxa"/>
              <w:left w:w="15" w:type="dxa"/>
              <w:bottom w:w="0" w:type="dxa"/>
              <w:right w:w="15" w:type="dxa"/>
            </w:tcMar>
            <w:vAlign w:val="center"/>
          </w:tcPr>
          <w:p w14:paraId="142EC4B0">
            <w:pPr>
              <w:spacing w:line="240" w:lineRule="exact"/>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*库型</w:t>
            </w:r>
          </w:p>
        </w:tc>
        <w:tc>
          <w:tcPr>
            <w:tcW w:w="1523" w:type="pct"/>
            <w:noWrap w:val="0"/>
            <w:tcMar>
              <w:top w:w="15" w:type="dxa"/>
              <w:left w:w="15" w:type="dxa"/>
              <w:bottom w:w="0" w:type="dxa"/>
              <w:right w:w="15" w:type="dxa"/>
            </w:tcMar>
            <w:vAlign w:val="center"/>
          </w:tcPr>
          <w:p w14:paraId="1F0E2420">
            <w:pPr>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山</w:t>
            </w:r>
            <w:r>
              <w:rPr>
                <w:rFonts w:hint="default" w:ascii="Times New Roman" w:hAnsi="Times New Roman" w:eastAsia="宋体" w:cs="Times New Roman"/>
                <w:color w:val="auto"/>
                <w:sz w:val="21"/>
                <w:szCs w:val="21"/>
              </w:rPr>
              <w:t>谷型</w:t>
            </w:r>
          </w:p>
        </w:tc>
      </w:tr>
      <w:tr w14:paraId="5B1FB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5" w:hRule="atLeast"/>
          <w:jc w:val="center"/>
        </w:trPr>
        <w:tc>
          <w:tcPr>
            <w:tcW w:w="1300" w:type="pct"/>
            <w:noWrap w:val="0"/>
            <w:tcMar>
              <w:top w:w="15" w:type="dxa"/>
              <w:left w:w="15" w:type="dxa"/>
              <w:bottom w:w="0" w:type="dxa"/>
              <w:right w:w="15" w:type="dxa"/>
            </w:tcMar>
            <w:vAlign w:val="center"/>
          </w:tcPr>
          <w:p w14:paraId="7DB81C40">
            <w:pPr>
              <w:spacing w:line="240" w:lineRule="exact"/>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*安全度分类</w:t>
            </w:r>
          </w:p>
        </w:tc>
        <w:tc>
          <w:tcPr>
            <w:tcW w:w="1130" w:type="pct"/>
            <w:noWrap w:val="0"/>
            <w:tcMar>
              <w:top w:w="15" w:type="dxa"/>
              <w:left w:w="15" w:type="dxa"/>
              <w:bottom w:w="0" w:type="dxa"/>
              <w:right w:w="15" w:type="dxa"/>
            </w:tcMar>
            <w:vAlign w:val="center"/>
          </w:tcPr>
          <w:p w14:paraId="06A57A2A">
            <w:pPr>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正常库</w:t>
            </w:r>
          </w:p>
        </w:tc>
        <w:tc>
          <w:tcPr>
            <w:tcW w:w="1047" w:type="pct"/>
            <w:noWrap w:val="0"/>
            <w:tcMar>
              <w:top w:w="15" w:type="dxa"/>
              <w:left w:w="15" w:type="dxa"/>
              <w:bottom w:w="0" w:type="dxa"/>
              <w:right w:w="15" w:type="dxa"/>
            </w:tcMar>
            <w:vAlign w:val="center"/>
          </w:tcPr>
          <w:p w14:paraId="103BACF7">
            <w:pPr>
              <w:spacing w:line="240" w:lineRule="exact"/>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*筑坝方式</w:t>
            </w:r>
          </w:p>
        </w:tc>
        <w:tc>
          <w:tcPr>
            <w:tcW w:w="1523" w:type="pct"/>
            <w:noWrap w:val="0"/>
            <w:tcMar>
              <w:top w:w="15" w:type="dxa"/>
              <w:left w:w="15" w:type="dxa"/>
              <w:bottom w:w="0" w:type="dxa"/>
              <w:right w:w="15" w:type="dxa"/>
            </w:tcMar>
            <w:vAlign w:val="center"/>
          </w:tcPr>
          <w:p w14:paraId="669C75F7">
            <w:pPr>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上游</w:t>
            </w:r>
            <w:r>
              <w:rPr>
                <w:rFonts w:hint="default" w:ascii="Times New Roman" w:hAnsi="Times New Roman" w:eastAsia="宋体" w:cs="Times New Roman"/>
                <w:color w:val="auto"/>
                <w:sz w:val="21"/>
                <w:szCs w:val="21"/>
              </w:rPr>
              <w:t>尾矿筑坝</w:t>
            </w:r>
          </w:p>
        </w:tc>
      </w:tr>
      <w:tr w14:paraId="48E7E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3" w:hRule="atLeast"/>
          <w:jc w:val="center"/>
        </w:trPr>
        <w:tc>
          <w:tcPr>
            <w:tcW w:w="1300" w:type="pct"/>
            <w:noWrap w:val="0"/>
            <w:tcMar>
              <w:top w:w="15" w:type="dxa"/>
              <w:left w:w="15" w:type="dxa"/>
              <w:bottom w:w="0" w:type="dxa"/>
              <w:right w:w="15" w:type="dxa"/>
            </w:tcMar>
            <w:vAlign w:val="center"/>
          </w:tcPr>
          <w:p w14:paraId="00F99DD8">
            <w:pPr>
              <w:spacing w:line="240" w:lineRule="exact"/>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*是否获得安全生产许可证</w:t>
            </w:r>
          </w:p>
        </w:tc>
        <w:tc>
          <w:tcPr>
            <w:tcW w:w="1130" w:type="pct"/>
            <w:noWrap w:val="0"/>
            <w:tcMar>
              <w:top w:w="15" w:type="dxa"/>
              <w:left w:w="15" w:type="dxa"/>
              <w:bottom w:w="0" w:type="dxa"/>
              <w:right w:w="15" w:type="dxa"/>
            </w:tcMar>
            <w:vAlign w:val="center"/>
          </w:tcPr>
          <w:p w14:paraId="2406EB79">
            <w:pPr>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是</w:t>
            </w:r>
          </w:p>
        </w:tc>
        <w:tc>
          <w:tcPr>
            <w:tcW w:w="1047" w:type="pct"/>
            <w:noWrap w:val="0"/>
            <w:tcMar>
              <w:top w:w="15" w:type="dxa"/>
              <w:left w:w="15" w:type="dxa"/>
              <w:bottom w:w="0" w:type="dxa"/>
              <w:right w:w="15" w:type="dxa"/>
            </w:tcMar>
            <w:vAlign w:val="center"/>
          </w:tcPr>
          <w:p w14:paraId="07BD45A3">
            <w:pPr>
              <w:spacing w:line="240" w:lineRule="exact"/>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*安全评价单位</w:t>
            </w:r>
          </w:p>
        </w:tc>
        <w:tc>
          <w:tcPr>
            <w:tcW w:w="1523" w:type="pct"/>
            <w:noWrap w:val="0"/>
            <w:tcMar>
              <w:top w:w="15" w:type="dxa"/>
              <w:left w:w="15" w:type="dxa"/>
              <w:bottom w:w="0" w:type="dxa"/>
              <w:right w:w="15" w:type="dxa"/>
            </w:tcMar>
            <w:vAlign w:val="center"/>
          </w:tcPr>
          <w:p w14:paraId="598C1165">
            <w:pPr>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江西赣安安全生产</w:t>
            </w:r>
          </w:p>
          <w:p w14:paraId="308422B8">
            <w:pPr>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科学技术咨询服务中心</w:t>
            </w:r>
          </w:p>
        </w:tc>
      </w:tr>
      <w:tr w14:paraId="7E421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2" w:hRule="exact"/>
          <w:jc w:val="center"/>
        </w:trPr>
        <w:tc>
          <w:tcPr>
            <w:tcW w:w="1300" w:type="pct"/>
            <w:noWrap w:val="0"/>
            <w:tcMar>
              <w:top w:w="15" w:type="dxa"/>
              <w:left w:w="15" w:type="dxa"/>
              <w:bottom w:w="0" w:type="dxa"/>
              <w:right w:w="15" w:type="dxa"/>
            </w:tcMar>
            <w:vAlign w:val="center"/>
          </w:tcPr>
          <w:p w14:paraId="74946C80">
            <w:pPr>
              <w:spacing w:line="240" w:lineRule="auto"/>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安全评估意见</w:t>
            </w:r>
          </w:p>
        </w:tc>
        <w:tc>
          <w:tcPr>
            <w:tcW w:w="3700" w:type="pct"/>
            <w:gridSpan w:val="3"/>
            <w:noWrap w:val="0"/>
            <w:tcMar>
              <w:top w:w="15" w:type="dxa"/>
              <w:left w:w="15" w:type="dxa"/>
              <w:bottom w:w="0" w:type="dxa"/>
              <w:right w:w="15" w:type="dxa"/>
            </w:tcMar>
            <w:vAlign w:val="center"/>
          </w:tcPr>
          <w:p w14:paraId="7790A383">
            <w:pPr>
              <w:spacing w:line="240" w:lineRule="auto"/>
              <w:ind w:firstLine="0" w:firstLine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lang w:val="zh-CN"/>
              </w:rPr>
              <w:t>安全生产条件一般，能满足基本的安全生产活动</w:t>
            </w:r>
            <w:r>
              <w:rPr>
                <w:rFonts w:hint="default" w:ascii="Times New Roman" w:hAnsi="Times New Roman" w:eastAsia="宋体" w:cs="Times New Roman"/>
                <w:color w:val="auto"/>
                <w:sz w:val="21"/>
                <w:szCs w:val="21"/>
              </w:rPr>
              <w:t>，为正常库。</w:t>
            </w:r>
          </w:p>
        </w:tc>
      </w:tr>
      <w:tr w14:paraId="3C570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 w:hRule="atLeast"/>
          <w:jc w:val="center"/>
        </w:trPr>
        <w:tc>
          <w:tcPr>
            <w:tcW w:w="1300" w:type="pct"/>
            <w:noWrap w:val="0"/>
            <w:tcMar>
              <w:top w:w="15" w:type="dxa"/>
              <w:left w:w="15" w:type="dxa"/>
              <w:bottom w:w="0" w:type="dxa"/>
              <w:right w:w="15" w:type="dxa"/>
            </w:tcMar>
            <w:vAlign w:val="center"/>
          </w:tcPr>
          <w:p w14:paraId="5149833F">
            <w:pPr>
              <w:spacing w:line="240" w:lineRule="auto"/>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尾矿库及库区存在的</w:t>
            </w:r>
          </w:p>
          <w:p w14:paraId="3E8A50A0">
            <w:pPr>
              <w:spacing w:line="240" w:lineRule="auto"/>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主要安全问题</w:t>
            </w:r>
          </w:p>
        </w:tc>
        <w:tc>
          <w:tcPr>
            <w:tcW w:w="3700" w:type="pct"/>
            <w:gridSpan w:val="3"/>
            <w:noWrap w:val="0"/>
            <w:tcMar>
              <w:top w:w="15" w:type="dxa"/>
              <w:left w:w="15" w:type="dxa"/>
              <w:bottom w:w="0" w:type="dxa"/>
              <w:right w:w="15" w:type="dxa"/>
            </w:tcMar>
            <w:vAlign w:val="center"/>
          </w:tcPr>
          <w:p w14:paraId="1E14343E">
            <w:pPr>
              <w:spacing w:line="400" w:lineRule="exact"/>
              <w:ind w:firstLine="0" w:firstLine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无</w:t>
            </w:r>
          </w:p>
        </w:tc>
      </w:tr>
      <w:tr w14:paraId="44F18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1" w:hRule="atLeast"/>
          <w:jc w:val="center"/>
        </w:trPr>
        <w:tc>
          <w:tcPr>
            <w:tcW w:w="1300" w:type="pct"/>
            <w:noWrap w:val="0"/>
            <w:tcMar>
              <w:top w:w="15" w:type="dxa"/>
              <w:left w:w="15" w:type="dxa"/>
              <w:bottom w:w="0" w:type="dxa"/>
              <w:right w:w="15" w:type="dxa"/>
            </w:tcMar>
            <w:vAlign w:val="center"/>
          </w:tcPr>
          <w:p w14:paraId="07952F01">
            <w:pPr>
              <w:spacing w:line="240" w:lineRule="auto"/>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近五年生产安全事故情况</w:t>
            </w:r>
          </w:p>
        </w:tc>
        <w:tc>
          <w:tcPr>
            <w:tcW w:w="3700" w:type="pct"/>
            <w:gridSpan w:val="3"/>
            <w:noWrap w:val="0"/>
            <w:tcMar>
              <w:top w:w="15" w:type="dxa"/>
              <w:left w:w="15" w:type="dxa"/>
              <w:bottom w:w="0" w:type="dxa"/>
              <w:right w:w="15" w:type="dxa"/>
            </w:tcMar>
            <w:vAlign w:val="center"/>
          </w:tcPr>
          <w:p w14:paraId="462C42F4">
            <w:pPr>
              <w:spacing w:line="240" w:lineRule="auto"/>
              <w:ind w:firstLine="0" w:firstLine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无</w:t>
            </w:r>
          </w:p>
        </w:tc>
      </w:tr>
    </w:tbl>
    <w:p w14:paraId="4687F757">
      <w:pPr>
        <w:pStyle w:val="3"/>
        <w:bidi w:val="0"/>
        <w:rPr>
          <w:rFonts w:hint="default"/>
          <w:color w:val="auto"/>
          <w:lang w:val="en-US" w:eastAsia="zh-CN"/>
        </w:rPr>
      </w:pPr>
      <w:bookmarkStart w:id="75" w:name="_Toc32651"/>
      <w:r>
        <w:rPr>
          <w:rFonts w:hint="default"/>
          <w:color w:val="auto"/>
          <w:lang w:val="en-US" w:eastAsia="zh-CN"/>
        </w:rPr>
        <w:t>2.3</w:t>
      </w:r>
      <w:r>
        <w:rPr>
          <w:rFonts w:hint="eastAsia"/>
          <w:color w:val="auto"/>
          <w:lang w:val="en-US" w:eastAsia="zh-CN"/>
        </w:rPr>
        <w:t xml:space="preserve"> </w:t>
      </w:r>
      <w:r>
        <w:rPr>
          <w:rFonts w:hint="default"/>
          <w:color w:val="auto"/>
          <w:lang w:val="en-US" w:eastAsia="zh-CN"/>
        </w:rPr>
        <w:t>气候条件</w:t>
      </w:r>
      <w:bookmarkEnd w:id="75"/>
    </w:p>
    <w:p w14:paraId="241786E0">
      <w:pPr>
        <w:bidi w:val="0"/>
        <w:rPr>
          <w:rFonts w:hint="default"/>
          <w:color w:val="auto"/>
          <w:lang w:val="en-US" w:eastAsia="zh-CN"/>
        </w:rPr>
      </w:pPr>
      <w:r>
        <w:rPr>
          <w:rFonts w:hint="default"/>
          <w:color w:val="auto"/>
          <w:lang w:val="en-US" w:eastAsia="zh-CN"/>
        </w:rPr>
        <w:t>本区属亚热带季风型气候区，四季分明，日照较少，雨量充沛。气候概况为：春常低温连阴雨，春播季节日照稀。春夏易涝秋有旱，晚秋低温有危害。盛夏之季无酷热，隆冬时节少严寒。水热资源尤充足，夏南冬北风向多。年平均气温17.8℃。最热月为7月</w:t>
      </w:r>
      <w:r>
        <w:rPr>
          <w:rFonts w:hint="eastAsia" w:ascii="宋体" w:hAnsi="宋体" w:eastAsia="宋体" w:cs="宋体"/>
          <w:color w:val="auto"/>
          <w:lang w:val="en-US" w:eastAsia="zh-CN"/>
        </w:rPr>
        <w:t>～</w:t>
      </w:r>
      <w:r>
        <w:rPr>
          <w:rFonts w:hint="default"/>
          <w:color w:val="auto"/>
          <w:lang w:val="en-US" w:eastAsia="zh-CN"/>
        </w:rPr>
        <w:t>8月，平均气温28.9℃，最冷月为1月，平均气温5.9℃。极端最高、最低气温分别为40.8℃和</w:t>
      </w:r>
      <w:r>
        <w:rPr>
          <w:rFonts w:hint="eastAsia" w:ascii="宋体" w:hAnsi="宋体" w:eastAsia="宋体" w:cs="宋体"/>
          <w:color w:val="auto"/>
          <w:lang w:val="en-US" w:eastAsia="zh-CN"/>
        </w:rPr>
        <w:t>-</w:t>
      </w:r>
      <w:r>
        <w:rPr>
          <w:rFonts w:hint="default"/>
          <w:color w:val="auto"/>
          <w:lang w:val="en-US" w:eastAsia="zh-CN"/>
        </w:rPr>
        <w:t>8.3℃。年均降水量1553mm，年均降水日166天。降水明显集中在春季和初夏。年均日照时数1649h。年无霜期279d，最长323d，最短247d。</w:t>
      </w:r>
    </w:p>
    <w:p w14:paraId="10B87E3F">
      <w:pPr>
        <w:pStyle w:val="3"/>
        <w:bidi w:val="0"/>
        <w:rPr>
          <w:rFonts w:hint="default"/>
          <w:color w:val="auto"/>
          <w:lang w:val="en-US" w:eastAsia="zh-CN"/>
        </w:rPr>
      </w:pPr>
      <w:bookmarkStart w:id="76" w:name="_Toc9863"/>
      <w:r>
        <w:rPr>
          <w:rFonts w:hint="default"/>
          <w:color w:val="auto"/>
          <w:lang w:val="en-US" w:eastAsia="zh-CN"/>
        </w:rPr>
        <w:t>2.4</w:t>
      </w:r>
      <w:r>
        <w:rPr>
          <w:rFonts w:hint="eastAsia"/>
          <w:color w:val="auto"/>
          <w:lang w:val="en-US" w:eastAsia="zh-CN"/>
        </w:rPr>
        <w:t xml:space="preserve"> </w:t>
      </w:r>
      <w:r>
        <w:rPr>
          <w:rFonts w:hint="default"/>
          <w:color w:val="auto"/>
          <w:lang w:val="en-US" w:eastAsia="zh-CN"/>
        </w:rPr>
        <w:t>地质概况</w:t>
      </w:r>
      <w:bookmarkEnd w:id="76"/>
    </w:p>
    <w:p w14:paraId="7FA03C45">
      <w:pPr>
        <w:rPr>
          <w:rFonts w:hint="default"/>
          <w:color w:val="auto"/>
          <w:lang w:val="en-US" w:eastAsia="zh-CN"/>
        </w:rPr>
      </w:pPr>
      <w:r>
        <w:rPr>
          <w:rFonts w:hint="default"/>
          <w:color w:val="auto"/>
          <w:lang w:val="en-US" w:eastAsia="zh-CN"/>
        </w:rPr>
        <w:t>工程地质资料主要引用《江西浒坑钨业有限公司杨家店尾矿库隐患综合治理工程（水文）地质勘察报告》（核工业广州工程勘察院，2010年11月）及《江西浒坑钨业有限公司杨家店尾矿库尾矿坝稳定性分析（水文）地质勘察工程地质勘察报告》（江西省天久地矿建设工程院，2021年06月）。</w:t>
      </w:r>
    </w:p>
    <w:p w14:paraId="41615757">
      <w:pPr>
        <w:pStyle w:val="4"/>
        <w:bidi w:val="0"/>
        <w:rPr>
          <w:rFonts w:hint="default"/>
          <w:color w:val="auto"/>
          <w:lang w:val="en-US" w:eastAsia="zh-CN"/>
        </w:rPr>
      </w:pPr>
      <w:bookmarkStart w:id="77" w:name="_Toc9404"/>
      <w:r>
        <w:rPr>
          <w:rFonts w:hint="default"/>
          <w:color w:val="auto"/>
          <w:lang w:val="en-US" w:eastAsia="zh-CN"/>
        </w:rPr>
        <w:t>2.4.1</w:t>
      </w:r>
      <w:r>
        <w:rPr>
          <w:rFonts w:hint="eastAsia"/>
          <w:color w:val="auto"/>
          <w:lang w:val="en-US" w:eastAsia="zh-CN"/>
        </w:rPr>
        <w:t xml:space="preserve"> </w:t>
      </w:r>
      <w:r>
        <w:rPr>
          <w:rFonts w:hint="default"/>
          <w:color w:val="auto"/>
          <w:lang w:val="en-US" w:eastAsia="zh-CN"/>
        </w:rPr>
        <w:t>区域地质概况</w:t>
      </w:r>
      <w:bookmarkEnd w:id="77"/>
    </w:p>
    <w:p w14:paraId="1E13448A">
      <w:pPr>
        <w:rPr>
          <w:rFonts w:hint="default"/>
          <w:color w:val="auto"/>
          <w:lang w:val="en-US" w:eastAsia="zh-CN"/>
        </w:rPr>
      </w:pPr>
      <w:r>
        <w:rPr>
          <w:rFonts w:hint="eastAsia"/>
          <w:color w:val="auto"/>
          <w:lang w:val="en-US" w:eastAsia="zh-CN"/>
        </w:rPr>
        <w:t xml:space="preserve">1. </w:t>
      </w:r>
      <w:r>
        <w:rPr>
          <w:rFonts w:hint="default"/>
          <w:color w:val="auto"/>
          <w:lang w:val="en-US" w:eastAsia="zh-CN"/>
        </w:rPr>
        <w:t>地理位置及地形地貌</w:t>
      </w:r>
    </w:p>
    <w:p w14:paraId="030120A7">
      <w:pPr>
        <w:rPr>
          <w:rFonts w:hint="default"/>
          <w:color w:val="auto"/>
          <w:lang w:val="en-US" w:eastAsia="zh-CN"/>
        </w:rPr>
      </w:pPr>
      <w:r>
        <w:rPr>
          <w:rFonts w:hint="default"/>
          <w:color w:val="auto"/>
          <w:lang w:val="en-US" w:eastAsia="zh-CN"/>
        </w:rPr>
        <w:t>江西浒坑钨业有限公司位于江西省安福县浒坑镇，隶属安福县浒坑镇管辖，杨家店尾矿库库区位于浒坑镇东北侧。杨家店尾矿库库区为寒武系、燕山早期岩浆岩组成的构造侵蚀高丘地形，库区两岸山体坡度较平缓，一般为20</w:t>
      </w:r>
      <w:r>
        <w:rPr>
          <w:rFonts w:hint="eastAsia" w:ascii="宋体" w:hAnsi="宋体" w:eastAsia="宋体" w:cs="宋体"/>
          <w:color w:val="auto"/>
          <w:lang w:val="en-US" w:eastAsia="zh-CN"/>
        </w:rPr>
        <w:t>º</w:t>
      </w:r>
      <w:r>
        <w:rPr>
          <w:rFonts w:hint="default"/>
          <w:color w:val="auto"/>
          <w:lang w:val="en-US" w:eastAsia="zh-CN"/>
        </w:rPr>
        <w:t>～30</w:t>
      </w:r>
      <w:r>
        <w:rPr>
          <w:rFonts w:hint="eastAsia" w:ascii="宋体" w:hAnsi="宋体" w:eastAsia="宋体" w:cs="宋体"/>
          <w:color w:val="auto"/>
          <w:lang w:val="en-US" w:eastAsia="zh-CN"/>
        </w:rPr>
        <w:t>º</w:t>
      </w:r>
      <w:r>
        <w:rPr>
          <w:rFonts w:hint="default"/>
          <w:color w:val="auto"/>
          <w:lang w:val="en-US" w:eastAsia="zh-CN"/>
        </w:rPr>
        <w:t>，周围山体植被发育茂盛，尾矿库选址在选矿厂北东方向约0.8km处的山谷中，该处三面环山，形似脚掌状，前宽后窄，仅有一狭长出口。根据现场踏勘及甲方提供资料知，目前浒坑尾矿库由初期碾压堆石坝、后期尾砂堆积坝、排</w:t>
      </w:r>
      <w:r>
        <w:rPr>
          <w:rFonts w:hint="eastAsia"/>
          <w:color w:val="auto"/>
          <w:lang w:val="en-US" w:eastAsia="zh-CN"/>
        </w:rPr>
        <w:t>洪</w:t>
      </w:r>
      <w:r>
        <w:rPr>
          <w:rFonts w:hint="default"/>
          <w:color w:val="auto"/>
          <w:lang w:val="en-US" w:eastAsia="zh-CN"/>
        </w:rPr>
        <w:t>设施组成。</w:t>
      </w:r>
    </w:p>
    <w:p w14:paraId="48B62CE0">
      <w:pPr>
        <w:rPr>
          <w:rFonts w:hint="default"/>
          <w:color w:val="auto"/>
          <w:lang w:val="en-US" w:eastAsia="zh-CN"/>
        </w:rPr>
      </w:pPr>
      <w:r>
        <w:rPr>
          <w:rFonts w:hint="eastAsia"/>
          <w:color w:val="auto"/>
          <w:lang w:val="en-US" w:eastAsia="zh-CN"/>
        </w:rPr>
        <w:t xml:space="preserve">2. </w:t>
      </w:r>
      <w:r>
        <w:rPr>
          <w:rFonts w:hint="default"/>
          <w:color w:val="auto"/>
          <w:lang w:val="en-US" w:eastAsia="zh-CN"/>
        </w:rPr>
        <w:t>主要区域构造</w:t>
      </w:r>
    </w:p>
    <w:p w14:paraId="1C5C8469">
      <w:pPr>
        <w:rPr>
          <w:rFonts w:hint="default"/>
          <w:color w:val="auto"/>
          <w:lang w:val="en-US" w:eastAsia="zh-CN"/>
        </w:rPr>
      </w:pPr>
      <w:r>
        <w:rPr>
          <w:rFonts w:hint="default"/>
          <w:color w:val="auto"/>
          <w:lang w:val="en-US" w:eastAsia="zh-CN"/>
        </w:rPr>
        <w:t>安福县浒坑乡境内主要处于武功山背斜轴向北东，至中部明月山则转为北东东～南西西方向。背斜核部主要为加里东期混合岩，两翼为震旦系下统老虎塘组和下古生界寒武系牛角河群浅变质岩系。断裂构造发育，燕山期岩浆活动强烈，武功山地区夹持于两条北东向的大断裂（萍乡～铅山深断裂与莲花～峡江大断裂）之间，区内燕山期断裂最为发育，以北东向为主，次为近东西向和北西向。断层规模不等，长达数公里至50余km，宽约数米至上百米，主要为高角度正断层。万龙山～温汤断裂：延长大于30km，宽约100m。表现为一系列宽约1m的破碎带，走向北东，倾向南东，倾角45</w:t>
      </w:r>
      <w:r>
        <w:rPr>
          <w:rFonts w:hint="eastAsia" w:ascii="宋体" w:hAnsi="宋体" w:eastAsia="宋体" w:cs="宋体"/>
          <w:color w:val="auto"/>
          <w:lang w:val="en-US" w:eastAsia="zh-CN"/>
        </w:rPr>
        <w:t>°</w:t>
      </w:r>
      <w:r>
        <w:rPr>
          <w:rFonts w:hint="default"/>
          <w:color w:val="auto"/>
          <w:lang w:val="en-US" w:eastAsia="zh-CN"/>
        </w:rPr>
        <w:t>～55</w:t>
      </w:r>
      <w:r>
        <w:rPr>
          <w:rFonts w:hint="eastAsia" w:ascii="宋体" w:hAnsi="宋体" w:eastAsia="宋体" w:cs="宋体"/>
          <w:color w:val="auto"/>
          <w:lang w:val="en-US" w:eastAsia="zh-CN"/>
        </w:rPr>
        <w:t>°</w:t>
      </w:r>
      <w:r>
        <w:rPr>
          <w:rFonts w:hint="default"/>
          <w:color w:val="auto"/>
          <w:lang w:val="en-US" w:eastAsia="zh-CN"/>
        </w:rPr>
        <w:t>，千枚岩碎裂化～角砾岩化，旁有小型拖褶曲存在。青万龙山断裂：延长大于25km，表现片理化带，走向北东，倾向北西。钱山～梅洲断裂：产于花岗岩中，延长大于50km。表现为破碎带，走向北东，倾向南东，倾角70度。浒坑～洪江断裂：延长大于35km，宽约50m。表现为破碎带，走向北东，倾向南东，倾角60</w:t>
      </w:r>
      <w:r>
        <w:rPr>
          <w:rFonts w:hint="eastAsia" w:ascii="宋体" w:hAnsi="宋体" w:eastAsia="宋体" w:cs="宋体"/>
          <w:color w:val="auto"/>
          <w:lang w:val="en-US" w:eastAsia="zh-CN"/>
        </w:rPr>
        <w:t>°</w:t>
      </w:r>
      <w:r>
        <w:rPr>
          <w:rFonts w:hint="default"/>
          <w:color w:val="auto"/>
          <w:lang w:val="en-US" w:eastAsia="zh-CN"/>
        </w:rPr>
        <w:t>～70</w:t>
      </w:r>
      <w:r>
        <w:rPr>
          <w:rFonts w:hint="eastAsia" w:ascii="宋体" w:hAnsi="宋体" w:eastAsia="宋体" w:cs="宋体"/>
          <w:color w:val="auto"/>
          <w:lang w:val="en-US" w:eastAsia="zh-CN"/>
        </w:rPr>
        <w:t>°</w:t>
      </w:r>
      <w:r>
        <w:rPr>
          <w:rFonts w:hint="default"/>
          <w:color w:val="auto"/>
          <w:lang w:val="en-US" w:eastAsia="zh-CN"/>
        </w:rPr>
        <w:t>。</w:t>
      </w:r>
    </w:p>
    <w:p w14:paraId="086885AB">
      <w:pPr>
        <w:rPr>
          <w:rFonts w:hint="default"/>
          <w:color w:val="auto"/>
          <w:lang w:val="en-US" w:eastAsia="zh-CN"/>
        </w:rPr>
      </w:pPr>
      <w:r>
        <w:rPr>
          <w:rFonts w:hint="default"/>
          <w:color w:val="auto"/>
          <w:lang w:val="en-US" w:eastAsia="zh-CN"/>
        </w:rPr>
        <w:t>浒坑钨矿矿床位于华西加里东褶皱系北缘的次一级构造武功山复背斜南翼。武功山复背斜向冀东，向北偏转为近东西向。背斜的核部主要为加里东混合岩，两翼出露地层主要是震旦系松山群下亚群老虎塘组。本区断裂构造发育，燕山期岩浆活动强烈。</w:t>
      </w:r>
    </w:p>
    <w:p w14:paraId="76F9824B">
      <w:pPr>
        <w:pStyle w:val="4"/>
        <w:bidi w:val="0"/>
        <w:rPr>
          <w:rFonts w:hint="default"/>
          <w:color w:val="auto"/>
          <w:lang w:val="en-US" w:eastAsia="zh-CN"/>
        </w:rPr>
      </w:pPr>
      <w:bookmarkStart w:id="78" w:name="_Toc6101"/>
      <w:r>
        <w:rPr>
          <w:rFonts w:hint="default"/>
          <w:color w:val="auto"/>
          <w:lang w:val="en-US" w:eastAsia="zh-CN"/>
        </w:rPr>
        <w:t>2.4.2</w:t>
      </w:r>
      <w:r>
        <w:rPr>
          <w:rFonts w:hint="eastAsia"/>
          <w:color w:val="auto"/>
          <w:lang w:val="en-US" w:eastAsia="zh-CN"/>
        </w:rPr>
        <w:t xml:space="preserve"> </w:t>
      </w:r>
      <w:r>
        <w:rPr>
          <w:rFonts w:hint="default"/>
          <w:color w:val="auto"/>
          <w:lang w:val="en-US" w:eastAsia="zh-CN"/>
        </w:rPr>
        <w:t>库区岩土工程条件</w:t>
      </w:r>
      <w:bookmarkEnd w:id="78"/>
    </w:p>
    <w:p w14:paraId="32A8CD58">
      <w:pPr>
        <w:rPr>
          <w:rFonts w:hint="default"/>
          <w:color w:val="auto"/>
          <w:lang w:val="en-US" w:eastAsia="zh-CN"/>
        </w:rPr>
      </w:pPr>
      <w:r>
        <w:rPr>
          <w:rFonts w:hint="eastAsia"/>
          <w:color w:val="auto"/>
          <w:lang w:val="en-US" w:eastAsia="zh-CN"/>
        </w:rPr>
        <w:t xml:space="preserve">1. </w:t>
      </w:r>
      <w:r>
        <w:rPr>
          <w:rFonts w:hint="default"/>
          <w:color w:val="auto"/>
          <w:lang w:val="en-US" w:eastAsia="zh-CN"/>
        </w:rPr>
        <w:t>尾矿库场地土、岩作如下分层：</w:t>
      </w:r>
    </w:p>
    <w:p w14:paraId="4F36CD23">
      <w:pPr>
        <w:rPr>
          <w:rFonts w:hint="default"/>
          <w:color w:val="auto"/>
          <w:lang w:val="en-US" w:eastAsia="zh-CN"/>
        </w:rPr>
      </w:pPr>
      <w:r>
        <w:rPr>
          <w:rFonts w:hint="default"/>
          <w:color w:val="auto"/>
          <w:lang w:val="en-US" w:eastAsia="zh-CN"/>
        </w:rPr>
        <w:t>（1）将土、岩分开分类。即分为人工填土、冲积土、坡积土及风化岩层。</w:t>
      </w:r>
    </w:p>
    <w:p w14:paraId="1A7A91B0">
      <w:pPr>
        <w:rPr>
          <w:rFonts w:hint="default"/>
          <w:color w:val="auto"/>
          <w:lang w:val="en-US" w:eastAsia="zh-CN"/>
        </w:rPr>
      </w:pPr>
      <w:r>
        <w:rPr>
          <w:rFonts w:hint="default"/>
          <w:color w:val="auto"/>
          <w:lang w:val="en-US" w:eastAsia="zh-CN"/>
        </w:rPr>
        <w:t>（2）按成因时代分类。如全新统冲积坡积土。</w:t>
      </w:r>
    </w:p>
    <w:p w14:paraId="153A0AF7">
      <w:pPr>
        <w:rPr>
          <w:rFonts w:hint="default"/>
          <w:color w:val="auto"/>
          <w:lang w:val="en-US" w:eastAsia="zh-CN"/>
        </w:rPr>
      </w:pPr>
      <w:r>
        <w:rPr>
          <w:rFonts w:hint="default"/>
          <w:color w:val="auto"/>
          <w:lang w:val="en-US" w:eastAsia="zh-CN"/>
        </w:rPr>
        <w:t>（3）按土、岩性质状态分类。如可塑粘土、硬塑粘土，松散细砂、粉砂，全、强、中、微风化岩等。</w:t>
      </w:r>
    </w:p>
    <w:p w14:paraId="2B0954BA">
      <w:pPr>
        <w:rPr>
          <w:rFonts w:hint="default"/>
          <w:color w:val="auto"/>
          <w:lang w:val="en-US" w:eastAsia="zh-CN"/>
        </w:rPr>
      </w:pPr>
      <w:r>
        <w:rPr>
          <w:rFonts w:hint="eastAsia"/>
          <w:color w:val="auto"/>
          <w:lang w:val="en-US" w:eastAsia="zh-CN"/>
        </w:rPr>
        <w:t xml:space="preserve">2. </w:t>
      </w:r>
      <w:r>
        <w:rPr>
          <w:rFonts w:hint="default"/>
          <w:color w:val="auto"/>
          <w:lang w:val="en-US" w:eastAsia="zh-CN"/>
        </w:rPr>
        <w:t>岩土分层及地质特征</w:t>
      </w:r>
    </w:p>
    <w:p w14:paraId="609AFDD6">
      <w:pPr>
        <w:rPr>
          <w:rFonts w:hint="default"/>
          <w:color w:val="auto"/>
          <w:lang w:val="en-US" w:eastAsia="zh-CN"/>
        </w:rPr>
      </w:pPr>
      <w:r>
        <w:rPr>
          <w:rFonts w:hint="default"/>
          <w:color w:val="auto"/>
          <w:lang w:val="en-US" w:eastAsia="zh-CN"/>
        </w:rPr>
        <w:t>浒坑钨矿杨家店尾矿库库区范围内场地土、岩层从上到下主要有：人工填土细～中粒尾矿砂（库表为尾细沙）、人工填筑块石、砾砂层、含砾粉质粘土、石炭系华山岭组千枚岩。现分述如下：</w:t>
      </w:r>
    </w:p>
    <w:p w14:paraId="27B09B95">
      <w:pPr>
        <w:rPr>
          <w:rFonts w:hint="default"/>
          <w:color w:val="auto"/>
          <w:lang w:val="en-US" w:eastAsia="zh-CN"/>
        </w:rPr>
      </w:pPr>
      <w:r>
        <w:rPr>
          <w:rFonts w:hint="default"/>
          <w:color w:val="auto"/>
          <w:lang w:val="en-US" w:eastAsia="zh-CN"/>
        </w:rPr>
        <w:t>（1）人工填土（①，Q</w:t>
      </w:r>
      <w:r>
        <w:rPr>
          <w:rFonts w:hint="default"/>
          <w:color w:val="auto"/>
          <w:vertAlign w:val="subscript"/>
          <w:lang w:val="en-US" w:eastAsia="zh-CN"/>
        </w:rPr>
        <w:t>4</w:t>
      </w:r>
      <w:r>
        <w:rPr>
          <w:rFonts w:hint="default"/>
          <w:color w:val="auto"/>
          <w:vertAlign w:val="superscript"/>
          <w:lang w:val="en-US" w:eastAsia="zh-CN"/>
        </w:rPr>
        <w:t>ml</w:t>
      </w:r>
      <w:r>
        <w:rPr>
          <w:rFonts w:hint="default"/>
          <w:color w:val="auto"/>
          <w:lang w:val="en-US" w:eastAsia="zh-CN"/>
        </w:rPr>
        <w:t>）</w:t>
      </w:r>
    </w:p>
    <w:p w14:paraId="57F39219">
      <w:pPr>
        <w:rPr>
          <w:rFonts w:hint="default"/>
          <w:color w:val="auto"/>
          <w:lang w:val="en-US" w:eastAsia="zh-CN"/>
        </w:rPr>
      </w:pPr>
      <w:r>
        <w:rPr>
          <w:rFonts w:hint="default"/>
          <w:color w:val="auto"/>
          <w:lang w:val="en-US" w:eastAsia="zh-CN"/>
        </w:rPr>
        <w:t>①尾中砂（①</w:t>
      </w:r>
      <w:r>
        <w:rPr>
          <w:rFonts w:hint="eastAsia" w:ascii="宋体" w:hAnsi="宋体" w:eastAsia="宋体" w:cs="宋体"/>
          <w:color w:val="auto"/>
          <w:lang w:val="en-US" w:eastAsia="zh-CN"/>
        </w:rPr>
        <w:t>-</w:t>
      </w:r>
      <w:r>
        <w:rPr>
          <w:rFonts w:hint="default"/>
          <w:color w:val="auto"/>
          <w:lang w:val="en-US" w:eastAsia="zh-CN"/>
        </w:rPr>
        <w:t>0）</w:t>
      </w:r>
    </w:p>
    <w:p w14:paraId="3DA33977">
      <w:pPr>
        <w:rPr>
          <w:rFonts w:hint="default"/>
          <w:color w:val="auto"/>
          <w:lang w:val="en-US" w:eastAsia="zh-CN"/>
        </w:rPr>
      </w:pPr>
      <w:r>
        <w:rPr>
          <w:rFonts w:hint="default"/>
          <w:color w:val="auto"/>
          <w:lang w:val="en-US" w:eastAsia="zh-CN"/>
        </w:rPr>
        <w:t>灰白～土黄色，为水力冲填选矿尾砂，以中砂、细砂为主，并含尾矿泥，一般尾矿排放点附近颗粒稍粗，远离排放点颗粒越细，目前库内尾砂由库中轴线尾矿溜槽向库两侧排放，尾矿水由尾矿库两侧向上游澄清区汇集。钻孔揭露本层最大厚度27m，最小厚度4.3m。</w:t>
      </w:r>
    </w:p>
    <w:p w14:paraId="1F55BA96">
      <w:pPr>
        <w:rPr>
          <w:rFonts w:hint="default"/>
          <w:color w:val="auto"/>
          <w:lang w:val="en-US" w:eastAsia="zh-CN"/>
        </w:rPr>
      </w:pPr>
      <w:r>
        <w:rPr>
          <w:rFonts w:hint="default"/>
          <w:color w:val="auto"/>
          <w:lang w:val="en-US" w:eastAsia="zh-CN"/>
        </w:rPr>
        <w:t>②块石（①</w:t>
      </w:r>
      <w:r>
        <w:rPr>
          <w:rFonts w:hint="eastAsia" w:ascii="宋体" w:hAnsi="宋体" w:eastAsia="宋体" w:cs="宋体"/>
          <w:color w:val="auto"/>
          <w:lang w:val="en-US" w:eastAsia="zh-CN"/>
        </w:rPr>
        <w:t>-</w:t>
      </w:r>
      <w:r>
        <w:rPr>
          <w:rFonts w:hint="default"/>
          <w:color w:val="auto"/>
          <w:lang w:val="en-US" w:eastAsia="zh-CN"/>
        </w:rPr>
        <w:t>1）</w:t>
      </w:r>
    </w:p>
    <w:p w14:paraId="6795D4CD">
      <w:pPr>
        <w:rPr>
          <w:rFonts w:hint="default"/>
          <w:color w:val="auto"/>
          <w:lang w:val="en-US" w:eastAsia="zh-CN"/>
        </w:rPr>
      </w:pPr>
      <w:r>
        <w:rPr>
          <w:rFonts w:hint="default"/>
          <w:color w:val="auto"/>
          <w:lang w:val="en-US" w:eastAsia="zh-CN"/>
        </w:rPr>
        <w:t>灰白色，为采矿废石人工填筑坝体，灰白</w:t>
      </w:r>
      <w:r>
        <w:rPr>
          <w:rFonts w:hint="eastAsia"/>
          <w:color w:val="auto"/>
          <w:lang w:val="en-US" w:eastAsia="zh-CN"/>
        </w:rPr>
        <w:t>；</w:t>
      </w:r>
      <w:r>
        <w:rPr>
          <w:rFonts w:hint="default"/>
          <w:color w:val="auto"/>
          <w:lang w:val="en-US" w:eastAsia="zh-CN"/>
        </w:rPr>
        <w:t>棱角</w:t>
      </w:r>
      <w:r>
        <w:rPr>
          <w:rFonts w:hint="eastAsia"/>
          <w:color w:val="auto"/>
          <w:lang w:val="en-US" w:eastAsia="zh-CN"/>
        </w:rPr>
        <w:t>；</w:t>
      </w:r>
      <w:r>
        <w:rPr>
          <w:rFonts w:hint="default"/>
          <w:color w:val="auto"/>
          <w:lang w:val="en-US" w:eastAsia="zh-CN"/>
        </w:rPr>
        <w:t>块石质地为中风化花岗岩，该层为强透水层；</w:t>
      </w:r>
    </w:p>
    <w:p w14:paraId="3FEF3C54">
      <w:pPr>
        <w:rPr>
          <w:rFonts w:hint="default"/>
          <w:color w:val="auto"/>
          <w:lang w:val="en-US" w:eastAsia="zh-CN"/>
        </w:rPr>
      </w:pPr>
      <w:r>
        <w:rPr>
          <w:rFonts w:hint="default"/>
          <w:color w:val="auto"/>
          <w:lang w:val="en-US" w:eastAsia="zh-CN"/>
        </w:rPr>
        <w:t>（2）耕土（②</w:t>
      </w:r>
      <w:r>
        <w:rPr>
          <w:rFonts w:hint="eastAsia" w:ascii="宋体" w:hAnsi="宋体" w:eastAsia="宋体" w:cs="宋体"/>
          <w:color w:val="auto"/>
          <w:lang w:val="en-US" w:eastAsia="zh-CN"/>
        </w:rPr>
        <w:t>-</w:t>
      </w:r>
      <w:r>
        <w:rPr>
          <w:rFonts w:hint="default"/>
          <w:color w:val="auto"/>
          <w:lang w:val="en-US" w:eastAsia="zh-CN"/>
        </w:rPr>
        <w:t>0，Q</w:t>
      </w:r>
      <w:r>
        <w:rPr>
          <w:rFonts w:hint="default"/>
          <w:color w:val="auto"/>
          <w:vertAlign w:val="subscript"/>
          <w:lang w:val="en-US" w:eastAsia="zh-CN"/>
        </w:rPr>
        <w:t>4</w:t>
      </w:r>
      <w:r>
        <w:rPr>
          <w:rFonts w:hint="default"/>
          <w:color w:val="auto"/>
          <w:vertAlign w:val="superscript"/>
          <w:lang w:val="en-US" w:eastAsia="zh-CN"/>
        </w:rPr>
        <w:t>el</w:t>
      </w:r>
      <w:r>
        <w:rPr>
          <w:rFonts w:hint="default"/>
          <w:color w:val="auto"/>
          <w:lang w:val="en-US" w:eastAsia="zh-CN"/>
        </w:rPr>
        <w:t>）</w:t>
      </w:r>
    </w:p>
    <w:p w14:paraId="47C9F476">
      <w:pPr>
        <w:rPr>
          <w:rFonts w:hint="default"/>
          <w:color w:val="auto"/>
          <w:lang w:val="en-US" w:eastAsia="zh-CN"/>
        </w:rPr>
      </w:pPr>
      <w:r>
        <w:rPr>
          <w:rFonts w:hint="default"/>
          <w:color w:val="auto"/>
          <w:lang w:val="en-US" w:eastAsia="zh-CN"/>
        </w:rPr>
        <w:t>褐</w:t>
      </w:r>
      <w:r>
        <w:rPr>
          <w:rFonts w:hint="eastAsia"/>
          <w:color w:val="auto"/>
          <w:lang w:val="en-US" w:eastAsia="zh-CN"/>
        </w:rPr>
        <w:t>；</w:t>
      </w:r>
      <w:r>
        <w:rPr>
          <w:rFonts w:hint="default"/>
          <w:color w:val="auto"/>
          <w:lang w:val="en-US" w:eastAsia="zh-CN"/>
        </w:rPr>
        <w:t>湿</w:t>
      </w:r>
      <w:r>
        <w:rPr>
          <w:rFonts w:hint="eastAsia"/>
          <w:color w:val="auto"/>
          <w:lang w:val="en-US" w:eastAsia="zh-CN"/>
        </w:rPr>
        <w:t>；</w:t>
      </w:r>
      <w:r>
        <w:rPr>
          <w:rFonts w:hint="default"/>
          <w:color w:val="auto"/>
          <w:lang w:val="en-US" w:eastAsia="zh-CN"/>
        </w:rPr>
        <w:t>可塑</w:t>
      </w:r>
      <w:r>
        <w:rPr>
          <w:rFonts w:hint="eastAsia"/>
          <w:color w:val="auto"/>
          <w:lang w:val="en-US" w:eastAsia="zh-CN"/>
        </w:rPr>
        <w:t>；</w:t>
      </w:r>
      <w:r>
        <w:rPr>
          <w:rFonts w:hint="default"/>
          <w:color w:val="auto"/>
          <w:lang w:val="en-US" w:eastAsia="zh-CN"/>
        </w:rPr>
        <w:t>无摇振反应，中等干强度，为可耕种粉质粘土，富含有机质，可见植物根系。</w:t>
      </w:r>
    </w:p>
    <w:p w14:paraId="5C4F14E9">
      <w:pPr>
        <w:rPr>
          <w:rFonts w:hint="default"/>
          <w:color w:val="auto"/>
          <w:lang w:val="en-US" w:eastAsia="zh-CN"/>
        </w:rPr>
      </w:pPr>
      <w:r>
        <w:rPr>
          <w:rFonts w:hint="default"/>
          <w:color w:val="auto"/>
          <w:lang w:val="en-US" w:eastAsia="zh-CN"/>
        </w:rPr>
        <w:t>（3）粉质粘土（③</w:t>
      </w:r>
      <w:r>
        <w:rPr>
          <w:rFonts w:hint="eastAsia" w:ascii="宋体" w:hAnsi="宋体" w:eastAsia="宋体" w:cs="宋体"/>
          <w:color w:val="auto"/>
          <w:lang w:val="en-US" w:eastAsia="zh-CN"/>
        </w:rPr>
        <w:t>-</w:t>
      </w:r>
      <w:r>
        <w:rPr>
          <w:rFonts w:hint="default"/>
          <w:color w:val="auto"/>
          <w:lang w:val="en-US" w:eastAsia="zh-CN"/>
        </w:rPr>
        <w:t>0，Q</w:t>
      </w:r>
      <w:r>
        <w:rPr>
          <w:rFonts w:hint="default"/>
          <w:color w:val="auto"/>
          <w:vertAlign w:val="subscript"/>
          <w:lang w:val="en-US" w:eastAsia="zh-CN"/>
        </w:rPr>
        <w:t>4</w:t>
      </w:r>
      <w:r>
        <w:rPr>
          <w:rFonts w:hint="default"/>
          <w:color w:val="auto"/>
          <w:vertAlign w:val="superscript"/>
          <w:lang w:val="en-US" w:eastAsia="zh-CN"/>
        </w:rPr>
        <w:t>el+dl</w:t>
      </w:r>
      <w:r>
        <w:rPr>
          <w:rFonts w:hint="default"/>
          <w:color w:val="auto"/>
          <w:lang w:val="en-US" w:eastAsia="zh-CN"/>
        </w:rPr>
        <w:t>）</w:t>
      </w:r>
    </w:p>
    <w:p w14:paraId="09A2490A">
      <w:pPr>
        <w:rPr>
          <w:rFonts w:hint="default"/>
          <w:color w:val="auto"/>
          <w:lang w:val="en-US" w:eastAsia="zh-CN"/>
        </w:rPr>
      </w:pPr>
      <w:r>
        <w:rPr>
          <w:rFonts w:hint="default"/>
          <w:color w:val="auto"/>
          <w:lang w:val="en-US" w:eastAsia="zh-CN"/>
        </w:rPr>
        <w:t>黄褐～灰黑～杂色</w:t>
      </w:r>
      <w:r>
        <w:rPr>
          <w:rFonts w:hint="eastAsia"/>
          <w:color w:val="auto"/>
          <w:lang w:val="en-US" w:eastAsia="zh-CN"/>
        </w:rPr>
        <w:t>；</w:t>
      </w:r>
      <w:r>
        <w:rPr>
          <w:rFonts w:hint="default"/>
          <w:color w:val="auto"/>
          <w:lang w:val="en-US" w:eastAsia="zh-CN"/>
        </w:rPr>
        <w:t>湿～很湿</w:t>
      </w:r>
      <w:r>
        <w:rPr>
          <w:rFonts w:hint="eastAsia"/>
          <w:color w:val="auto"/>
          <w:lang w:val="en-US" w:eastAsia="zh-CN"/>
        </w:rPr>
        <w:t>；</w:t>
      </w:r>
      <w:r>
        <w:rPr>
          <w:rFonts w:hint="default"/>
          <w:color w:val="auto"/>
          <w:lang w:val="en-US" w:eastAsia="zh-CN"/>
        </w:rPr>
        <w:t>可塑</w:t>
      </w:r>
      <w:r>
        <w:rPr>
          <w:rFonts w:hint="eastAsia"/>
          <w:color w:val="auto"/>
          <w:lang w:val="en-US" w:eastAsia="zh-CN"/>
        </w:rPr>
        <w:t>；</w:t>
      </w:r>
      <w:r>
        <w:rPr>
          <w:rFonts w:hint="default"/>
          <w:color w:val="auto"/>
          <w:lang w:val="en-US" w:eastAsia="zh-CN"/>
        </w:rPr>
        <w:t>无摇振反应，稍具光泽，中等干强度，中等韧性，刀切面粗糙，含千枚岩风化角砾、砾砂等。该层仅在勘察区排水隧洞范围揭露，最大厚度9.3m，最小厚度1.9m。</w:t>
      </w:r>
    </w:p>
    <w:p w14:paraId="44C42AE1">
      <w:pPr>
        <w:rPr>
          <w:rFonts w:hint="default"/>
          <w:color w:val="auto"/>
          <w:lang w:val="en-US" w:eastAsia="zh-CN"/>
        </w:rPr>
      </w:pPr>
      <w:r>
        <w:rPr>
          <w:rFonts w:hint="default"/>
          <w:color w:val="auto"/>
          <w:lang w:val="en-US" w:eastAsia="zh-CN"/>
        </w:rPr>
        <w:t>（4）砾砂（④</w:t>
      </w:r>
      <w:r>
        <w:rPr>
          <w:rFonts w:hint="eastAsia" w:ascii="宋体" w:hAnsi="宋体" w:eastAsia="宋体" w:cs="宋体"/>
          <w:color w:val="auto"/>
          <w:lang w:val="en-US" w:eastAsia="zh-CN"/>
        </w:rPr>
        <w:t>-</w:t>
      </w:r>
      <w:r>
        <w:rPr>
          <w:rFonts w:hint="default"/>
          <w:color w:val="auto"/>
          <w:lang w:val="en-US" w:eastAsia="zh-CN"/>
        </w:rPr>
        <w:t>0，Q</w:t>
      </w:r>
      <w:r>
        <w:rPr>
          <w:rFonts w:hint="default"/>
          <w:color w:val="auto"/>
          <w:shd w:val="clear" w:color="auto" w:fill="auto"/>
          <w:vertAlign w:val="subscript"/>
          <w:lang w:val="en-US" w:eastAsia="zh-CN"/>
        </w:rPr>
        <w:t>4</w:t>
      </w:r>
      <w:r>
        <w:rPr>
          <w:rFonts w:hint="default"/>
          <w:color w:val="auto"/>
          <w:vertAlign w:val="superscript"/>
          <w:lang w:val="en-US" w:eastAsia="zh-CN"/>
        </w:rPr>
        <w:t>al+pl</w:t>
      </w:r>
      <w:r>
        <w:rPr>
          <w:rFonts w:hint="default"/>
          <w:color w:val="auto"/>
          <w:lang w:val="en-US" w:eastAsia="zh-CN"/>
        </w:rPr>
        <w:t>）</w:t>
      </w:r>
    </w:p>
    <w:p w14:paraId="0599B9A3">
      <w:pPr>
        <w:rPr>
          <w:rFonts w:hint="default"/>
          <w:color w:val="auto"/>
          <w:lang w:val="en-US" w:eastAsia="zh-CN"/>
        </w:rPr>
      </w:pPr>
      <w:r>
        <w:rPr>
          <w:rFonts w:hint="default"/>
          <w:color w:val="auto"/>
          <w:lang w:val="en-US" w:eastAsia="zh-CN"/>
        </w:rPr>
        <w:t>黄褐～杂色</w:t>
      </w:r>
      <w:r>
        <w:rPr>
          <w:rFonts w:hint="eastAsia"/>
          <w:color w:val="auto"/>
          <w:lang w:val="en-US" w:eastAsia="zh-CN"/>
        </w:rPr>
        <w:t>；</w:t>
      </w:r>
      <w:r>
        <w:rPr>
          <w:rFonts w:hint="default"/>
          <w:color w:val="auto"/>
          <w:lang w:val="en-US" w:eastAsia="zh-CN"/>
        </w:rPr>
        <w:t>次圆</w:t>
      </w:r>
      <w:r>
        <w:rPr>
          <w:rFonts w:hint="eastAsia"/>
          <w:color w:val="auto"/>
          <w:lang w:val="en-US" w:eastAsia="zh-CN"/>
        </w:rPr>
        <w:t>；</w:t>
      </w:r>
      <w:r>
        <w:rPr>
          <w:rFonts w:hint="default"/>
          <w:color w:val="auto"/>
          <w:lang w:val="en-US" w:eastAsia="zh-CN"/>
        </w:rPr>
        <w:t>中密</w:t>
      </w:r>
      <w:r>
        <w:rPr>
          <w:rFonts w:hint="eastAsia"/>
          <w:color w:val="auto"/>
          <w:lang w:val="en-US" w:eastAsia="zh-CN"/>
        </w:rPr>
        <w:t>；</w:t>
      </w:r>
      <w:r>
        <w:rPr>
          <w:rFonts w:hint="default"/>
          <w:color w:val="auto"/>
          <w:lang w:val="en-US" w:eastAsia="zh-CN"/>
        </w:rPr>
        <w:t>饱和</w:t>
      </w:r>
      <w:r>
        <w:rPr>
          <w:rFonts w:hint="eastAsia"/>
          <w:color w:val="auto"/>
          <w:lang w:val="en-US" w:eastAsia="zh-CN"/>
        </w:rPr>
        <w:t>；</w:t>
      </w:r>
      <w:r>
        <w:rPr>
          <w:rFonts w:hint="default"/>
          <w:color w:val="auto"/>
          <w:lang w:val="en-US" w:eastAsia="zh-CN"/>
        </w:rPr>
        <w:t>为洪积、坡积砾砂层，少量粉质粘土夹中粗砂混合石英质次磨圆砾石，砾石含量&gt;50%，砾径大者可达10cm以上，一般为0.5～2cm，该层为强透水层，钻进时钻孔漏水在坝址区钻孔有揭露，钻孔层厚未揭穿；</w:t>
      </w:r>
    </w:p>
    <w:p w14:paraId="16C872C1">
      <w:pPr>
        <w:rPr>
          <w:rFonts w:hint="default"/>
          <w:color w:val="auto"/>
          <w:lang w:val="en-US" w:eastAsia="zh-CN"/>
        </w:rPr>
      </w:pPr>
      <w:r>
        <w:rPr>
          <w:rFonts w:hint="default"/>
          <w:color w:val="auto"/>
          <w:lang w:val="en-US" w:eastAsia="zh-CN"/>
        </w:rPr>
        <w:t>（5）千枚岩（⑤，Pt</w:t>
      </w:r>
      <w:r>
        <w:rPr>
          <w:rFonts w:hint="default"/>
          <w:color w:val="auto"/>
          <w:vertAlign w:val="subscript"/>
          <w:lang w:val="en-US" w:eastAsia="zh-CN"/>
        </w:rPr>
        <w:t>3</w:t>
      </w:r>
      <w:r>
        <w:rPr>
          <w:rFonts w:hint="default"/>
          <w:color w:val="auto"/>
          <w:lang w:val="en-US" w:eastAsia="zh-CN"/>
        </w:rPr>
        <w:t>）</w:t>
      </w:r>
    </w:p>
    <w:p w14:paraId="6B27FC22">
      <w:pPr>
        <w:rPr>
          <w:rFonts w:hint="default"/>
          <w:color w:val="auto"/>
          <w:lang w:val="en-US" w:eastAsia="zh-CN"/>
        </w:rPr>
      </w:pPr>
      <w:r>
        <w:rPr>
          <w:rFonts w:hint="default"/>
          <w:color w:val="auto"/>
          <w:lang w:val="en-US" w:eastAsia="zh-CN"/>
        </w:rPr>
        <w:t>①上元古界神山群强风化千枚岩（⑤</w:t>
      </w:r>
      <w:r>
        <w:rPr>
          <w:rFonts w:hint="eastAsia" w:ascii="宋体" w:hAnsi="宋体" w:eastAsia="宋体" w:cs="宋体"/>
          <w:color w:val="auto"/>
          <w:lang w:val="en-US" w:eastAsia="zh-CN"/>
        </w:rPr>
        <w:t>-</w:t>
      </w:r>
      <w:r>
        <w:rPr>
          <w:rFonts w:hint="default"/>
          <w:color w:val="auto"/>
          <w:lang w:val="en-US" w:eastAsia="zh-CN"/>
        </w:rPr>
        <w:t>0，Pt</w:t>
      </w:r>
      <w:r>
        <w:rPr>
          <w:rFonts w:hint="default"/>
          <w:color w:val="auto"/>
          <w:vertAlign w:val="subscript"/>
          <w:lang w:val="en-US" w:eastAsia="zh-CN"/>
        </w:rPr>
        <w:t>3</w:t>
      </w:r>
      <w:r>
        <w:rPr>
          <w:rFonts w:hint="default"/>
          <w:color w:val="auto"/>
          <w:lang w:val="en-US" w:eastAsia="zh-CN"/>
        </w:rPr>
        <w:t>）</w:t>
      </w:r>
    </w:p>
    <w:p w14:paraId="137CCB54">
      <w:pPr>
        <w:rPr>
          <w:rFonts w:hint="default"/>
          <w:color w:val="auto"/>
          <w:lang w:val="en-US" w:eastAsia="zh-CN"/>
        </w:rPr>
      </w:pPr>
      <w:r>
        <w:rPr>
          <w:rFonts w:hint="default"/>
          <w:color w:val="auto"/>
          <w:lang w:val="en-US" w:eastAsia="zh-CN"/>
        </w:rPr>
        <w:t>杂色</w:t>
      </w:r>
      <w:r>
        <w:rPr>
          <w:rFonts w:hint="eastAsia"/>
          <w:color w:val="auto"/>
          <w:lang w:val="en-US" w:eastAsia="zh-CN"/>
        </w:rPr>
        <w:t>；</w:t>
      </w:r>
      <w:r>
        <w:rPr>
          <w:rFonts w:hint="default"/>
          <w:color w:val="auto"/>
          <w:lang w:val="en-US" w:eastAsia="zh-CN"/>
        </w:rPr>
        <w:t>风化强烈，裂隙发育，充填碳质、泥质，原岩结构已被破坏，岩心成块状～碎块状。在坝址区及排水隧洞区均有钻孔揭露，揭露最大层厚18.8m，最小层厚6.9m，层顶埋深最大41m，最小2m；</w:t>
      </w:r>
    </w:p>
    <w:p w14:paraId="312ACB38">
      <w:pPr>
        <w:rPr>
          <w:rFonts w:hint="default"/>
          <w:color w:val="auto"/>
          <w:lang w:val="en-US" w:eastAsia="zh-CN"/>
        </w:rPr>
      </w:pPr>
      <w:r>
        <w:rPr>
          <w:rFonts w:hint="default"/>
          <w:color w:val="auto"/>
          <w:lang w:val="en-US" w:eastAsia="zh-CN"/>
        </w:rPr>
        <w:t>②上元古界神山群中风化千枚岩（⑤</w:t>
      </w:r>
      <w:r>
        <w:rPr>
          <w:rFonts w:hint="eastAsia" w:ascii="宋体" w:hAnsi="宋体" w:eastAsia="宋体" w:cs="宋体"/>
          <w:color w:val="auto"/>
          <w:lang w:val="en-US" w:eastAsia="zh-CN"/>
        </w:rPr>
        <w:t>-</w:t>
      </w:r>
      <w:r>
        <w:rPr>
          <w:rFonts w:hint="default"/>
          <w:color w:val="auto"/>
          <w:lang w:val="en-US" w:eastAsia="zh-CN"/>
        </w:rPr>
        <w:t>1，Pt</w:t>
      </w:r>
      <w:r>
        <w:rPr>
          <w:rFonts w:hint="default"/>
          <w:color w:val="auto"/>
          <w:vertAlign w:val="subscript"/>
          <w:lang w:val="en-US" w:eastAsia="zh-CN"/>
        </w:rPr>
        <w:t>3</w:t>
      </w:r>
      <w:r>
        <w:rPr>
          <w:rFonts w:hint="default"/>
          <w:color w:val="auto"/>
          <w:lang w:val="en-US" w:eastAsia="zh-CN"/>
        </w:rPr>
        <w:t>）</w:t>
      </w:r>
    </w:p>
    <w:p w14:paraId="74383A45">
      <w:pPr>
        <w:rPr>
          <w:rFonts w:hint="default"/>
          <w:color w:val="auto"/>
          <w:lang w:val="en-US" w:eastAsia="zh-CN"/>
        </w:rPr>
      </w:pPr>
      <w:r>
        <w:rPr>
          <w:rFonts w:hint="default"/>
          <w:color w:val="auto"/>
          <w:lang w:val="en-US" w:eastAsia="zh-CN"/>
        </w:rPr>
        <w:t>灰～灰黑</w:t>
      </w:r>
      <w:r>
        <w:rPr>
          <w:rFonts w:hint="eastAsia"/>
          <w:color w:val="auto"/>
          <w:lang w:val="en-US" w:eastAsia="zh-CN"/>
        </w:rPr>
        <w:t>；</w:t>
      </w:r>
      <w:r>
        <w:rPr>
          <w:rFonts w:hint="default"/>
          <w:color w:val="auto"/>
          <w:lang w:val="en-US" w:eastAsia="zh-CN"/>
        </w:rPr>
        <w:t>岩体较完整、新鲜，节理裂隙发育，节理多被碳质、泥质充填，碳质充填物可染手，岩石质软，小刀刻痕清晰，锤击较清脆，易断块，岩芯多被机械破碎呈块状～碎块状。在坝址区及排水隧洞区均有钻孔揭露，层厚未揭穿，层顶埋深最大49.4m，最小14.6m。</w:t>
      </w:r>
    </w:p>
    <w:p w14:paraId="370E4CA0">
      <w:pPr>
        <w:pStyle w:val="4"/>
        <w:bidi w:val="0"/>
        <w:rPr>
          <w:rFonts w:hint="default"/>
          <w:color w:val="auto"/>
          <w:lang w:val="en-US" w:eastAsia="zh-CN"/>
        </w:rPr>
      </w:pPr>
      <w:bookmarkStart w:id="79" w:name="_Toc24530"/>
      <w:r>
        <w:rPr>
          <w:rFonts w:hint="default"/>
          <w:color w:val="auto"/>
          <w:lang w:val="en-US" w:eastAsia="zh-CN"/>
        </w:rPr>
        <w:t>2.4.3</w:t>
      </w:r>
      <w:r>
        <w:rPr>
          <w:rFonts w:hint="eastAsia"/>
          <w:color w:val="auto"/>
          <w:lang w:val="en-US" w:eastAsia="zh-CN"/>
        </w:rPr>
        <w:t xml:space="preserve"> </w:t>
      </w:r>
      <w:r>
        <w:rPr>
          <w:rFonts w:hint="default"/>
          <w:color w:val="auto"/>
          <w:lang w:val="en-US" w:eastAsia="zh-CN"/>
        </w:rPr>
        <w:t>库区水文地质条件</w:t>
      </w:r>
      <w:bookmarkEnd w:id="79"/>
    </w:p>
    <w:p w14:paraId="0142E41C">
      <w:pPr>
        <w:rPr>
          <w:rFonts w:hint="default"/>
          <w:color w:val="auto"/>
          <w:lang w:val="en-US" w:eastAsia="zh-CN"/>
        </w:rPr>
      </w:pPr>
      <w:r>
        <w:rPr>
          <w:rFonts w:hint="default"/>
          <w:color w:val="auto"/>
          <w:lang w:val="en-US" w:eastAsia="zh-CN"/>
        </w:rPr>
        <w:t>根据库区土、岩层含水特征，地下水的储水空隙、富水程度、水力性质及水力联系、空间分布以及地下水的补给、排泄条件等因素，地下水的类型以及赋存方式有以下几种</w:t>
      </w:r>
      <w:r>
        <w:rPr>
          <w:rFonts w:hint="eastAsia"/>
          <w:color w:val="auto"/>
          <w:lang w:val="en-US" w:eastAsia="zh-CN"/>
        </w:rPr>
        <w:t>：</w:t>
      </w:r>
    </w:p>
    <w:p w14:paraId="1E24CCD2">
      <w:pPr>
        <w:numPr>
          <w:ilvl w:val="0"/>
          <w:numId w:val="0"/>
        </w:numPr>
        <w:ind w:firstLine="560" w:firstLineChars="200"/>
        <w:rPr>
          <w:rFonts w:hint="default"/>
          <w:color w:val="auto"/>
          <w:lang w:val="en-US" w:eastAsia="zh-CN"/>
        </w:rPr>
      </w:pPr>
      <w:r>
        <w:rPr>
          <w:rFonts w:hint="default" w:ascii="Times New Roman" w:hAnsi="Times New Roman" w:eastAsia="宋体" w:cs="Times New Roman"/>
          <w:color w:val="auto"/>
          <w:kern w:val="2"/>
          <w:sz w:val="28"/>
          <w:szCs w:val="24"/>
          <w:lang w:val="en-US" w:eastAsia="zh-CN" w:bidi="ar-SA"/>
        </w:rPr>
        <w:t>1.</w:t>
      </w:r>
      <w:r>
        <w:rPr>
          <w:rFonts w:hint="default"/>
          <w:color w:val="auto"/>
          <w:lang w:val="en-US" w:eastAsia="zh-CN"/>
        </w:rPr>
        <w:t>第四系孔隙含水层</w:t>
      </w:r>
    </w:p>
    <w:p w14:paraId="4846D4B6">
      <w:pPr>
        <w:rPr>
          <w:rFonts w:hint="default"/>
          <w:color w:val="auto"/>
          <w:lang w:val="en-US" w:eastAsia="zh-CN"/>
        </w:rPr>
      </w:pPr>
      <w:r>
        <w:rPr>
          <w:rFonts w:hint="default"/>
          <w:color w:val="auto"/>
          <w:lang w:val="en-US" w:eastAsia="zh-CN"/>
        </w:rPr>
        <w:t>尾矿库库区第四系松散沉积物分布广泛，主要属全新统，岩性主要为冲积坡积亚粘土，具有弱含水性，第四系孔隙水主要为孔隙潜水和上层滞水，水量不大，补给来源主要为大气降水，水位随季节性变化而变化。</w:t>
      </w:r>
    </w:p>
    <w:p w14:paraId="1E049F4B">
      <w:pPr>
        <w:numPr>
          <w:ilvl w:val="0"/>
          <w:numId w:val="0"/>
        </w:numPr>
        <w:ind w:left="0" w:leftChars="0" w:firstLine="560" w:firstLineChars="200"/>
        <w:rPr>
          <w:rFonts w:hint="default"/>
          <w:color w:val="auto"/>
          <w:lang w:val="en-US" w:eastAsia="zh-CN"/>
        </w:rPr>
      </w:pPr>
      <w:r>
        <w:rPr>
          <w:rFonts w:hint="default" w:ascii="Times New Roman" w:hAnsi="Times New Roman" w:eastAsia="宋体" w:cs="Times New Roman"/>
          <w:color w:val="auto"/>
          <w:kern w:val="2"/>
          <w:sz w:val="28"/>
          <w:szCs w:val="24"/>
          <w:lang w:val="en-US" w:eastAsia="zh-CN" w:bidi="ar-SA"/>
        </w:rPr>
        <w:t>2.</w:t>
      </w:r>
      <w:r>
        <w:rPr>
          <w:rFonts w:hint="default"/>
          <w:color w:val="auto"/>
          <w:lang w:val="en-US" w:eastAsia="zh-CN"/>
        </w:rPr>
        <w:t>尾矿砂孔隙含水层</w:t>
      </w:r>
    </w:p>
    <w:p w14:paraId="09D3B794">
      <w:pPr>
        <w:rPr>
          <w:rFonts w:hint="default"/>
          <w:color w:val="auto"/>
          <w:lang w:val="en-US" w:eastAsia="zh-CN"/>
        </w:rPr>
      </w:pPr>
      <w:r>
        <w:rPr>
          <w:rFonts w:hint="default"/>
          <w:color w:val="auto"/>
          <w:lang w:val="en-US" w:eastAsia="zh-CN"/>
        </w:rPr>
        <w:t>库内尾砂为松散堆积的细～粉粒尾矿砂，并含少量尾矿泥，受库内第四系孔隙水及地表生产废水的补给，尾矿砂中含孔隙水。库内尾矿砂中砂渗透系数最大值为9.85×10</w:t>
      </w:r>
      <w:r>
        <w:rPr>
          <w:rFonts w:hint="default"/>
          <w:color w:val="auto"/>
          <w:vertAlign w:val="superscript"/>
          <w:lang w:val="en-US" w:eastAsia="zh-CN"/>
        </w:rPr>
        <w:t>-3</w:t>
      </w:r>
      <w:r>
        <w:rPr>
          <w:rFonts w:hint="default"/>
          <w:color w:val="auto"/>
          <w:lang w:val="en-US" w:eastAsia="zh-CN"/>
        </w:rPr>
        <w:t>cm/s，最小值6.14×10</w:t>
      </w:r>
      <w:r>
        <w:rPr>
          <w:rFonts w:hint="default"/>
          <w:color w:val="auto"/>
          <w:vertAlign w:val="superscript"/>
          <w:lang w:val="en-US" w:eastAsia="zh-CN"/>
        </w:rPr>
        <w:t>-3</w:t>
      </w:r>
      <w:r>
        <w:rPr>
          <w:rFonts w:hint="default"/>
          <w:color w:val="auto"/>
          <w:lang w:val="en-US" w:eastAsia="zh-CN"/>
        </w:rPr>
        <w:t>cm/s，属中等～强透水性土质砂。</w:t>
      </w:r>
    </w:p>
    <w:p w14:paraId="5818368B">
      <w:pPr>
        <w:pStyle w:val="4"/>
        <w:bidi w:val="0"/>
        <w:rPr>
          <w:rFonts w:hint="default"/>
          <w:color w:val="auto"/>
          <w:lang w:val="en-US" w:eastAsia="zh-CN"/>
        </w:rPr>
      </w:pPr>
      <w:bookmarkStart w:id="80" w:name="_Toc9393"/>
      <w:r>
        <w:rPr>
          <w:rFonts w:hint="default"/>
          <w:color w:val="auto"/>
          <w:lang w:val="en-US" w:eastAsia="zh-CN"/>
        </w:rPr>
        <w:t>2.4.</w:t>
      </w:r>
      <w:r>
        <w:rPr>
          <w:rFonts w:hint="eastAsia"/>
          <w:color w:val="auto"/>
          <w:lang w:val="en-US" w:eastAsia="zh-CN"/>
        </w:rPr>
        <w:t xml:space="preserve">4 </w:t>
      </w:r>
      <w:r>
        <w:rPr>
          <w:rFonts w:hint="default"/>
          <w:color w:val="auto"/>
          <w:lang w:val="en-US" w:eastAsia="zh-CN"/>
        </w:rPr>
        <w:t>地震效应</w:t>
      </w:r>
      <w:bookmarkEnd w:id="80"/>
    </w:p>
    <w:p w14:paraId="0758733C">
      <w:pPr>
        <w:rPr>
          <w:rFonts w:hint="default"/>
          <w:color w:val="auto"/>
          <w:lang w:val="en-US" w:eastAsia="zh-CN"/>
        </w:rPr>
      </w:pPr>
      <w:r>
        <w:rPr>
          <w:rFonts w:hint="default"/>
          <w:color w:val="auto"/>
          <w:lang w:val="en-US" w:eastAsia="zh-CN"/>
        </w:rPr>
        <w:t>根据《中国地震动参数区划图》（GB18306-2015），安福县抗震设防烈度为6度，属设计地震分组第一组，基本地震加速度值为0.05g，特征周期为0.35s。按《建筑工程抗震设防分类标准》（GB50223-2008）划分，建工程抗震设防类别为标准设防类（丙类）。</w:t>
      </w:r>
    </w:p>
    <w:p w14:paraId="417FB263">
      <w:pPr>
        <w:pStyle w:val="3"/>
        <w:bidi w:val="0"/>
        <w:rPr>
          <w:rFonts w:hint="default"/>
          <w:color w:val="auto"/>
          <w:lang w:val="en-US" w:eastAsia="zh-CN"/>
        </w:rPr>
      </w:pPr>
      <w:bookmarkStart w:id="81" w:name="_Toc15745"/>
      <w:r>
        <w:rPr>
          <w:rFonts w:hint="default"/>
          <w:color w:val="auto"/>
          <w:lang w:val="en-US" w:eastAsia="zh-CN"/>
        </w:rPr>
        <w:t>2.5</w:t>
      </w:r>
      <w:r>
        <w:rPr>
          <w:rFonts w:hint="eastAsia"/>
          <w:color w:val="auto"/>
          <w:lang w:val="en-US" w:eastAsia="zh-CN"/>
        </w:rPr>
        <w:t xml:space="preserve"> </w:t>
      </w:r>
      <w:r>
        <w:rPr>
          <w:rFonts w:hint="default"/>
          <w:color w:val="auto"/>
          <w:lang w:val="en-US" w:eastAsia="zh-CN"/>
        </w:rPr>
        <w:t>安全综合管理</w:t>
      </w:r>
      <w:bookmarkEnd w:id="81"/>
    </w:p>
    <w:p w14:paraId="673817C8">
      <w:pPr>
        <w:pStyle w:val="4"/>
        <w:bidi w:val="0"/>
        <w:rPr>
          <w:rFonts w:hint="default"/>
          <w:color w:val="auto"/>
          <w:lang w:val="en-US" w:eastAsia="zh-CN"/>
        </w:rPr>
      </w:pPr>
      <w:bookmarkStart w:id="82" w:name="_Toc17148"/>
      <w:r>
        <w:rPr>
          <w:rFonts w:hint="default"/>
          <w:color w:val="auto"/>
          <w:lang w:val="en-US" w:eastAsia="zh-CN"/>
        </w:rPr>
        <w:t>2.5.1</w:t>
      </w:r>
      <w:r>
        <w:rPr>
          <w:rFonts w:hint="eastAsia"/>
          <w:color w:val="auto"/>
          <w:lang w:val="en-US" w:eastAsia="zh-CN"/>
        </w:rPr>
        <w:t xml:space="preserve"> </w:t>
      </w:r>
      <w:r>
        <w:rPr>
          <w:rFonts w:hint="default"/>
          <w:color w:val="auto"/>
          <w:lang w:val="en-US" w:eastAsia="zh-CN"/>
        </w:rPr>
        <w:t>安全机构设置</w:t>
      </w:r>
      <w:bookmarkEnd w:id="82"/>
    </w:p>
    <w:p w14:paraId="42490E73">
      <w:pPr>
        <w:rPr>
          <w:rFonts w:hint="default"/>
          <w:color w:val="auto"/>
          <w:lang w:val="en-US" w:eastAsia="zh-CN"/>
        </w:rPr>
      </w:pPr>
      <w:r>
        <w:rPr>
          <w:rFonts w:hint="default"/>
          <w:color w:val="auto"/>
          <w:lang w:val="en-US" w:eastAsia="zh-CN"/>
        </w:rPr>
        <w:t>浒坑钨业建立了较完善的安全管理体系：设有安全生产委员会，由党委书记、执行董事任主任，党委副书记、总经理，生产副总经理任副主任，成员由公司高层管理人员、各科室部门、二级生产单位主要负责人、外聘施工单位主要负责人、医疗代表和员工代表组成。安委会全面负责公司安全生产工作。下设安委办，挂靠在安全环保部，负责全公司安全生产日常管理工作。</w:t>
      </w:r>
    </w:p>
    <w:p w14:paraId="6BF4B3B3">
      <w:pPr>
        <w:rPr>
          <w:rFonts w:hint="default"/>
          <w:color w:val="auto"/>
          <w:lang w:val="en-US" w:eastAsia="zh-CN"/>
        </w:rPr>
      </w:pPr>
      <w:r>
        <w:rPr>
          <w:rFonts w:hint="default"/>
          <w:color w:val="auto"/>
          <w:lang w:val="en-US" w:eastAsia="zh-CN"/>
        </w:rPr>
        <w:t>二级生产单位设有专职安全员，负责本单位安全生产日常工作。</w:t>
      </w:r>
    </w:p>
    <w:p w14:paraId="2E35A768">
      <w:pPr>
        <w:rPr>
          <w:rFonts w:hint="default"/>
          <w:color w:val="auto"/>
          <w:lang w:val="en-US" w:eastAsia="zh-CN"/>
        </w:rPr>
      </w:pPr>
      <w:r>
        <w:rPr>
          <w:rFonts w:hint="default"/>
          <w:color w:val="auto"/>
          <w:lang w:val="en-US" w:eastAsia="zh-CN"/>
        </w:rPr>
        <w:t>浒坑钨业配有安全管理人员</w:t>
      </w:r>
      <w:r>
        <w:rPr>
          <w:rFonts w:hint="eastAsia"/>
          <w:color w:val="auto"/>
          <w:lang w:val="en-US" w:eastAsia="zh-CN"/>
        </w:rPr>
        <w:t>14</w:t>
      </w:r>
      <w:r>
        <w:rPr>
          <w:rFonts w:hint="default"/>
          <w:color w:val="auto"/>
          <w:lang w:val="en-US" w:eastAsia="zh-CN"/>
        </w:rPr>
        <w:t>人，负责全公司的安全、环保、防尘工作。</w:t>
      </w:r>
    </w:p>
    <w:p w14:paraId="1FBE6558">
      <w:pPr>
        <w:rPr>
          <w:rFonts w:hint="eastAsia"/>
          <w:color w:val="auto"/>
          <w:lang w:val="en-US" w:eastAsia="zh-CN"/>
        </w:rPr>
      </w:pPr>
      <w:r>
        <w:rPr>
          <w:rFonts w:hint="eastAsia"/>
          <w:color w:val="auto"/>
          <w:lang w:val="en-US" w:eastAsia="zh-CN"/>
        </w:rPr>
        <w:t>2025年2月10日，江西浒坑钨业有限公司下发了《关于调整江西浒坑钨业有限公司杨家店尾矿库安全管理机构成员的通知》（浒钨人字〔2025〕3号）。</w:t>
      </w:r>
    </w:p>
    <w:p w14:paraId="3555EA0A">
      <w:pPr>
        <w:rPr>
          <w:rFonts w:hint="default"/>
          <w:color w:val="auto"/>
          <w:lang w:val="en-US" w:eastAsia="zh-CN"/>
        </w:rPr>
      </w:pPr>
      <w:r>
        <w:rPr>
          <w:rFonts w:hint="default"/>
          <w:color w:val="auto"/>
          <w:lang w:val="en-US" w:eastAsia="zh-CN"/>
        </w:rPr>
        <w:t>各单位、部室</w:t>
      </w:r>
      <w:r>
        <w:rPr>
          <w:rFonts w:hint="eastAsia"/>
          <w:color w:val="auto"/>
          <w:lang w:val="en-US" w:eastAsia="zh-CN"/>
        </w:rPr>
        <w:t>：</w:t>
      </w:r>
    </w:p>
    <w:p w14:paraId="5CEB0665">
      <w:pPr>
        <w:rPr>
          <w:rFonts w:hint="default"/>
          <w:color w:val="auto"/>
          <w:lang w:val="en-US" w:eastAsia="zh-CN"/>
        </w:rPr>
      </w:pPr>
      <w:r>
        <w:rPr>
          <w:rFonts w:hint="default"/>
          <w:color w:val="auto"/>
          <w:lang w:val="en-US" w:eastAsia="zh-CN"/>
        </w:rPr>
        <w:t>鉴于公司人事变动，经研究决定，江西浒坑钨业有限公司杨家店尾矿库安全管理机构成员调整如下。</w:t>
      </w:r>
    </w:p>
    <w:p w14:paraId="334E0EA2">
      <w:pPr>
        <w:rPr>
          <w:rFonts w:hint="default"/>
          <w:color w:val="auto"/>
          <w:lang w:val="en-US" w:eastAsia="zh-CN"/>
        </w:rPr>
      </w:pPr>
      <w:r>
        <w:rPr>
          <w:rFonts w:hint="default"/>
          <w:color w:val="auto"/>
          <w:lang w:val="en-US" w:eastAsia="zh-CN"/>
        </w:rPr>
        <w:t>尾矿库主要负责人</w:t>
      </w:r>
      <w:r>
        <w:rPr>
          <w:rFonts w:hint="eastAsia"/>
          <w:color w:val="auto"/>
          <w:lang w:val="en-US" w:eastAsia="zh-CN"/>
        </w:rPr>
        <w:t>：</w:t>
      </w:r>
      <w:r>
        <w:rPr>
          <w:rFonts w:hint="default"/>
          <w:color w:val="auto"/>
          <w:lang w:val="en-US" w:eastAsia="zh-CN"/>
        </w:rPr>
        <w:t>朱湘卫</w:t>
      </w:r>
    </w:p>
    <w:p w14:paraId="493BE601">
      <w:pPr>
        <w:rPr>
          <w:rFonts w:hint="default"/>
          <w:color w:val="auto"/>
          <w:lang w:val="en-US" w:eastAsia="zh-CN"/>
        </w:rPr>
      </w:pPr>
      <w:r>
        <w:rPr>
          <w:rFonts w:hint="default"/>
          <w:color w:val="auto"/>
          <w:lang w:val="en-US" w:eastAsia="zh-CN"/>
        </w:rPr>
        <w:t>尾矿库安全管理人员</w:t>
      </w:r>
      <w:r>
        <w:rPr>
          <w:rFonts w:hint="eastAsia"/>
          <w:color w:val="auto"/>
          <w:lang w:val="en-US" w:eastAsia="zh-CN"/>
        </w:rPr>
        <w:t>：</w:t>
      </w:r>
      <w:r>
        <w:rPr>
          <w:rFonts w:hint="default"/>
          <w:color w:val="auto"/>
          <w:lang w:val="en-US" w:eastAsia="zh-CN"/>
        </w:rPr>
        <w:t>彭永东</w:t>
      </w:r>
      <w:r>
        <w:rPr>
          <w:rFonts w:hint="eastAsia"/>
          <w:color w:val="auto"/>
          <w:lang w:val="en-US" w:eastAsia="zh-CN"/>
        </w:rPr>
        <w:t>、</w:t>
      </w:r>
      <w:r>
        <w:rPr>
          <w:rFonts w:hint="default"/>
          <w:color w:val="auto"/>
          <w:lang w:val="en-US" w:eastAsia="zh-CN"/>
        </w:rPr>
        <w:t>左喜</w:t>
      </w:r>
      <w:r>
        <w:rPr>
          <w:rFonts w:hint="eastAsia"/>
          <w:color w:val="auto"/>
          <w:lang w:val="en-US" w:eastAsia="zh-CN"/>
        </w:rPr>
        <w:t>、</w:t>
      </w:r>
      <w:r>
        <w:rPr>
          <w:rFonts w:hint="default"/>
          <w:color w:val="auto"/>
          <w:lang w:val="en-US" w:eastAsia="zh-CN"/>
        </w:rPr>
        <w:t>罗荣</w:t>
      </w:r>
    </w:p>
    <w:p w14:paraId="24E96192">
      <w:pPr>
        <w:rPr>
          <w:rFonts w:hint="default"/>
          <w:color w:val="auto"/>
          <w:lang w:val="en-US" w:eastAsia="zh-CN"/>
        </w:rPr>
      </w:pPr>
      <w:r>
        <w:rPr>
          <w:rFonts w:hint="default"/>
          <w:color w:val="auto"/>
          <w:lang w:val="en-US" w:eastAsia="zh-CN"/>
        </w:rPr>
        <w:t>尾矿库技术管理人员</w:t>
      </w:r>
      <w:r>
        <w:rPr>
          <w:rFonts w:hint="eastAsia"/>
          <w:color w:val="auto"/>
          <w:lang w:val="en-US" w:eastAsia="zh-CN"/>
        </w:rPr>
        <w:t>：</w:t>
      </w:r>
      <w:r>
        <w:rPr>
          <w:rFonts w:hint="default"/>
          <w:color w:val="auto"/>
          <w:lang w:val="en-US" w:eastAsia="zh-CN"/>
        </w:rPr>
        <w:t>罗斌林、邓保生、肖兴璁</w:t>
      </w:r>
    </w:p>
    <w:p w14:paraId="426E3EDB">
      <w:pPr>
        <w:pStyle w:val="4"/>
        <w:bidi w:val="0"/>
        <w:rPr>
          <w:rFonts w:hint="default"/>
          <w:color w:val="auto"/>
          <w:lang w:val="en-US" w:eastAsia="zh-CN"/>
        </w:rPr>
      </w:pPr>
      <w:bookmarkStart w:id="83" w:name="_Toc28725"/>
      <w:r>
        <w:rPr>
          <w:rFonts w:hint="default"/>
          <w:color w:val="auto"/>
          <w:lang w:val="en-US" w:eastAsia="zh-CN"/>
        </w:rPr>
        <w:t>2.5.2</w:t>
      </w:r>
      <w:r>
        <w:rPr>
          <w:rFonts w:hint="eastAsia"/>
          <w:color w:val="auto"/>
          <w:lang w:val="en-US" w:eastAsia="zh-CN"/>
        </w:rPr>
        <w:t xml:space="preserve"> </w:t>
      </w:r>
      <w:r>
        <w:rPr>
          <w:rFonts w:hint="default"/>
          <w:color w:val="auto"/>
          <w:lang w:val="en-US" w:eastAsia="zh-CN"/>
        </w:rPr>
        <w:t>安全生产管理制度</w:t>
      </w:r>
      <w:bookmarkEnd w:id="83"/>
    </w:p>
    <w:p w14:paraId="6663D2D4">
      <w:pPr>
        <w:rPr>
          <w:rFonts w:hint="default"/>
          <w:color w:val="auto"/>
          <w:lang w:val="en-US" w:eastAsia="zh-CN"/>
        </w:rPr>
      </w:pPr>
      <w:r>
        <w:rPr>
          <w:rFonts w:hint="default"/>
          <w:color w:val="auto"/>
          <w:lang w:val="en-US" w:eastAsia="zh-CN"/>
        </w:rPr>
        <w:t>江西浒坑钨业有限公司已建立健全了安全生产责任制、安全生产管理制度、岗位安全操作规程。</w:t>
      </w:r>
    </w:p>
    <w:p w14:paraId="48661A31">
      <w:pPr>
        <w:rPr>
          <w:rFonts w:hint="default"/>
          <w:color w:val="auto"/>
          <w:lang w:val="en-US" w:eastAsia="zh-CN"/>
        </w:rPr>
      </w:pPr>
      <w:r>
        <w:rPr>
          <w:rFonts w:hint="default"/>
          <w:color w:val="auto"/>
          <w:lang w:val="en-US" w:eastAsia="zh-CN"/>
        </w:rPr>
        <w:t>安全生产责任制：包括主要负责人、分管负责人、安全生产管理人员、职能部门、岗位安全生产责任制；</w:t>
      </w:r>
    </w:p>
    <w:p w14:paraId="67029A58">
      <w:pPr>
        <w:rPr>
          <w:rFonts w:hint="default"/>
          <w:color w:val="auto"/>
          <w:lang w:val="en-US" w:eastAsia="zh-CN"/>
        </w:rPr>
      </w:pPr>
      <w:r>
        <w:rPr>
          <w:rFonts w:hint="default"/>
          <w:color w:val="auto"/>
          <w:lang w:val="en-US" w:eastAsia="zh-CN"/>
        </w:rPr>
        <w:t>安全生产管理制度：安全检查制度、职业危害预防制度、安全教育培训制度、生产安全事故管理制度、重大危险源监控和重大隐患整改制度、设备设施安全管理制度、安全生产档案管理制度、安全生产奖惩制度、安全目标管理制度、安全例会制度、事故隐患排查与整改制度、领导带班下井制度等制度，安全技术措施审批制度、劳动防护用品管理制度、特种作业人员管理制度、图纸技术资料更新制度、安全技术措施专项经费管理制度、应急管理制度、尾矿库管理制度、计划外用工管理规定、设备管理规定、爆破安全管理规定、民爆器材管理规定等</w:t>
      </w:r>
      <w:r>
        <w:rPr>
          <w:rFonts w:hint="eastAsia"/>
          <w:color w:val="auto"/>
          <w:lang w:val="en-US" w:eastAsia="zh-CN"/>
        </w:rPr>
        <w:t>20</w:t>
      </w:r>
      <w:r>
        <w:rPr>
          <w:rFonts w:hint="default"/>
          <w:color w:val="auto"/>
          <w:lang w:val="en-US" w:eastAsia="zh-CN"/>
        </w:rPr>
        <w:t>多种管理制度。</w:t>
      </w:r>
    </w:p>
    <w:p w14:paraId="07C15921">
      <w:pPr>
        <w:rPr>
          <w:rFonts w:hint="default"/>
          <w:color w:val="auto"/>
          <w:lang w:val="en-US" w:eastAsia="zh-CN"/>
        </w:rPr>
      </w:pPr>
      <w:r>
        <w:rPr>
          <w:rFonts w:hint="default"/>
          <w:color w:val="auto"/>
          <w:lang w:val="en-US" w:eastAsia="zh-CN"/>
        </w:rPr>
        <w:t>岗位安全操作规程：包括全矿通用安全操作规程及采矿、选矿、动力、运输、建筑安装、机械加工、尾矿工等各岗位安全操作规程。</w:t>
      </w:r>
    </w:p>
    <w:p w14:paraId="2C3AE542">
      <w:pPr>
        <w:rPr>
          <w:rFonts w:hint="default"/>
          <w:color w:val="auto"/>
          <w:lang w:val="en-US" w:eastAsia="zh-CN"/>
        </w:rPr>
      </w:pPr>
      <w:r>
        <w:rPr>
          <w:rFonts w:hint="default"/>
          <w:color w:val="auto"/>
          <w:lang w:val="en-US" w:eastAsia="zh-CN"/>
        </w:rPr>
        <w:t>各项制度制定以后，能够及时组织员工学习、执行，并结合实际，吸取经验教训，不断地加以修订、补充完善。</w:t>
      </w:r>
    </w:p>
    <w:p w14:paraId="3C7DA1C4">
      <w:pPr>
        <w:pStyle w:val="4"/>
        <w:bidi w:val="0"/>
        <w:rPr>
          <w:rFonts w:hint="default"/>
          <w:color w:val="auto"/>
          <w:lang w:val="en-US" w:eastAsia="zh-CN"/>
        </w:rPr>
      </w:pPr>
      <w:bookmarkStart w:id="84" w:name="_Toc26428"/>
      <w:r>
        <w:rPr>
          <w:rFonts w:hint="default"/>
          <w:color w:val="auto"/>
          <w:lang w:val="en-US" w:eastAsia="zh-CN"/>
        </w:rPr>
        <w:t>2.5.3</w:t>
      </w:r>
      <w:r>
        <w:rPr>
          <w:rFonts w:hint="eastAsia"/>
          <w:color w:val="auto"/>
          <w:lang w:val="en-US" w:eastAsia="zh-CN"/>
        </w:rPr>
        <w:t xml:space="preserve"> </w:t>
      </w:r>
      <w:r>
        <w:rPr>
          <w:rFonts w:hint="default"/>
          <w:color w:val="auto"/>
          <w:lang w:val="en-US" w:eastAsia="zh-CN"/>
        </w:rPr>
        <w:t>安全生产应急救援与措施</w:t>
      </w:r>
      <w:bookmarkEnd w:id="84"/>
    </w:p>
    <w:p w14:paraId="4DD5D934">
      <w:pPr>
        <w:rPr>
          <w:rFonts w:hint="default"/>
          <w:color w:val="auto"/>
          <w:lang w:val="en-US" w:eastAsia="zh-CN"/>
        </w:rPr>
      </w:pPr>
      <w:r>
        <w:rPr>
          <w:rFonts w:hint="default"/>
          <w:color w:val="auto"/>
          <w:lang w:val="en-US" w:eastAsia="zh-CN"/>
        </w:rPr>
        <w:t>（1）应急救援预案</w:t>
      </w:r>
    </w:p>
    <w:p w14:paraId="05A4342C">
      <w:pPr>
        <w:rPr>
          <w:rFonts w:hint="default"/>
          <w:color w:val="auto"/>
          <w:lang w:val="en-US" w:eastAsia="zh-CN"/>
        </w:rPr>
      </w:pPr>
      <w:r>
        <w:rPr>
          <w:rFonts w:hint="default"/>
          <w:color w:val="auto"/>
          <w:lang w:val="en-US" w:eastAsia="zh-CN"/>
        </w:rPr>
        <w:t>江西浒坑钨业有限公司编制有《江西浒坑钨业有限公司生产安全事故应急预案》</w:t>
      </w:r>
      <w:r>
        <w:rPr>
          <w:rFonts w:hint="eastAsia"/>
          <w:color w:val="auto"/>
          <w:lang w:val="en-US" w:eastAsia="zh-CN"/>
        </w:rPr>
        <w:t>，备案编号：AF【2022】03，于2022年10月27在安福县应急管理局进行了备案</w:t>
      </w:r>
      <w:r>
        <w:rPr>
          <w:rFonts w:hint="default"/>
          <w:color w:val="auto"/>
          <w:lang w:val="en-US" w:eastAsia="zh-CN"/>
        </w:rPr>
        <w:t>。</w:t>
      </w:r>
    </w:p>
    <w:p w14:paraId="452178D6">
      <w:pPr>
        <w:rPr>
          <w:rFonts w:hint="default"/>
          <w:color w:val="auto"/>
          <w:lang w:val="en-US" w:eastAsia="zh-CN"/>
        </w:rPr>
      </w:pPr>
      <w:r>
        <w:rPr>
          <w:rFonts w:hint="default"/>
          <w:color w:val="auto"/>
          <w:lang w:val="en-US" w:eastAsia="zh-CN"/>
        </w:rPr>
        <w:t>（2）事故应急救援队伍</w:t>
      </w:r>
    </w:p>
    <w:p w14:paraId="0A2CDB23">
      <w:pPr>
        <w:rPr>
          <w:rFonts w:hint="default"/>
          <w:color w:val="auto"/>
          <w:lang w:val="en-US" w:eastAsia="zh-CN"/>
        </w:rPr>
      </w:pPr>
      <w:r>
        <w:rPr>
          <w:rFonts w:hint="eastAsia"/>
          <w:color w:val="auto"/>
          <w:lang w:val="en-US" w:eastAsia="zh-CN"/>
        </w:rPr>
        <w:t>2025年3月27日，江西浒坑钨业有限公司下发了《关于调整应急救援队伍成员的通知》（浒钨安字</w:t>
      </w:r>
      <w:r>
        <w:rPr>
          <w:rFonts w:hint="eastAsia" w:ascii="宋体" w:hAnsi="宋体" w:eastAsia="宋体" w:cs="宋体"/>
          <w:color w:val="auto"/>
          <w:lang w:val="en-US" w:eastAsia="zh-CN"/>
        </w:rPr>
        <w:t>[</w:t>
      </w:r>
      <w:r>
        <w:rPr>
          <w:rFonts w:hint="eastAsia"/>
          <w:color w:val="auto"/>
          <w:lang w:val="en-US" w:eastAsia="zh-CN"/>
        </w:rPr>
        <w:t>2025</w:t>
      </w:r>
      <w:r>
        <w:rPr>
          <w:rFonts w:hint="eastAsia" w:ascii="宋体" w:hAnsi="宋体" w:eastAsia="宋体" w:cs="宋体"/>
          <w:color w:val="auto"/>
          <w:lang w:val="en-US" w:eastAsia="zh-CN"/>
        </w:rPr>
        <w:t>]</w:t>
      </w:r>
      <w:r>
        <w:rPr>
          <w:rFonts w:hint="eastAsia"/>
          <w:color w:val="auto"/>
          <w:lang w:val="en-US" w:eastAsia="zh-CN"/>
        </w:rPr>
        <w:t>21号），</w:t>
      </w:r>
      <w:r>
        <w:rPr>
          <w:rFonts w:hint="default"/>
          <w:color w:val="auto"/>
          <w:lang w:val="en-US" w:eastAsia="zh-CN"/>
        </w:rPr>
        <w:t>成立了公司应急救援指挥部，负责启动应急预案，指挥、协调各应急救援分队开展事故应急救援</w:t>
      </w:r>
      <w:r>
        <w:rPr>
          <w:rFonts w:hint="eastAsia"/>
          <w:color w:val="auto"/>
          <w:lang w:val="en-US" w:eastAsia="zh-CN"/>
        </w:rPr>
        <w:t>，</w:t>
      </w:r>
      <w:r>
        <w:rPr>
          <w:rFonts w:hint="default"/>
          <w:color w:val="auto"/>
          <w:lang w:val="en-US" w:eastAsia="zh-CN"/>
        </w:rPr>
        <w:t>应急救援队办公室设在安全环保部，安全环保部主任任办公室主任。储备了相应的抢险救援器材，专用运输车辆及通讯工具。</w:t>
      </w:r>
      <w:r>
        <w:rPr>
          <w:rFonts w:hint="eastAsia"/>
          <w:color w:val="auto"/>
          <w:lang w:val="en-US" w:eastAsia="zh-CN"/>
        </w:rPr>
        <w:t>2025年3月25日，江西浒坑钨业有限公司</w:t>
      </w:r>
      <w:r>
        <w:rPr>
          <w:rFonts w:hint="default"/>
          <w:color w:val="auto"/>
          <w:lang w:val="en-US" w:eastAsia="zh-CN"/>
        </w:rPr>
        <w:t>每年开展</w:t>
      </w:r>
      <w:r>
        <w:rPr>
          <w:rFonts w:hint="eastAsia"/>
          <w:color w:val="auto"/>
          <w:lang w:val="en-US" w:eastAsia="zh-CN"/>
        </w:rPr>
        <w:t>了杨家店尾矿库坝体塌陷事故无脚本应急演练活动</w:t>
      </w:r>
      <w:r>
        <w:rPr>
          <w:rFonts w:hint="default"/>
          <w:color w:val="auto"/>
          <w:lang w:val="en-US" w:eastAsia="zh-CN"/>
        </w:rPr>
        <w:t>，保留有演练活动相关材料。公司与宜春市专业森林消防支队（原宜春市矿山救护队）签订了救援协议</w:t>
      </w:r>
      <w:r>
        <w:rPr>
          <w:rFonts w:hint="eastAsia"/>
          <w:color w:val="auto"/>
          <w:lang w:val="en-US" w:eastAsia="zh-CN"/>
        </w:rPr>
        <w:t>，有效期1年，从2024年5月25日至2025年5月24日止</w:t>
      </w:r>
      <w:r>
        <w:rPr>
          <w:rFonts w:hint="default"/>
          <w:color w:val="auto"/>
          <w:lang w:val="en-US" w:eastAsia="zh-CN"/>
        </w:rPr>
        <w:t>。</w:t>
      </w:r>
    </w:p>
    <w:p w14:paraId="51C68041">
      <w:pPr>
        <w:pStyle w:val="4"/>
        <w:bidi w:val="0"/>
        <w:rPr>
          <w:rFonts w:hint="default"/>
          <w:color w:val="auto"/>
          <w:lang w:val="en-US" w:eastAsia="zh-CN"/>
        </w:rPr>
      </w:pPr>
      <w:bookmarkStart w:id="85" w:name="_Toc7937"/>
      <w:r>
        <w:rPr>
          <w:rFonts w:hint="default"/>
          <w:color w:val="auto"/>
          <w:lang w:val="en-US" w:eastAsia="zh-CN"/>
        </w:rPr>
        <w:t>2.5.4</w:t>
      </w:r>
      <w:r>
        <w:rPr>
          <w:rFonts w:hint="eastAsia"/>
          <w:color w:val="auto"/>
          <w:lang w:val="en-US" w:eastAsia="zh-CN"/>
        </w:rPr>
        <w:t xml:space="preserve"> </w:t>
      </w:r>
      <w:r>
        <w:rPr>
          <w:rFonts w:hint="default"/>
          <w:color w:val="auto"/>
          <w:lang w:val="en-US" w:eastAsia="zh-CN"/>
        </w:rPr>
        <w:t>安全教育培训</w:t>
      </w:r>
      <w:bookmarkEnd w:id="85"/>
    </w:p>
    <w:p w14:paraId="467A77E8">
      <w:pPr>
        <w:rPr>
          <w:rFonts w:hint="default"/>
          <w:color w:val="auto"/>
          <w:lang w:val="en-US" w:eastAsia="zh-CN"/>
        </w:rPr>
      </w:pPr>
      <w:r>
        <w:rPr>
          <w:rFonts w:hint="default"/>
          <w:color w:val="auto"/>
          <w:lang w:val="en-US" w:eastAsia="zh-CN"/>
        </w:rPr>
        <w:t>江西浒坑钨业有限公司实行公司、坑（厂）级、班组级三级安全教育培训制度和再教育制度，设有安全宣传教育室，保留有相应培训记录。主要负责人、安全管理人员及尾矿工的资格证书均在有效期内。</w:t>
      </w:r>
    </w:p>
    <w:p w14:paraId="79B6E4E9">
      <w:pPr>
        <w:pStyle w:val="4"/>
        <w:bidi w:val="0"/>
        <w:rPr>
          <w:rFonts w:hint="default"/>
          <w:color w:val="auto"/>
          <w:lang w:val="en-US" w:eastAsia="zh-CN"/>
        </w:rPr>
      </w:pPr>
      <w:bookmarkStart w:id="86" w:name="_Toc5712"/>
      <w:r>
        <w:rPr>
          <w:rFonts w:hint="default"/>
          <w:color w:val="auto"/>
          <w:lang w:val="en-US" w:eastAsia="zh-CN"/>
        </w:rPr>
        <w:t>2.5.5</w:t>
      </w:r>
      <w:r>
        <w:rPr>
          <w:rFonts w:hint="eastAsia"/>
          <w:color w:val="auto"/>
          <w:lang w:val="en-US" w:eastAsia="zh-CN"/>
        </w:rPr>
        <w:t xml:space="preserve"> </w:t>
      </w:r>
      <w:r>
        <w:rPr>
          <w:rFonts w:hint="default"/>
          <w:color w:val="auto"/>
          <w:lang w:val="en-US" w:eastAsia="zh-CN"/>
        </w:rPr>
        <w:t>安全措施费用</w:t>
      </w:r>
      <w:bookmarkEnd w:id="86"/>
    </w:p>
    <w:p w14:paraId="1E8F3475">
      <w:pPr>
        <w:rPr>
          <w:rFonts w:hint="default"/>
          <w:color w:val="auto"/>
          <w:lang w:val="en-US" w:eastAsia="zh-CN"/>
        </w:rPr>
      </w:pPr>
      <w:r>
        <w:rPr>
          <w:rFonts w:hint="default"/>
          <w:color w:val="auto"/>
          <w:lang w:val="en-US" w:eastAsia="zh-CN"/>
        </w:rPr>
        <w:t>江西浒坑钨业有限公司认真落实了《安全生产经费提取和使用管理制度》，合理提取和使用安全生产经费，保证安全投入，改善尾矿库作业现场安全生产条件。费用主要用于地下矿山、杨家店尾矿库的安全隐患整改等，做到安全费用合理提取、专款专用。</w:t>
      </w:r>
    </w:p>
    <w:p w14:paraId="16179B3D">
      <w:pPr>
        <w:pStyle w:val="4"/>
        <w:bidi w:val="0"/>
        <w:rPr>
          <w:rFonts w:hint="default"/>
          <w:color w:val="auto"/>
          <w:lang w:val="en-US" w:eastAsia="zh-CN"/>
        </w:rPr>
      </w:pPr>
      <w:bookmarkStart w:id="87" w:name="_Toc13564"/>
      <w:r>
        <w:rPr>
          <w:rFonts w:hint="default"/>
          <w:color w:val="auto"/>
          <w:lang w:val="en-US" w:eastAsia="zh-CN"/>
        </w:rPr>
        <w:t>2.5.6</w:t>
      </w:r>
      <w:r>
        <w:rPr>
          <w:rFonts w:hint="eastAsia"/>
          <w:color w:val="auto"/>
          <w:lang w:val="en-US" w:eastAsia="zh-CN"/>
        </w:rPr>
        <w:t xml:space="preserve"> </w:t>
      </w:r>
      <w:r>
        <w:rPr>
          <w:rFonts w:hint="default"/>
          <w:color w:val="auto"/>
          <w:lang w:val="en-US" w:eastAsia="zh-CN"/>
        </w:rPr>
        <w:t>安全检查</w:t>
      </w:r>
      <w:bookmarkEnd w:id="87"/>
    </w:p>
    <w:p w14:paraId="5264F073">
      <w:pPr>
        <w:rPr>
          <w:rFonts w:hint="default"/>
          <w:color w:val="auto"/>
          <w:lang w:val="en-US" w:eastAsia="zh-CN"/>
        </w:rPr>
      </w:pPr>
      <w:r>
        <w:rPr>
          <w:rFonts w:hint="default"/>
          <w:color w:val="auto"/>
          <w:lang w:val="en-US" w:eastAsia="zh-CN"/>
        </w:rPr>
        <w:t>江西浒坑钨业有限公司正常开展矿级、选厂、班组级安全检查工作，对尾矿库区岸坡长期进行巡视，并建立日常运行记录，有矿级、选厂、班组级安全检查情况及隐患整改情况记录。库区配备了专职作业人员24h值班。尾矿工按要求定时巡坝和检查尾砂排放情况，实行交接班制度，保留有交接班记录。</w:t>
      </w:r>
    </w:p>
    <w:p w14:paraId="4DDED92C">
      <w:pPr>
        <w:rPr>
          <w:rFonts w:hint="default"/>
          <w:color w:val="auto"/>
          <w:lang w:val="en-US" w:eastAsia="zh-CN"/>
        </w:rPr>
      </w:pPr>
      <w:r>
        <w:rPr>
          <w:rFonts w:hint="default"/>
          <w:color w:val="auto"/>
          <w:lang w:val="en-US" w:eastAsia="zh-CN"/>
        </w:rPr>
        <w:t>江西浒坑钨业有限公司构建有隐患排查治理体系，并按要求定期上传了隐患排查信息，做到了自查、自验、自报、销号、闭环管理。</w:t>
      </w:r>
    </w:p>
    <w:p w14:paraId="47BCD6BC">
      <w:pPr>
        <w:pStyle w:val="4"/>
        <w:bidi w:val="0"/>
        <w:rPr>
          <w:rFonts w:hint="default"/>
          <w:color w:val="auto"/>
          <w:lang w:val="en-US" w:eastAsia="zh-CN"/>
        </w:rPr>
      </w:pPr>
      <w:bookmarkStart w:id="88" w:name="_Toc27104"/>
      <w:r>
        <w:rPr>
          <w:rFonts w:hint="default"/>
          <w:color w:val="auto"/>
          <w:lang w:val="en-US" w:eastAsia="zh-CN"/>
        </w:rPr>
        <w:t>2.5.7</w:t>
      </w:r>
      <w:r>
        <w:rPr>
          <w:rFonts w:hint="eastAsia"/>
          <w:color w:val="auto"/>
          <w:lang w:val="en-US" w:eastAsia="zh-CN"/>
        </w:rPr>
        <w:t xml:space="preserve"> </w:t>
      </w:r>
      <w:r>
        <w:rPr>
          <w:rFonts w:hint="default"/>
          <w:color w:val="auto"/>
          <w:lang w:val="en-US" w:eastAsia="zh-CN"/>
        </w:rPr>
        <w:t>安全生产标准化</w:t>
      </w:r>
      <w:bookmarkEnd w:id="88"/>
    </w:p>
    <w:p w14:paraId="6D26AA25">
      <w:pPr>
        <w:rPr>
          <w:rFonts w:hint="default"/>
          <w:color w:val="auto"/>
          <w:lang w:val="en-US" w:eastAsia="zh-CN"/>
        </w:rPr>
      </w:pPr>
      <w:r>
        <w:rPr>
          <w:rFonts w:hint="default"/>
          <w:color w:val="auto"/>
          <w:lang w:val="en-US" w:eastAsia="zh-CN"/>
        </w:rPr>
        <w:t>企业于2010年3月开始启动杨家店尾矿库安全生产标准化创建工作，于2011年4月经江西省安全生产协会组织的专家组评审，达到了二级安全生产标准化。江西浒坑钨业有限公司杨家店尾矿库于2024年</w:t>
      </w:r>
      <w:r>
        <w:rPr>
          <w:rFonts w:hint="eastAsia"/>
          <w:color w:val="auto"/>
          <w:lang w:val="en-US" w:eastAsia="zh-CN"/>
        </w:rPr>
        <w:t>7</w:t>
      </w:r>
      <w:r>
        <w:rPr>
          <w:rFonts w:hint="default"/>
          <w:color w:val="auto"/>
          <w:lang w:val="en-US" w:eastAsia="zh-CN"/>
        </w:rPr>
        <w:t>月</w:t>
      </w:r>
      <w:r>
        <w:rPr>
          <w:rFonts w:hint="eastAsia"/>
          <w:color w:val="auto"/>
          <w:lang w:val="en-US" w:eastAsia="zh-CN"/>
        </w:rPr>
        <w:t>5</w:t>
      </w:r>
      <w:r>
        <w:rPr>
          <w:rFonts w:hint="default"/>
          <w:color w:val="auto"/>
          <w:lang w:val="en-US" w:eastAsia="zh-CN"/>
        </w:rPr>
        <w:t>日获非煤矿山安全生产标准化二级企业，有效期3年，详见江西省应急管理厅网站《江西省非煤矿山企业安全生产标准化评审定级审核决定公告（第七十</w:t>
      </w:r>
      <w:r>
        <w:rPr>
          <w:rFonts w:hint="eastAsia"/>
          <w:color w:val="auto"/>
          <w:lang w:val="en-US" w:eastAsia="zh-CN"/>
        </w:rPr>
        <w:t>三</w:t>
      </w:r>
      <w:r>
        <w:rPr>
          <w:rFonts w:hint="default"/>
          <w:color w:val="auto"/>
          <w:lang w:val="en-US" w:eastAsia="zh-CN"/>
        </w:rPr>
        <w:t>号）》。杨家店尾矿库自取得二级标准化证书以来能有效的把标准体系文件内容融入尾矿库安全生产过程当中，制定了尾矿库隐患排查体系及风险管制体系，尾矿库每个月会同矿山进行一次隐患申报。</w:t>
      </w:r>
    </w:p>
    <w:p w14:paraId="412895CC">
      <w:pPr>
        <w:pStyle w:val="4"/>
        <w:bidi w:val="0"/>
        <w:rPr>
          <w:rFonts w:hint="default"/>
          <w:color w:val="auto"/>
          <w:lang w:val="en-US" w:eastAsia="zh-CN"/>
        </w:rPr>
      </w:pPr>
      <w:bookmarkStart w:id="89" w:name="_Toc31853"/>
      <w:r>
        <w:rPr>
          <w:rFonts w:hint="default"/>
          <w:color w:val="auto"/>
          <w:lang w:val="en-US" w:eastAsia="zh-CN"/>
        </w:rPr>
        <w:t>2.5.8</w:t>
      </w:r>
      <w:r>
        <w:rPr>
          <w:rFonts w:hint="eastAsia"/>
          <w:color w:val="auto"/>
          <w:lang w:val="en-US" w:eastAsia="zh-CN"/>
        </w:rPr>
        <w:t xml:space="preserve"> </w:t>
      </w:r>
      <w:r>
        <w:rPr>
          <w:rFonts w:hint="default"/>
          <w:color w:val="auto"/>
          <w:lang w:val="en-US" w:eastAsia="zh-CN"/>
        </w:rPr>
        <w:t>现场管理</w:t>
      </w:r>
      <w:bookmarkEnd w:id="89"/>
    </w:p>
    <w:p w14:paraId="6B004A79">
      <w:pPr>
        <w:rPr>
          <w:rFonts w:hint="default"/>
          <w:color w:val="auto"/>
          <w:lang w:val="en-US" w:eastAsia="zh-CN"/>
        </w:rPr>
      </w:pPr>
      <w:r>
        <w:rPr>
          <w:rFonts w:hint="default"/>
          <w:color w:val="auto"/>
          <w:lang w:val="en-US" w:eastAsia="zh-CN"/>
        </w:rPr>
        <w:t>企业制定了尾矿库安全管理制度，落实了尾矿工库区巡坝、检查责任，要求尾矿工坚守岗位、24h手机不关机，保持通讯畅通。坚持每天库区巡回检查，并记录在册备查，发现问题及时报告处理。不定期安排人员对坝体位移沉降、库水位等进行人工监测。</w:t>
      </w:r>
    </w:p>
    <w:p w14:paraId="489ECF6A">
      <w:pPr>
        <w:pStyle w:val="4"/>
        <w:bidi w:val="0"/>
        <w:rPr>
          <w:rFonts w:hint="default"/>
          <w:color w:val="auto"/>
          <w:lang w:val="en-US" w:eastAsia="zh-CN"/>
        </w:rPr>
      </w:pPr>
      <w:bookmarkStart w:id="90" w:name="_Toc17744"/>
      <w:r>
        <w:rPr>
          <w:rFonts w:hint="default"/>
          <w:color w:val="auto"/>
          <w:lang w:val="en-US" w:eastAsia="zh-CN"/>
        </w:rPr>
        <w:t>2.5.9</w:t>
      </w:r>
      <w:r>
        <w:rPr>
          <w:rFonts w:hint="eastAsia"/>
          <w:color w:val="auto"/>
          <w:lang w:val="en-US" w:eastAsia="zh-CN"/>
        </w:rPr>
        <w:t xml:space="preserve"> </w:t>
      </w:r>
      <w:r>
        <w:rPr>
          <w:rFonts w:hint="default"/>
          <w:color w:val="auto"/>
          <w:lang w:val="en-US" w:eastAsia="zh-CN"/>
        </w:rPr>
        <w:t>事故情况</w:t>
      </w:r>
      <w:bookmarkEnd w:id="90"/>
    </w:p>
    <w:p w14:paraId="224718BD">
      <w:pPr>
        <w:rPr>
          <w:rFonts w:hint="default"/>
          <w:color w:val="auto"/>
          <w:lang w:val="en-US" w:eastAsia="zh-CN"/>
        </w:rPr>
      </w:pPr>
      <w:r>
        <w:rPr>
          <w:rFonts w:hint="default"/>
          <w:color w:val="auto"/>
          <w:lang w:val="en-US" w:eastAsia="zh-CN"/>
        </w:rPr>
        <w:t>杨家店尾矿库自投入使用以来至今未发生一起安全生产事故和环境污染事故，保持了安全生产、环境保护平稳态势。</w:t>
      </w:r>
    </w:p>
    <w:p w14:paraId="3BE1940C">
      <w:pPr>
        <w:pStyle w:val="4"/>
        <w:bidi w:val="0"/>
        <w:rPr>
          <w:rFonts w:hint="default"/>
          <w:color w:val="auto"/>
          <w:lang w:val="en-US" w:eastAsia="zh-CN"/>
        </w:rPr>
      </w:pPr>
      <w:bookmarkStart w:id="91" w:name="_Toc27768"/>
      <w:r>
        <w:rPr>
          <w:rFonts w:hint="default"/>
          <w:color w:val="auto"/>
          <w:lang w:val="en-US" w:eastAsia="zh-CN"/>
        </w:rPr>
        <w:t>2.5.10</w:t>
      </w:r>
      <w:r>
        <w:rPr>
          <w:rFonts w:hint="eastAsia"/>
          <w:color w:val="auto"/>
          <w:lang w:val="en-US" w:eastAsia="zh-CN"/>
        </w:rPr>
        <w:t xml:space="preserve"> </w:t>
      </w:r>
      <w:r>
        <w:rPr>
          <w:rFonts w:hint="default"/>
          <w:color w:val="auto"/>
          <w:lang w:val="en-US" w:eastAsia="zh-CN"/>
        </w:rPr>
        <w:t>安全生产责任保险</w:t>
      </w:r>
      <w:bookmarkEnd w:id="91"/>
    </w:p>
    <w:p w14:paraId="7624498F">
      <w:pPr>
        <w:rPr>
          <w:rFonts w:hint="default"/>
          <w:color w:val="auto"/>
          <w:lang w:val="en-US" w:eastAsia="zh-CN"/>
        </w:rPr>
      </w:pPr>
      <w:r>
        <w:rPr>
          <w:rFonts w:hint="default"/>
          <w:color w:val="auto"/>
          <w:lang w:val="en-US" w:eastAsia="zh-CN"/>
        </w:rPr>
        <w:t>企业已依法参加了工伤、养老等社会保险，已为一线从业人员办理了安全生产责任险，按要求交纳了保险费，并按规定发放配带劳动保护用品。</w:t>
      </w:r>
    </w:p>
    <w:p w14:paraId="1B59052B">
      <w:pPr>
        <w:pStyle w:val="3"/>
        <w:bidi w:val="0"/>
        <w:rPr>
          <w:rFonts w:hint="default"/>
          <w:color w:val="auto"/>
          <w:lang w:val="en-US" w:eastAsia="zh-CN"/>
        </w:rPr>
      </w:pPr>
      <w:bookmarkStart w:id="92" w:name="_Toc10042"/>
      <w:r>
        <w:rPr>
          <w:rFonts w:hint="default"/>
          <w:color w:val="auto"/>
          <w:lang w:val="en-US" w:eastAsia="zh-CN"/>
        </w:rPr>
        <w:t>2.6</w:t>
      </w:r>
      <w:r>
        <w:rPr>
          <w:rFonts w:hint="eastAsia"/>
          <w:color w:val="auto"/>
          <w:lang w:val="en-US" w:eastAsia="zh-CN"/>
        </w:rPr>
        <w:t xml:space="preserve"> </w:t>
      </w:r>
      <w:r>
        <w:rPr>
          <w:rFonts w:hint="default"/>
          <w:color w:val="auto"/>
          <w:lang w:val="en-US" w:eastAsia="zh-CN"/>
        </w:rPr>
        <w:t>周边环境及其影响分析</w:t>
      </w:r>
      <w:bookmarkEnd w:id="92"/>
    </w:p>
    <w:p w14:paraId="1ABF2570">
      <w:pPr>
        <w:pStyle w:val="4"/>
        <w:bidi w:val="0"/>
        <w:rPr>
          <w:rFonts w:hint="default"/>
          <w:color w:val="auto"/>
          <w:lang w:val="en-US" w:eastAsia="zh-CN"/>
        </w:rPr>
      </w:pPr>
      <w:bookmarkStart w:id="93" w:name="_Toc1332"/>
      <w:r>
        <w:rPr>
          <w:rFonts w:hint="default"/>
          <w:color w:val="auto"/>
          <w:lang w:val="en-US" w:eastAsia="zh-CN"/>
        </w:rPr>
        <w:t>2.6.1</w:t>
      </w:r>
      <w:r>
        <w:rPr>
          <w:rFonts w:hint="eastAsia"/>
          <w:color w:val="auto"/>
          <w:lang w:val="en-US" w:eastAsia="zh-CN"/>
        </w:rPr>
        <w:t xml:space="preserve"> </w:t>
      </w:r>
      <w:r>
        <w:rPr>
          <w:rFonts w:hint="default"/>
          <w:color w:val="auto"/>
          <w:lang w:val="en-US" w:eastAsia="zh-CN"/>
        </w:rPr>
        <w:t>尾矿库周边环境</w:t>
      </w:r>
      <w:bookmarkEnd w:id="93"/>
    </w:p>
    <w:p w14:paraId="5236A294">
      <w:pPr>
        <w:rPr>
          <w:rFonts w:hint="default"/>
          <w:color w:val="auto"/>
          <w:lang w:val="en-US" w:eastAsia="zh-CN"/>
        </w:rPr>
      </w:pPr>
      <w:r>
        <w:rPr>
          <w:rFonts w:hint="default"/>
          <w:color w:val="auto"/>
          <w:lang w:val="en-US" w:eastAsia="zh-CN"/>
        </w:rPr>
        <w:t>杨家店尾矿库下游1</w:t>
      </w:r>
      <w:r>
        <w:rPr>
          <w:rFonts w:hint="eastAsia"/>
          <w:color w:val="auto"/>
          <w:lang w:val="en-US" w:eastAsia="zh-CN"/>
        </w:rPr>
        <w:t>km</w:t>
      </w:r>
      <w:r>
        <w:rPr>
          <w:rFonts w:hint="default"/>
          <w:color w:val="auto"/>
          <w:lang w:val="en-US" w:eastAsia="zh-CN"/>
        </w:rPr>
        <w:t>范围内，共有人口</w:t>
      </w:r>
      <w:r>
        <w:rPr>
          <w:rFonts w:hint="eastAsia"/>
          <w:color w:val="auto"/>
          <w:lang w:val="en-US" w:eastAsia="zh-CN"/>
        </w:rPr>
        <w:t>101</w:t>
      </w:r>
      <w:r>
        <w:rPr>
          <w:rFonts w:hint="default"/>
          <w:color w:val="auto"/>
          <w:lang w:val="en-US" w:eastAsia="zh-CN"/>
        </w:rPr>
        <w:t>户，人员</w:t>
      </w:r>
      <w:r>
        <w:rPr>
          <w:rFonts w:hint="eastAsia"/>
          <w:color w:val="auto"/>
          <w:lang w:val="en-US" w:eastAsia="zh-CN"/>
        </w:rPr>
        <w:t>289</w:t>
      </w:r>
      <w:r>
        <w:rPr>
          <w:rFonts w:hint="default"/>
          <w:color w:val="auto"/>
          <w:lang w:val="en-US" w:eastAsia="zh-CN"/>
        </w:rPr>
        <w:t>人。分布情况为，在杨家店尾矿坝方位角202</w:t>
      </w:r>
      <w:r>
        <w:rPr>
          <w:rFonts w:hint="eastAsia"/>
          <w:color w:val="auto"/>
          <w:lang w:val="en-US" w:eastAsia="zh-CN"/>
        </w:rPr>
        <w:t>°</w:t>
      </w:r>
      <w:r>
        <w:rPr>
          <w:rFonts w:hint="default"/>
          <w:color w:val="auto"/>
          <w:lang w:val="en-US" w:eastAsia="zh-CN"/>
        </w:rPr>
        <w:t>37</w:t>
      </w:r>
      <w:r>
        <w:rPr>
          <w:rFonts w:hint="eastAsia"/>
          <w:color w:val="auto"/>
          <w:lang w:val="en-US" w:eastAsia="zh-CN"/>
        </w:rPr>
        <w:t>′</w:t>
      </w:r>
      <w:r>
        <w:rPr>
          <w:rFonts w:hint="default"/>
          <w:color w:val="auto"/>
          <w:lang w:val="en-US" w:eastAsia="zh-CN"/>
        </w:rPr>
        <w:t>30</w:t>
      </w:r>
      <w:r>
        <w:rPr>
          <w:rFonts w:hint="eastAsia"/>
          <w:color w:val="auto"/>
          <w:lang w:val="en-US" w:eastAsia="zh-CN"/>
        </w:rPr>
        <w:t>″</w:t>
      </w:r>
      <w:r>
        <w:rPr>
          <w:rFonts w:hint="default"/>
          <w:color w:val="auto"/>
          <w:lang w:val="en-US" w:eastAsia="zh-CN"/>
        </w:rPr>
        <w:t>间距761m处，高差33.2m（均与初期坝坝顶标高</w:t>
      </w:r>
      <w:r>
        <w:rPr>
          <w:rFonts w:hint="eastAsia"/>
          <w:color w:val="auto"/>
          <w:lang w:val="en-US" w:eastAsia="zh-CN"/>
        </w:rPr>
        <w:t>+</w:t>
      </w:r>
      <w:r>
        <w:rPr>
          <w:rFonts w:hint="default"/>
          <w:color w:val="auto"/>
          <w:lang w:val="en-US" w:eastAsia="zh-CN"/>
        </w:rPr>
        <w:t>273.0m为基准），有公司变电房及家属民房共计218幢，居住有居民68户，居住人员有223人。在杨家店尾矿坝方位角271</w:t>
      </w:r>
      <w:r>
        <w:rPr>
          <w:rFonts w:hint="eastAsia"/>
          <w:color w:val="auto"/>
          <w:lang w:val="en-US" w:eastAsia="zh-CN"/>
        </w:rPr>
        <w:t>°</w:t>
      </w:r>
      <w:r>
        <w:rPr>
          <w:rFonts w:hint="default"/>
          <w:color w:val="auto"/>
          <w:lang w:val="en-US" w:eastAsia="zh-CN"/>
        </w:rPr>
        <w:t>17</w:t>
      </w:r>
      <w:r>
        <w:rPr>
          <w:rFonts w:hint="eastAsia"/>
          <w:color w:val="auto"/>
          <w:lang w:val="en-US" w:eastAsia="zh-CN"/>
        </w:rPr>
        <w:t>′</w:t>
      </w:r>
      <w:r>
        <w:rPr>
          <w:rFonts w:hint="default"/>
          <w:color w:val="auto"/>
          <w:lang w:val="en-US" w:eastAsia="zh-CN"/>
        </w:rPr>
        <w:t>50</w:t>
      </w:r>
      <w:r>
        <w:rPr>
          <w:rFonts w:hint="eastAsia"/>
          <w:color w:val="auto"/>
          <w:lang w:val="en-US" w:eastAsia="zh-CN"/>
        </w:rPr>
        <w:t>″</w:t>
      </w:r>
      <w:r>
        <w:rPr>
          <w:rFonts w:hint="default"/>
          <w:color w:val="auto"/>
          <w:lang w:val="en-US" w:eastAsia="zh-CN"/>
        </w:rPr>
        <w:t>间距361.5m处，高差29.2m有产品检验办公室、维修房及其他民房共计102幢，居民21户，居住人员有43人。在杨家店尾矿坝方位角233</w:t>
      </w:r>
      <w:r>
        <w:rPr>
          <w:rFonts w:hint="eastAsia"/>
          <w:color w:val="auto"/>
          <w:lang w:val="en-US" w:eastAsia="zh-CN"/>
        </w:rPr>
        <w:t>°</w:t>
      </w:r>
      <w:r>
        <w:rPr>
          <w:rFonts w:hint="default"/>
          <w:color w:val="auto"/>
          <w:lang w:val="en-US" w:eastAsia="zh-CN"/>
        </w:rPr>
        <w:t>11</w:t>
      </w:r>
      <w:r>
        <w:rPr>
          <w:rFonts w:hint="eastAsia"/>
          <w:color w:val="auto"/>
          <w:lang w:val="en-US" w:eastAsia="zh-CN"/>
        </w:rPr>
        <w:t>′</w:t>
      </w:r>
      <w:r>
        <w:rPr>
          <w:rFonts w:hint="default"/>
          <w:color w:val="auto"/>
          <w:lang w:val="en-US" w:eastAsia="zh-CN"/>
        </w:rPr>
        <w:t>33</w:t>
      </w:r>
      <w:r>
        <w:rPr>
          <w:rFonts w:hint="eastAsia"/>
          <w:color w:val="auto"/>
          <w:lang w:val="en-US" w:eastAsia="zh-CN"/>
        </w:rPr>
        <w:t>″</w:t>
      </w:r>
      <w:r>
        <w:rPr>
          <w:rFonts w:hint="default"/>
          <w:color w:val="auto"/>
          <w:lang w:val="en-US" w:eastAsia="zh-CN"/>
        </w:rPr>
        <w:t>间距295.1m处，高差32m，有民房72幢，现有居住12户，有居民23人。下游沟谷河道宽度为3m，深度为1.2m。初期坝坝脚下游右角20m处为选矿厂办公室、砂泵房、及蓄水池，初期坝右角上方山坡高程</w:t>
      </w:r>
      <w:r>
        <w:rPr>
          <w:rFonts w:hint="eastAsia"/>
          <w:color w:val="auto"/>
          <w:lang w:val="en-US" w:eastAsia="zh-CN"/>
        </w:rPr>
        <w:t>+</w:t>
      </w:r>
      <w:r>
        <w:rPr>
          <w:rFonts w:hint="default"/>
          <w:color w:val="auto"/>
          <w:lang w:val="en-US" w:eastAsia="zh-CN"/>
        </w:rPr>
        <w:t>276.0m为选矿厂。</w:t>
      </w:r>
    </w:p>
    <w:p w14:paraId="0E868107">
      <w:pPr>
        <w:bidi w:val="0"/>
        <w:ind w:left="0" w:leftChars="0" w:firstLine="0" w:firstLineChars="0"/>
        <w:jc w:val="center"/>
        <w:rPr>
          <w:rFonts w:hint="default"/>
          <w:color w:val="auto"/>
          <w:lang w:val="en-US" w:eastAsia="zh-CN"/>
        </w:rPr>
      </w:pPr>
      <w:r>
        <w:rPr>
          <w:color w:val="auto"/>
        </w:rPr>
        <w:drawing>
          <wp:inline distT="0" distB="0" distL="114300" distR="114300">
            <wp:extent cx="5039995" cy="2649855"/>
            <wp:effectExtent l="0" t="0" r="8255" b="171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8"/>
                    <a:stretch>
                      <a:fillRect/>
                    </a:stretch>
                  </pic:blipFill>
                  <pic:spPr>
                    <a:xfrm>
                      <a:off x="0" y="0"/>
                      <a:ext cx="5039995" cy="2649855"/>
                    </a:xfrm>
                    <a:prstGeom prst="rect">
                      <a:avLst/>
                    </a:prstGeom>
                    <a:noFill/>
                    <a:ln>
                      <a:noFill/>
                    </a:ln>
                  </pic:spPr>
                </pic:pic>
              </a:graphicData>
            </a:graphic>
          </wp:inline>
        </w:drawing>
      </w:r>
    </w:p>
    <w:p w14:paraId="11F92373">
      <w:pPr>
        <w:bidi w:val="0"/>
        <w:ind w:left="0" w:leftChars="0" w:firstLine="0" w:firstLineChars="0"/>
        <w:jc w:val="center"/>
        <w:rPr>
          <w:rFonts w:hint="default"/>
          <w:color w:val="auto"/>
          <w:lang w:val="en-US" w:eastAsia="zh-CN"/>
        </w:rPr>
      </w:pPr>
      <w:r>
        <w:rPr>
          <w:rFonts w:hint="default"/>
          <w:color w:val="auto"/>
          <w:lang w:val="en-US" w:eastAsia="zh-CN"/>
        </w:rPr>
        <w:t>图2</w:t>
      </w:r>
      <w:r>
        <w:rPr>
          <w:rFonts w:hint="eastAsia"/>
          <w:color w:val="auto"/>
          <w:lang w:val="en-US" w:eastAsia="zh-CN"/>
        </w:rPr>
        <w:t xml:space="preserve">.6-1 </w:t>
      </w:r>
      <w:r>
        <w:rPr>
          <w:rFonts w:hint="default"/>
          <w:color w:val="auto"/>
          <w:lang w:val="en-US" w:eastAsia="zh-CN"/>
        </w:rPr>
        <w:t>浒坑尾矿库卫星云图</w:t>
      </w:r>
    </w:p>
    <w:p w14:paraId="3A38458D">
      <w:pPr>
        <w:pStyle w:val="4"/>
        <w:bidi w:val="0"/>
        <w:rPr>
          <w:rFonts w:hint="default"/>
          <w:color w:val="auto"/>
          <w:lang w:val="en-US" w:eastAsia="zh-CN"/>
        </w:rPr>
      </w:pPr>
      <w:bookmarkStart w:id="94" w:name="_Toc9144"/>
      <w:r>
        <w:rPr>
          <w:rFonts w:hint="default"/>
          <w:color w:val="auto"/>
          <w:lang w:val="en-US" w:eastAsia="zh-CN"/>
        </w:rPr>
        <w:t>2.6.2</w:t>
      </w:r>
      <w:r>
        <w:rPr>
          <w:rFonts w:hint="eastAsia"/>
          <w:color w:val="auto"/>
          <w:lang w:val="en-US" w:eastAsia="zh-CN"/>
        </w:rPr>
        <w:t xml:space="preserve"> </w:t>
      </w:r>
      <w:r>
        <w:rPr>
          <w:rFonts w:hint="default"/>
          <w:color w:val="auto"/>
          <w:lang w:val="en-US" w:eastAsia="zh-CN"/>
        </w:rPr>
        <w:t>废石堆现状</w:t>
      </w:r>
      <w:bookmarkEnd w:id="94"/>
    </w:p>
    <w:p w14:paraId="639C866F">
      <w:pPr>
        <w:rPr>
          <w:rFonts w:hint="default"/>
          <w:color w:val="auto"/>
          <w:lang w:val="en-US" w:eastAsia="zh-CN"/>
        </w:rPr>
      </w:pPr>
      <w:r>
        <w:rPr>
          <w:rFonts w:hint="default"/>
          <w:color w:val="auto"/>
          <w:lang w:val="en-US" w:eastAsia="zh-CN"/>
        </w:rPr>
        <w:t>在杨家店尾矿库尾矿坝左侧库区有S1、S2、S3三处废石堆。废石堆均按杨家店尾矿库隐患综合治理设计要求完成了治理，2015年，与杨家店尾矿库隐患综合治理工程一并通过了竣工验收。</w:t>
      </w:r>
    </w:p>
    <w:p w14:paraId="174A5FF1">
      <w:pPr>
        <w:rPr>
          <w:rFonts w:hint="default"/>
          <w:color w:val="auto"/>
          <w:lang w:val="en-US" w:eastAsia="zh-CN"/>
        </w:rPr>
      </w:pPr>
      <w:r>
        <w:rPr>
          <w:rFonts w:hint="default"/>
          <w:color w:val="auto"/>
          <w:lang w:val="en-US" w:eastAsia="zh-CN"/>
        </w:rPr>
        <w:t>S1废石堆距尾矿坝约260m，干砌块石护坡，坡脚设高与宽均为1.5m的干砌块石挡墙，外坡面每隔15m高差设有一道宽2.0m的马道，外坡比为1∶2.0。在废石堆周边有排水沟。</w:t>
      </w:r>
    </w:p>
    <w:p w14:paraId="3230217D">
      <w:pPr>
        <w:rPr>
          <w:rFonts w:hint="default"/>
          <w:color w:val="auto"/>
          <w:lang w:val="en-US" w:eastAsia="zh-CN"/>
        </w:rPr>
      </w:pPr>
      <w:r>
        <w:rPr>
          <w:rFonts w:hint="default"/>
          <w:color w:val="auto"/>
          <w:lang w:val="en-US" w:eastAsia="zh-CN"/>
        </w:rPr>
        <w:t>S2废石堆距尾矿坝约600m，干砌块石护坡，坡脚设高与宽均为1.5m的干砌块石挡墙，外坡面每隔15m高差设有一道宽2.0m的马道，外坡比为1∶2.0。在废石堆周边有排水沟。</w:t>
      </w:r>
    </w:p>
    <w:p w14:paraId="293660AC">
      <w:pPr>
        <w:bidi w:val="0"/>
        <w:rPr>
          <w:rFonts w:hint="default"/>
          <w:color w:val="auto"/>
          <w:lang w:val="en-US" w:eastAsia="zh-CN"/>
        </w:rPr>
      </w:pPr>
      <w:r>
        <w:rPr>
          <w:rFonts w:hint="default"/>
          <w:color w:val="auto"/>
          <w:lang w:val="en-US" w:eastAsia="zh-CN"/>
        </w:rPr>
        <w:t>S3废石堆距尾矿坝约800m，干砌块石护坡，坡脚设高与宽均为1.5m的干砌块石挡墙，外坡面每隔15m高差设有一道宽2.0m的马道，外坡比为1∶2.0。在废石堆周边有排水沟。</w:t>
      </w:r>
    </w:p>
    <w:p w14:paraId="44EFC589">
      <w:pPr>
        <w:bidi w:val="0"/>
        <w:rPr>
          <w:rFonts w:hint="eastAsia"/>
          <w:color w:val="auto"/>
          <w:lang w:val="en-US" w:eastAsia="zh-CN"/>
        </w:rPr>
      </w:pPr>
      <w:r>
        <w:rPr>
          <w:rFonts w:hint="eastAsia"/>
          <w:color w:val="auto"/>
          <w:lang w:eastAsia="zh-CN"/>
        </w:rPr>
        <w:t>废石堆相关参数见</w:t>
      </w:r>
      <w:r>
        <w:rPr>
          <w:rFonts w:hint="eastAsia"/>
          <w:color w:val="auto"/>
          <w:lang w:val="en-US" w:eastAsia="zh-CN"/>
        </w:rPr>
        <w:t>2.6</w:t>
      </w:r>
      <w:r>
        <w:rPr>
          <w:rFonts w:hint="default"/>
          <w:color w:val="auto"/>
          <w:lang w:val="en-US" w:eastAsia="zh-CN"/>
        </w:rPr>
        <w:t>-</w:t>
      </w:r>
      <w:r>
        <w:rPr>
          <w:rFonts w:hint="eastAsia"/>
          <w:color w:val="auto"/>
          <w:lang w:val="en-US" w:eastAsia="zh-CN"/>
        </w:rPr>
        <w:t>1。</w:t>
      </w:r>
    </w:p>
    <w:p w14:paraId="18BC38A8">
      <w:pPr>
        <w:bidi w:val="0"/>
        <w:ind w:left="0" w:leftChars="0" w:firstLine="0" w:firstLineChars="0"/>
        <w:jc w:val="center"/>
        <w:rPr>
          <w:rFonts w:hint="eastAsia"/>
          <w:color w:val="auto"/>
          <w:lang w:val="en-US" w:eastAsia="zh-CN"/>
        </w:rPr>
      </w:pPr>
      <w:r>
        <w:rPr>
          <w:rFonts w:hint="eastAsia"/>
          <w:color w:val="auto"/>
          <w:lang w:val="en-US" w:eastAsia="zh-CN"/>
        </w:rPr>
        <w:t>表2.6-1 废石堆相关参数一览表</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786"/>
        <w:gridCol w:w="1787"/>
        <w:gridCol w:w="1765"/>
        <w:gridCol w:w="2044"/>
        <w:gridCol w:w="1377"/>
      </w:tblGrid>
      <w:tr w14:paraId="64A06B3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7" w:hRule="atLeast"/>
          <w:jc w:val="center"/>
        </w:trPr>
        <w:tc>
          <w:tcPr>
            <w:tcW w:w="1786" w:type="dxa"/>
            <w:tcBorders>
              <w:top w:val="single" w:color="auto" w:sz="4" w:space="0"/>
              <w:left w:val="single" w:color="auto" w:sz="4" w:space="0"/>
              <w:bottom w:val="single" w:color="auto" w:sz="4" w:space="0"/>
              <w:right w:val="single" w:color="auto" w:sz="4" w:space="0"/>
            </w:tcBorders>
            <w:noWrap w:val="0"/>
            <w:vAlign w:val="center"/>
          </w:tcPr>
          <w:p w14:paraId="2590388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废石堆编号</w:t>
            </w:r>
          </w:p>
        </w:tc>
        <w:tc>
          <w:tcPr>
            <w:tcW w:w="1787" w:type="dxa"/>
            <w:tcBorders>
              <w:top w:val="single" w:color="auto" w:sz="4" w:space="0"/>
              <w:left w:val="single" w:color="auto" w:sz="4" w:space="0"/>
              <w:bottom w:val="single" w:color="auto" w:sz="4" w:space="0"/>
              <w:right w:val="single" w:color="auto" w:sz="4" w:space="0"/>
            </w:tcBorders>
            <w:noWrap w:val="0"/>
            <w:vAlign w:val="center"/>
          </w:tcPr>
          <w:p w14:paraId="5B1E7D7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顶标高</w:t>
            </w:r>
            <w:r>
              <w:rPr>
                <w:rFonts w:hint="eastAsia"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m</w:t>
            </w:r>
            <w:r>
              <w:rPr>
                <w:rFonts w:hint="eastAsia" w:ascii="Times New Roman" w:hAnsi="Times New Roman" w:eastAsia="宋体" w:cs="Times New Roman"/>
                <w:color w:val="auto"/>
                <w:sz w:val="21"/>
                <w:szCs w:val="21"/>
                <w:lang w:eastAsia="zh-CN"/>
              </w:rPr>
              <w:t>）</w:t>
            </w:r>
          </w:p>
        </w:tc>
        <w:tc>
          <w:tcPr>
            <w:tcW w:w="1765" w:type="dxa"/>
            <w:tcBorders>
              <w:top w:val="single" w:color="auto" w:sz="4" w:space="0"/>
              <w:left w:val="single" w:color="auto" w:sz="4" w:space="0"/>
              <w:bottom w:val="single" w:color="auto" w:sz="4" w:space="0"/>
              <w:right w:val="single" w:color="auto" w:sz="4" w:space="0"/>
            </w:tcBorders>
            <w:noWrap w:val="0"/>
            <w:vAlign w:val="center"/>
          </w:tcPr>
          <w:p w14:paraId="40F181A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顶宽</w:t>
            </w:r>
            <w:r>
              <w:rPr>
                <w:rFonts w:hint="eastAsia"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m</w:t>
            </w:r>
            <w:r>
              <w:rPr>
                <w:rFonts w:hint="eastAsia" w:ascii="Times New Roman" w:hAnsi="Times New Roman" w:eastAsia="宋体" w:cs="Times New Roman"/>
                <w:color w:val="auto"/>
                <w:sz w:val="21"/>
                <w:szCs w:val="21"/>
                <w:lang w:eastAsia="zh-CN"/>
              </w:rPr>
              <w:t>）</w:t>
            </w:r>
          </w:p>
        </w:tc>
        <w:tc>
          <w:tcPr>
            <w:tcW w:w="2044" w:type="dxa"/>
            <w:tcBorders>
              <w:top w:val="single" w:color="auto" w:sz="4" w:space="0"/>
              <w:left w:val="single" w:color="auto" w:sz="4" w:space="0"/>
              <w:bottom w:val="single" w:color="auto" w:sz="4" w:space="0"/>
              <w:right w:val="single" w:color="auto" w:sz="4" w:space="0"/>
            </w:tcBorders>
            <w:noWrap w:val="0"/>
            <w:vAlign w:val="center"/>
          </w:tcPr>
          <w:p w14:paraId="1A19B3F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马道高程</w:t>
            </w:r>
            <w:r>
              <w:rPr>
                <w:rFonts w:hint="eastAsia"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m</w:t>
            </w:r>
            <w:r>
              <w:rPr>
                <w:rFonts w:hint="eastAsia" w:ascii="Times New Roman" w:hAnsi="Times New Roman" w:eastAsia="宋体" w:cs="Times New Roman"/>
                <w:color w:val="auto"/>
                <w:sz w:val="21"/>
                <w:szCs w:val="21"/>
                <w:lang w:eastAsia="zh-CN"/>
              </w:rPr>
              <w:t>）</w:t>
            </w:r>
          </w:p>
        </w:tc>
        <w:tc>
          <w:tcPr>
            <w:tcW w:w="1377" w:type="dxa"/>
            <w:tcBorders>
              <w:top w:val="single" w:color="auto" w:sz="4" w:space="0"/>
              <w:left w:val="single" w:color="auto" w:sz="4" w:space="0"/>
              <w:bottom w:val="single" w:color="auto" w:sz="4" w:space="0"/>
              <w:right w:val="single" w:color="auto" w:sz="4" w:space="0"/>
            </w:tcBorders>
            <w:noWrap w:val="0"/>
            <w:vAlign w:val="center"/>
          </w:tcPr>
          <w:p w14:paraId="2913B0F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底标高</w:t>
            </w:r>
            <w:r>
              <w:rPr>
                <w:rFonts w:hint="eastAsia"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m</w:t>
            </w:r>
            <w:r>
              <w:rPr>
                <w:rFonts w:hint="eastAsia" w:ascii="Times New Roman" w:hAnsi="Times New Roman" w:eastAsia="宋体" w:cs="Times New Roman"/>
                <w:color w:val="auto"/>
                <w:sz w:val="21"/>
                <w:szCs w:val="21"/>
                <w:lang w:eastAsia="zh-CN"/>
              </w:rPr>
              <w:t>）</w:t>
            </w:r>
          </w:p>
        </w:tc>
      </w:tr>
      <w:tr w14:paraId="733F89F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1" w:hRule="atLeast"/>
          <w:jc w:val="center"/>
        </w:trPr>
        <w:tc>
          <w:tcPr>
            <w:tcW w:w="1786" w:type="dxa"/>
            <w:tcBorders>
              <w:top w:val="single" w:color="auto" w:sz="4" w:space="0"/>
              <w:left w:val="single" w:color="auto" w:sz="4" w:space="0"/>
              <w:bottom w:val="single" w:color="auto" w:sz="4" w:space="0"/>
              <w:right w:val="single" w:color="auto" w:sz="4" w:space="0"/>
            </w:tcBorders>
            <w:noWrap w:val="0"/>
            <w:vAlign w:val="center"/>
          </w:tcPr>
          <w:p w14:paraId="08B1E6E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S1</w:t>
            </w:r>
          </w:p>
        </w:tc>
        <w:tc>
          <w:tcPr>
            <w:tcW w:w="1787" w:type="dxa"/>
            <w:tcBorders>
              <w:top w:val="single" w:color="auto" w:sz="4" w:space="0"/>
              <w:left w:val="single" w:color="auto" w:sz="4" w:space="0"/>
              <w:bottom w:val="single" w:color="auto" w:sz="4" w:space="0"/>
              <w:right w:val="single" w:color="auto" w:sz="4" w:space="0"/>
            </w:tcBorders>
            <w:noWrap w:val="0"/>
            <w:vAlign w:val="center"/>
          </w:tcPr>
          <w:p w14:paraId="38D8B99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+310.6</w:t>
            </w:r>
          </w:p>
        </w:tc>
        <w:tc>
          <w:tcPr>
            <w:tcW w:w="1765" w:type="dxa"/>
            <w:tcBorders>
              <w:top w:val="single" w:color="auto" w:sz="4" w:space="0"/>
              <w:left w:val="single" w:color="auto" w:sz="4" w:space="0"/>
              <w:bottom w:val="single" w:color="auto" w:sz="4" w:space="0"/>
              <w:right w:val="single" w:color="auto" w:sz="4" w:space="0"/>
            </w:tcBorders>
            <w:noWrap w:val="0"/>
            <w:vAlign w:val="center"/>
          </w:tcPr>
          <w:p w14:paraId="7D1D30C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25.2</w:t>
            </w:r>
          </w:p>
        </w:tc>
        <w:tc>
          <w:tcPr>
            <w:tcW w:w="2044" w:type="dxa"/>
            <w:tcBorders>
              <w:top w:val="single" w:color="auto" w:sz="4" w:space="0"/>
              <w:left w:val="single" w:color="auto" w:sz="4" w:space="0"/>
              <w:bottom w:val="single" w:color="auto" w:sz="4" w:space="0"/>
              <w:right w:val="single" w:color="auto" w:sz="4" w:space="0"/>
            </w:tcBorders>
            <w:noWrap w:val="0"/>
            <w:vAlign w:val="center"/>
          </w:tcPr>
          <w:p w14:paraId="71AF2E7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+295.6、+280.6</w:t>
            </w:r>
          </w:p>
        </w:tc>
        <w:tc>
          <w:tcPr>
            <w:tcW w:w="1377" w:type="dxa"/>
            <w:tcBorders>
              <w:top w:val="single" w:color="auto" w:sz="4" w:space="0"/>
              <w:left w:val="single" w:color="auto" w:sz="4" w:space="0"/>
              <w:bottom w:val="single" w:color="auto" w:sz="4" w:space="0"/>
              <w:right w:val="single" w:color="auto" w:sz="4" w:space="0"/>
            </w:tcBorders>
            <w:noWrap w:val="0"/>
            <w:vAlign w:val="center"/>
          </w:tcPr>
          <w:p w14:paraId="476A045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+277.3</w:t>
            </w:r>
          </w:p>
        </w:tc>
      </w:tr>
      <w:tr w14:paraId="7F6301E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5" w:hRule="atLeast"/>
          <w:jc w:val="center"/>
        </w:trPr>
        <w:tc>
          <w:tcPr>
            <w:tcW w:w="1786" w:type="dxa"/>
            <w:tcBorders>
              <w:top w:val="single" w:color="auto" w:sz="4" w:space="0"/>
              <w:left w:val="single" w:color="auto" w:sz="4" w:space="0"/>
              <w:bottom w:val="single" w:color="auto" w:sz="4" w:space="0"/>
              <w:right w:val="single" w:color="auto" w:sz="4" w:space="0"/>
            </w:tcBorders>
            <w:noWrap w:val="0"/>
            <w:vAlign w:val="center"/>
          </w:tcPr>
          <w:p w14:paraId="5D3A598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S2</w:t>
            </w:r>
          </w:p>
        </w:tc>
        <w:tc>
          <w:tcPr>
            <w:tcW w:w="1787" w:type="dxa"/>
            <w:tcBorders>
              <w:top w:val="single" w:color="auto" w:sz="4" w:space="0"/>
              <w:left w:val="single" w:color="auto" w:sz="4" w:space="0"/>
              <w:bottom w:val="single" w:color="auto" w:sz="4" w:space="0"/>
              <w:right w:val="single" w:color="auto" w:sz="4" w:space="0"/>
            </w:tcBorders>
            <w:noWrap w:val="0"/>
            <w:vAlign w:val="center"/>
          </w:tcPr>
          <w:p w14:paraId="66803C7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+305.6</w:t>
            </w:r>
          </w:p>
        </w:tc>
        <w:tc>
          <w:tcPr>
            <w:tcW w:w="1765" w:type="dxa"/>
            <w:tcBorders>
              <w:top w:val="single" w:color="auto" w:sz="4" w:space="0"/>
              <w:left w:val="single" w:color="auto" w:sz="4" w:space="0"/>
              <w:bottom w:val="single" w:color="auto" w:sz="4" w:space="0"/>
              <w:right w:val="single" w:color="auto" w:sz="4" w:space="0"/>
            </w:tcBorders>
            <w:noWrap w:val="0"/>
            <w:vAlign w:val="center"/>
          </w:tcPr>
          <w:p w14:paraId="7BFC35D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30.8</w:t>
            </w:r>
          </w:p>
        </w:tc>
        <w:tc>
          <w:tcPr>
            <w:tcW w:w="2044" w:type="dxa"/>
            <w:tcBorders>
              <w:top w:val="single" w:color="auto" w:sz="4" w:space="0"/>
              <w:left w:val="single" w:color="auto" w:sz="4" w:space="0"/>
              <w:bottom w:val="single" w:color="auto" w:sz="4" w:space="0"/>
              <w:right w:val="single" w:color="auto" w:sz="4" w:space="0"/>
            </w:tcBorders>
            <w:noWrap w:val="0"/>
            <w:vAlign w:val="center"/>
          </w:tcPr>
          <w:p w14:paraId="2D87D2C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+290.6</w:t>
            </w:r>
          </w:p>
        </w:tc>
        <w:tc>
          <w:tcPr>
            <w:tcW w:w="1377" w:type="dxa"/>
            <w:tcBorders>
              <w:top w:val="single" w:color="auto" w:sz="4" w:space="0"/>
              <w:left w:val="single" w:color="auto" w:sz="4" w:space="0"/>
              <w:bottom w:val="single" w:color="auto" w:sz="4" w:space="0"/>
              <w:right w:val="single" w:color="auto" w:sz="4" w:space="0"/>
            </w:tcBorders>
            <w:noWrap w:val="0"/>
            <w:vAlign w:val="center"/>
          </w:tcPr>
          <w:p w14:paraId="7B81335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+267.0</w:t>
            </w:r>
          </w:p>
        </w:tc>
      </w:tr>
      <w:tr w14:paraId="47C5218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9" w:hRule="atLeast"/>
          <w:jc w:val="center"/>
        </w:trPr>
        <w:tc>
          <w:tcPr>
            <w:tcW w:w="1786" w:type="dxa"/>
            <w:tcBorders>
              <w:top w:val="single" w:color="auto" w:sz="4" w:space="0"/>
              <w:left w:val="single" w:color="auto" w:sz="4" w:space="0"/>
              <w:bottom w:val="single" w:color="auto" w:sz="4" w:space="0"/>
              <w:right w:val="single" w:color="auto" w:sz="4" w:space="0"/>
            </w:tcBorders>
            <w:noWrap w:val="0"/>
            <w:vAlign w:val="center"/>
          </w:tcPr>
          <w:p w14:paraId="5CA6C30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S3</w:t>
            </w:r>
          </w:p>
        </w:tc>
        <w:tc>
          <w:tcPr>
            <w:tcW w:w="1787" w:type="dxa"/>
            <w:tcBorders>
              <w:top w:val="single" w:color="auto" w:sz="4" w:space="0"/>
              <w:left w:val="single" w:color="auto" w:sz="4" w:space="0"/>
              <w:bottom w:val="single" w:color="auto" w:sz="4" w:space="0"/>
              <w:right w:val="single" w:color="auto" w:sz="4" w:space="0"/>
            </w:tcBorders>
            <w:noWrap w:val="0"/>
            <w:vAlign w:val="center"/>
          </w:tcPr>
          <w:p w14:paraId="02C099C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+317.2</w:t>
            </w:r>
          </w:p>
        </w:tc>
        <w:tc>
          <w:tcPr>
            <w:tcW w:w="1765" w:type="dxa"/>
            <w:tcBorders>
              <w:top w:val="single" w:color="auto" w:sz="4" w:space="0"/>
              <w:left w:val="single" w:color="auto" w:sz="4" w:space="0"/>
              <w:bottom w:val="single" w:color="auto" w:sz="4" w:space="0"/>
              <w:right w:val="single" w:color="auto" w:sz="4" w:space="0"/>
            </w:tcBorders>
            <w:noWrap w:val="0"/>
            <w:vAlign w:val="center"/>
          </w:tcPr>
          <w:p w14:paraId="10FFF34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43.6</w:t>
            </w:r>
          </w:p>
        </w:tc>
        <w:tc>
          <w:tcPr>
            <w:tcW w:w="2044" w:type="dxa"/>
            <w:tcBorders>
              <w:top w:val="single" w:color="auto" w:sz="4" w:space="0"/>
              <w:left w:val="single" w:color="auto" w:sz="4" w:space="0"/>
              <w:bottom w:val="single" w:color="auto" w:sz="4" w:space="0"/>
              <w:right w:val="single" w:color="auto" w:sz="4" w:space="0"/>
            </w:tcBorders>
            <w:noWrap w:val="0"/>
            <w:vAlign w:val="center"/>
          </w:tcPr>
          <w:p w14:paraId="17CD93D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+302.2、+287.2</w:t>
            </w:r>
          </w:p>
        </w:tc>
        <w:tc>
          <w:tcPr>
            <w:tcW w:w="1377" w:type="dxa"/>
            <w:tcBorders>
              <w:top w:val="single" w:color="auto" w:sz="4" w:space="0"/>
              <w:left w:val="single" w:color="auto" w:sz="4" w:space="0"/>
              <w:bottom w:val="single" w:color="auto" w:sz="4" w:space="0"/>
              <w:right w:val="single" w:color="auto" w:sz="4" w:space="0"/>
            </w:tcBorders>
            <w:noWrap w:val="0"/>
            <w:vAlign w:val="center"/>
          </w:tcPr>
          <w:p w14:paraId="37388F8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+271.6</w:t>
            </w:r>
          </w:p>
        </w:tc>
      </w:tr>
    </w:tbl>
    <w:p w14:paraId="03018976">
      <w:pPr>
        <w:bidi w:val="0"/>
        <w:rPr>
          <w:rFonts w:hint="eastAsia"/>
          <w:color w:val="auto"/>
          <w:lang w:val="en-US" w:eastAsia="zh-CN"/>
        </w:rPr>
      </w:pPr>
      <w:r>
        <w:rPr>
          <w:rFonts w:hint="eastAsia"/>
          <w:color w:val="auto"/>
          <w:lang w:val="en-US" w:eastAsia="zh-CN"/>
        </w:rPr>
        <w:t>经现场查看，S1、S2、S3三处废石堆未遭外力破坏，均无滑坡、塌陷等不良现象，也未见新增废石或人工取石现象，处于安全稳定状态，现状运行良好。</w:t>
      </w:r>
    </w:p>
    <w:p w14:paraId="32892774">
      <w:pPr>
        <w:pStyle w:val="4"/>
        <w:bidi w:val="0"/>
        <w:rPr>
          <w:rFonts w:hint="default"/>
          <w:color w:val="auto"/>
          <w:lang w:val="en-US" w:eastAsia="zh-CN"/>
        </w:rPr>
      </w:pPr>
      <w:bookmarkStart w:id="95" w:name="_Toc13636"/>
      <w:r>
        <w:rPr>
          <w:rFonts w:hint="eastAsia"/>
          <w:color w:val="auto"/>
          <w:lang w:val="en-US" w:eastAsia="zh-CN"/>
        </w:rPr>
        <w:t>2.6.3 原盗采矿硐现状</w:t>
      </w:r>
      <w:bookmarkEnd w:id="95"/>
    </w:p>
    <w:p w14:paraId="4D7B9969">
      <w:pPr>
        <w:rPr>
          <w:rFonts w:hint="default"/>
          <w:color w:val="auto"/>
          <w:lang w:val="en-US" w:eastAsia="zh-CN"/>
        </w:rPr>
      </w:pPr>
      <w:r>
        <w:rPr>
          <w:rFonts w:hint="eastAsia"/>
          <w:color w:val="auto"/>
          <w:lang w:val="en-US" w:eastAsia="zh-CN"/>
        </w:rPr>
        <w:t>1. 1#、2#盗采矿洞情况</w:t>
      </w:r>
    </w:p>
    <w:p w14:paraId="3F14868A">
      <w:pPr>
        <w:rPr>
          <w:rFonts w:hint="eastAsia"/>
          <w:color w:val="auto"/>
          <w:lang w:val="en-US" w:eastAsia="zh-CN"/>
        </w:rPr>
      </w:pPr>
      <w:r>
        <w:rPr>
          <w:rFonts w:hint="eastAsia"/>
          <w:color w:val="auto"/>
          <w:lang w:val="en-US" w:eastAsia="zh-CN"/>
        </w:rPr>
        <w:t>原1#、2#盗采矿硐（以下简称1#硐、2#硐）位于杨家店尾矿库尾矿坝右侧库区范围内，其中：1#硐距离尾矿坝约500m，硐口高程为+274.5m。1#硐断面为圆形，直径D=0.8m，进口垂直段长1.5m、水平段长4.0m，之后通过倾角为75°、直径D=1.2m的斜洞与矿区+240m坑洞相连；先前已在1#硐长约1.5m的垂直段和长约2.0m水平段被C20素混凝土封堵，且在进口加盖了直径D=1.5m、厚约25cm的C20钢筋混凝土盖板。</w:t>
      </w:r>
    </w:p>
    <w:p w14:paraId="6E577547">
      <w:pPr>
        <w:rPr>
          <w:rFonts w:hint="eastAsia"/>
          <w:color w:val="auto"/>
          <w:lang w:val="en-US" w:eastAsia="zh-CN"/>
        </w:rPr>
      </w:pPr>
      <w:r>
        <w:rPr>
          <w:rFonts w:hint="eastAsia"/>
          <w:color w:val="auto"/>
          <w:lang w:val="en-US" w:eastAsia="zh-CN"/>
        </w:rPr>
        <w:t>2#硐距离尾矿坝约470m，硐口高程为+288.9m。2#硐断面为圆形，直径D=0.9m，进口垂直段长1.64m、水平段长7.0m，之后通过倾角为75°、直径D=1.2m的斜洞与矿区+240m坑洞相连。先前已在2#硐长约1.64m的垂直段和长约2.0m水平段被C20素混凝土封堵，且在进口加盖了直径D=1.7m、厚约30cm的C20钢筋混凝土盖板。</w:t>
      </w:r>
    </w:p>
    <w:p w14:paraId="7811AA3A">
      <w:pPr>
        <w:rPr>
          <w:rFonts w:hint="eastAsia"/>
          <w:color w:val="auto"/>
          <w:lang w:val="en-US" w:eastAsia="zh-CN"/>
        </w:rPr>
      </w:pPr>
      <w:r>
        <w:rPr>
          <w:rFonts w:hint="eastAsia"/>
          <w:color w:val="auto"/>
          <w:lang w:val="en-US" w:eastAsia="zh-CN"/>
        </w:rPr>
        <w:t>1#、2#硐均已按杨家店尾矿库隐患综合治理设计要求进行了封堵、密实，隔断了其与地表尾砂、水、采空区和采矿坑道之间的联系。2015年，与杨家店尾矿库隐患综合治理工程一并通过了竣工验收。具体封堵措施为：</w:t>
      </w:r>
    </w:p>
    <w:p w14:paraId="7FB126D5">
      <w:pPr>
        <w:rPr>
          <w:rFonts w:hint="eastAsia"/>
          <w:color w:val="auto"/>
          <w:lang w:val="en-US" w:eastAsia="zh-CN"/>
        </w:rPr>
      </w:pPr>
      <w:r>
        <w:rPr>
          <w:rFonts w:hint="eastAsia"/>
          <w:color w:val="auto"/>
          <w:lang w:val="en-US" w:eastAsia="zh-CN"/>
        </w:rPr>
        <w:t>采用C25混凝土将1#硐的进口段和水平人行通道进行封堵：将矿硐周边的岩石凿毛，现浇混凝土水平段长7.0m，其下游接长2.0m的浆砌块石挡板，并在挡板的顶部铺设了一根DN75×6的通气管，混凝土封堵段完全密实后关闭了通气管进口阀门。</w:t>
      </w:r>
    </w:p>
    <w:p w14:paraId="0328CAB5">
      <w:pPr>
        <w:rPr>
          <w:rFonts w:hint="eastAsia"/>
          <w:color w:val="auto"/>
          <w:lang w:val="en-US" w:eastAsia="zh-CN"/>
        </w:rPr>
      </w:pPr>
      <w:r>
        <w:rPr>
          <w:rFonts w:hint="eastAsia"/>
          <w:color w:val="auto"/>
          <w:lang w:val="en-US" w:eastAsia="zh-CN"/>
        </w:rPr>
        <w:t>采用C25混凝土将2#硐的进口段和水平人行通道进行封堵：将矿硐周边的岩石凿毛，现浇混凝土水平段长2.5m，其下游接长2.0m的浆砌块石挡板，并在挡板的顶部铺设了一根DN75×6的通气管，混凝土封堵段完全密实后关闭了通气管进口阀门。</w:t>
      </w:r>
    </w:p>
    <w:p w14:paraId="2212E4F0">
      <w:pPr>
        <w:numPr>
          <w:ilvl w:val="0"/>
          <w:numId w:val="0"/>
        </w:numPr>
        <w:ind w:left="0" w:leftChars="0" w:firstLine="560" w:firstLineChars="200"/>
        <w:rPr>
          <w:rFonts w:hint="eastAsia"/>
          <w:color w:val="auto"/>
          <w:lang w:val="en-US" w:eastAsia="zh-CN"/>
        </w:rPr>
      </w:pPr>
      <w:r>
        <w:rPr>
          <w:rFonts w:hint="eastAsia" w:cs="Times New Roman"/>
          <w:color w:val="auto"/>
          <w:kern w:val="2"/>
          <w:sz w:val="28"/>
          <w:szCs w:val="24"/>
          <w:lang w:val="en-US" w:eastAsia="zh-CN" w:bidi="ar-SA"/>
        </w:rPr>
        <w:t>2</w:t>
      </w:r>
      <w:r>
        <w:rPr>
          <w:rFonts w:hint="eastAsia" w:ascii="Times New Roman" w:hAnsi="Times New Roman" w:eastAsia="宋体" w:cs="Times New Roman"/>
          <w:color w:val="auto"/>
          <w:kern w:val="2"/>
          <w:sz w:val="28"/>
          <w:szCs w:val="24"/>
          <w:lang w:val="en-US" w:eastAsia="zh-CN" w:bidi="ar-SA"/>
        </w:rPr>
        <w:t>.</w:t>
      </w:r>
      <w:r>
        <w:rPr>
          <w:rFonts w:hint="eastAsia" w:cs="Times New Roman"/>
          <w:color w:val="auto"/>
          <w:kern w:val="2"/>
          <w:sz w:val="28"/>
          <w:szCs w:val="24"/>
          <w:lang w:val="en-US" w:eastAsia="zh-CN" w:bidi="ar-SA"/>
        </w:rPr>
        <w:t xml:space="preserve"> </w:t>
      </w:r>
      <w:r>
        <w:rPr>
          <w:rFonts w:hint="default" w:ascii="Times New Roman" w:hAnsi="Times New Roman" w:cs="Times New Roman"/>
          <w:color w:val="auto"/>
          <w:lang w:val="en-US" w:eastAsia="zh-CN"/>
        </w:rPr>
        <w:t>+</w:t>
      </w:r>
      <w:r>
        <w:rPr>
          <w:rFonts w:hint="eastAsia"/>
          <w:color w:val="auto"/>
          <w:lang w:val="en-US" w:eastAsia="zh-CN"/>
        </w:rPr>
        <w:t>240m坑道封堵</w:t>
      </w:r>
    </w:p>
    <w:p w14:paraId="05522A05">
      <w:pPr>
        <w:rPr>
          <w:rFonts w:hint="eastAsia"/>
          <w:color w:val="auto"/>
          <w:lang w:val="en-US" w:eastAsia="zh-CN"/>
        </w:rPr>
      </w:pPr>
      <w:r>
        <w:rPr>
          <w:rFonts w:hint="eastAsia"/>
          <w:color w:val="auto"/>
          <w:lang w:val="en-US" w:eastAsia="zh-CN"/>
        </w:rPr>
        <w:t>+240m坑道走向为向库外西北方向延伸。为进一步提高现有采矿坑道的安全性，截断杨家店尾矿库与现有采矿区之间的联系，隐患综合治理工程实施时，在“63穿1沿1”采空区与+240m坑道交点附近增设一道封堵段，长10m，封堵材料为C25混凝土，将矿硐周边的岩石凿毛，并在现浇混凝土段上游接长2.0m的浆砌块石挡板，在挡板的顶部铺设一根DN75×6的通气管，混凝土封堵段完全密实后关闭了通气管出口阀门。</w:t>
      </w:r>
    </w:p>
    <w:p w14:paraId="21C7F17C">
      <w:pPr>
        <w:rPr>
          <w:rFonts w:hint="eastAsia"/>
          <w:color w:val="auto"/>
          <w:lang w:val="en-US" w:eastAsia="zh-CN"/>
        </w:rPr>
      </w:pPr>
      <w:r>
        <w:rPr>
          <w:rFonts w:hint="eastAsia"/>
          <w:color w:val="auto"/>
          <w:lang w:val="en-US" w:eastAsia="zh-CN"/>
        </w:rPr>
        <w:t>3. 1#、2#硐与采场采空区和正在使用的采矿巷道之间的相互联系</w:t>
      </w:r>
    </w:p>
    <w:p w14:paraId="38D6827F">
      <w:pPr>
        <w:rPr>
          <w:rFonts w:hint="eastAsia"/>
          <w:color w:val="auto"/>
          <w:lang w:val="en-US" w:eastAsia="zh-CN"/>
        </w:rPr>
      </w:pPr>
      <w:r>
        <w:rPr>
          <w:rFonts w:hint="eastAsia"/>
          <w:color w:val="auto"/>
          <w:lang w:val="en-US" w:eastAsia="zh-CN"/>
        </w:rPr>
        <w:t>①库区只有1#、2#硐与“63穿1沿1”采空区相连；</w:t>
      </w:r>
    </w:p>
    <w:p w14:paraId="7E74FB8E">
      <w:pPr>
        <w:rPr>
          <w:rFonts w:hint="eastAsia"/>
          <w:color w:val="auto"/>
          <w:lang w:val="en-US" w:eastAsia="zh-CN"/>
        </w:rPr>
      </w:pPr>
      <w:r>
        <w:rPr>
          <w:rFonts w:hint="eastAsia"/>
          <w:color w:val="auto"/>
          <w:lang w:val="en-US" w:eastAsia="zh-CN"/>
        </w:rPr>
        <w:t>②“63穿1沿1”采空区、废弃的+240坑道和正在使用的采矿坑道均位于库区的西侧，库区底部无矿脉存在，亦无采矿坑道通过；废弃的+240m坑道和正在使用的+90m、+40m、﹣10m、﹣60m、﹣110m等五个采矿坑道与地面之间的联系通道为1#、2#竖井；</w:t>
      </w:r>
    </w:p>
    <w:p w14:paraId="391FFF04">
      <w:pPr>
        <w:rPr>
          <w:rFonts w:hint="eastAsia"/>
          <w:color w:val="auto"/>
          <w:lang w:val="en-US" w:eastAsia="zh-CN"/>
        </w:rPr>
      </w:pPr>
      <w:r>
        <w:rPr>
          <w:rFonts w:hint="eastAsia"/>
          <w:color w:val="auto"/>
          <w:lang w:val="en-US" w:eastAsia="zh-CN"/>
        </w:rPr>
        <w:t>③“63穿1沿1”采空区上部及周边的岩石为中风化和强风化白云母花岗岩，中粒～中细粒结构，致密块状，硬度分数为12～13，矿脉顶底板坚硬而稳固，无大型构造裂隙带存在。</w:t>
      </w:r>
    </w:p>
    <w:p w14:paraId="4D016DAE">
      <w:pPr>
        <w:rPr>
          <w:rFonts w:hint="eastAsia"/>
          <w:color w:val="auto"/>
          <w:lang w:val="en-US" w:eastAsia="zh-CN"/>
        </w:rPr>
      </w:pPr>
      <w:r>
        <w:rPr>
          <w:rFonts w:hint="eastAsia"/>
          <w:color w:val="auto"/>
          <w:lang w:val="en-US" w:eastAsia="zh-CN"/>
        </w:rPr>
        <w:t>杨家店尾矿库设计尾砂最终堆积高程+292.0m，正常蓄水位+284.0m，最高洪水位+288.4m，比1#硐口高出13.9m，略低于2#硐口。目前杨家店尾矿库尾矿坝滩顶高程为+285.50m，库水位高程为+271.30m，水位与滩顶高差为14.30m、与1#、2#硐分别相差为3.1m、17.5m。1#、2#硐已封堵，与杨家店尾矿库相互之间无安全影响，1#、2#硐未遭外部因素破坏，状况良好。</w:t>
      </w:r>
    </w:p>
    <w:p w14:paraId="7FA5A39C">
      <w:pPr>
        <w:pStyle w:val="3"/>
        <w:bidi w:val="0"/>
        <w:rPr>
          <w:rFonts w:hint="eastAsia"/>
          <w:color w:val="auto"/>
          <w:lang w:val="en-US" w:eastAsia="zh-CN"/>
        </w:rPr>
      </w:pPr>
      <w:bookmarkStart w:id="96" w:name="_Toc13833"/>
      <w:r>
        <w:rPr>
          <w:rFonts w:hint="eastAsia"/>
          <w:color w:val="auto"/>
          <w:lang w:val="en-US" w:eastAsia="zh-CN"/>
        </w:rPr>
        <w:t>2.7 “头顶库”综合治理</w:t>
      </w:r>
      <w:bookmarkEnd w:id="96"/>
    </w:p>
    <w:p w14:paraId="43BC3695">
      <w:pPr>
        <w:rPr>
          <w:rFonts w:hint="eastAsia"/>
          <w:color w:val="auto"/>
          <w:lang w:val="en-US" w:eastAsia="zh-CN"/>
        </w:rPr>
      </w:pPr>
      <w:r>
        <w:rPr>
          <w:rFonts w:hint="eastAsia"/>
          <w:color w:val="auto"/>
          <w:lang w:val="en-US" w:eastAsia="zh-CN"/>
        </w:rPr>
        <w:t>杨家店尾矿库目前尾砂堆积高程+285.50m，坝高55.0m，总库容约956.68×10</w:t>
      </w:r>
      <w:r>
        <w:rPr>
          <w:rFonts w:hint="eastAsia"/>
          <w:color w:val="auto"/>
          <w:vertAlign w:val="superscript"/>
          <w:lang w:val="en-US" w:eastAsia="zh-CN"/>
        </w:rPr>
        <w:t>4</w:t>
      </w:r>
      <w:r>
        <w:rPr>
          <w:rFonts w:hint="eastAsia"/>
          <w:color w:val="auto"/>
          <w:lang w:val="en-US" w:eastAsia="zh-CN"/>
        </w:rPr>
        <w:t>m</w:t>
      </w:r>
      <w:r>
        <w:rPr>
          <w:rFonts w:hint="eastAsia"/>
          <w:color w:val="auto"/>
          <w:vertAlign w:val="superscript"/>
          <w:lang w:val="en-US" w:eastAsia="zh-CN"/>
        </w:rPr>
        <w:t>3</w:t>
      </w:r>
      <w:r>
        <w:rPr>
          <w:rFonts w:hint="eastAsia"/>
          <w:color w:val="auto"/>
          <w:lang w:val="en-US" w:eastAsia="zh-CN"/>
        </w:rPr>
        <w:t>，根据规定该库应定为四等库。但尾矿库下游为浒坑镇，因此杨家店在2011年隐患综合治理时将尾矿库等级提高一等定为三等库。尾矿库防洪标准为500年一遇。通过2011年隐患综合治理后，杨家店尾矿库已达到正常库，2016年，矿方根据赣安监管一字〔2016〕56号的要求制定了的浒坑钨矿《“头顶库”治理实施方案》主要在以下安全管理方面加强的要求：</w:t>
      </w:r>
    </w:p>
    <w:p w14:paraId="5E000C4F">
      <w:pPr>
        <w:numPr>
          <w:ilvl w:val="0"/>
          <w:numId w:val="0"/>
        </w:numPr>
        <w:ind w:firstLine="560" w:firstLineChars="200"/>
        <w:rPr>
          <w:rFonts w:hint="eastAsia"/>
          <w:color w:val="auto"/>
          <w:lang w:val="en-US" w:eastAsia="zh-CN"/>
        </w:rPr>
      </w:pPr>
      <w:r>
        <w:rPr>
          <w:rFonts w:hint="eastAsia" w:ascii="Times New Roman" w:hAnsi="Times New Roman" w:eastAsia="宋体" w:cs="Times New Roman"/>
          <w:color w:val="auto"/>
          <w:kern w:val="2"/>
          <w:sz w:val="28"/>
          <w:szCs w:val="24"/>
          <w:lang w:val="en-US" w:eastAsia="zh-CN" w:bidi="ar-SA"/>
        </w:rPr>
        <w:t>1.</w:t>
      </w:r>
      <w:r>
        <w:rPr>
          <w:rFonts w:hint="eastAsia" w:cs="Times New Roman"/>
          <w:color w:val="auto"/>
          <w:kern w:val="2"/>
          <w:sz w:val="28"/>
          <w:szCs w:val="24"/>
          <w:lang w:val="en-US" w:eastAsia="zh-CN" w:bidi="ar-SA"/>
        </w:rPr>
        <w:t xml:space="preserve"> </w:t>
      </w:r>
      <w:r>
        <w:rPr>
          <w:rFonts w:hint="eastAsia"/>
          <w:color w:val="auto"/>
          <w:lang w:val="en-US" w:eastAsia="zh-CN"/>
        </w:rPr>
        <w:t>沉积滩坡度保持在2.0％以上，汛期前保证库内水位低于滩顶8.0m以上，暴雨时检查排水系统是否畅通以便及时排走库内洪水。</w:t>
      </w:r>
    </w:p>
    <w:p w14:paraId="63B39AB0">
      <w:pPr>
        <w:rPr>
          <w:rFonts w:hint="eastAsia"/>
          <w:color w:val="auto"/>
          <w:lang w:val="en-US" w:eastAsia="zh-CN"/>
        </w:rPr>
      </w:pPr>
      <w:r>
        <w:rPr>
          <w:rFonts w:hint="eastAsia"/>
          <w:color w:val="auto"/>
          <w:lang w:val="en-US" w:eastAsia="zh-CN"/>
        </w:rPr>
        <w:t>2</w:t>
      </w:r>
      <w:r>
        <w:rPr>
          <w:rFonts w:hint="eastAsia" w:ascii="Times New Roman" w:hAnsi="Times New Roman" w:eastAsia="宋体" w:cs="Times New Roman"/>
          <w:color w:val="auto"/>
          <w:kern w:val="2"/>
          <w:sz w:val="28"/>
          <w:szCs w:val="24"/>
          <w:lang w:val="en-US" w:eastAsia="zh-CN" w:bidi="ar-SA"/>
        </w:rPr>
        <w:t>.</w:t>
      </w:r>
      <w:r>
        <w:rPr>
          <w:rFonts w:hint="eastAsia" w:cs="Times New Roman"/>
          <w:color w:val="auto"/>
          <w:kern w:val="2"/>
          <w:sz w:val="28"/>
          <w:szCs w:val="24"/>
          <w:lang w:val="en-US" w:eastAsia="zh-CN" w:bidi="ar-SA"/>
        </w:rPr>
        <w:t xml:space="preserve"> </w:t>
      </w:r>
      <w:r>
        <w:rPr>
          <w:rFonts w:hint="eastAsia"/>
          <w:color w:val="auto"/>
          <w:lang w:val="en-US" w:eastAsia="zh-CN"/>
        </w:rPr>
        <w:t>与当地气象部门建立了信息传送机制及时掌握气象信息。</w:t>
      </w:r>
    </w:p>
    <w:p w14:paraId="6658DFD8">
      <w:pPr>
        <w:rPr>
          <w:rFonts w:hint="eastAsia"/>
          <w:color w:val="auto"/>
          <w:lang w:val="en-US" w:eastAsia="zh-CN"/>
        </w:rPr>
      </w:pPr>
      <w:r>
        <w:rPr>
          <w:rFonts w:hint="eastAsia"/>
          <w:color w:val="auto"/>
          <w:lang w:val="en-US" w:eastAsia="zh-CN"/>
        </w:rPr>
        <w:t>3</w:t>
      </w:r>
      <w:r>
        <w:rPr>
          <w:rFonts w:hint="eastAsia" w:ascii="Times New Roman" w:hAnsi="Times New Roman" w:eastAsia="宋体" w:cs="Times New Roman"/>
          <w:color w:val="auto"/>
          <w:kern w:val="2"/>
          <w:sz w:val="28"/>
          <w:szCs w:val="24"/>
          <w:lang w:val="en-US" w:eastAsia="zh-CN" w:bidi="ar-SA"/>
        </w:rPr>
        <w:t>.</w:t>
      </w:r>
      <w:r>
        <w:rPr>
          <w:rFonts w:hint="eastAsia" w:cs="Times New Roman"/>
          <w:color w:val="auto"/>
          <w:kern w:val="2"/>
          <w:sz w:val="28"/>
          <w:szCs w:val="24"/>
          <w:lang w:val="en-US" w:eastAsia="zh-CN" w:bidi="ar-SA"/>
        </w:rPr>
        <w:t xml:space="preserve"> </w:t>
      </w:r>
      <w:r>
        <w:rPr>
          <w:rFonts w:hint="eastAsia"/>
          <w:color w:val="auto"/>
          <w:lang w:val="en-US" w:eastAsia="zh-CN"/>
        </w:rPr>
        <w:t>在库内设置水位报警装置。按三等库设防，防洪安全超高为0.7m。当库内水位离滩顶1.5m时发出预警，尾矿库滩顶10m位置袋装尾砂充填子坝系统，准备在20分钟内建起应急防洪子坝；当库内水位离开坝顶1.0m时发出警报，公司立即停止生产；当库内水位离开坝顶0.7m时发出紧急警报，撤离坝上作业人员并要求下游危险区范围居民全部撤离。</w:t>
      </w:r>
    </w:p>
    <w:p w14:paraId="1E7AC56C">
      <w:pPr>
        <w:rPr>
          <w:rFonts w:hint="eastAsia"/>
          <w:color w:val="auto"/>
          <w:lang w:val="en-US" w:eastAsia="zh-CN"/>
        </w:rPr>
      </w:pPr>
      <w:r>
        <w:rPr>
          <w:rFonts w:hint="eastAsia"/>
          <w:color w:val="auto"/>
          <w:lang w:val="en-US" w:eastAsia="zh-CN"/>
        </w:rPr>
        <w:t>4</w:t>
      </w:r>
      <w:r>
        <w:rPr>
          <w:rFonts w:hint="eastAsia" w:ascii="Times New Roman" w:hAnsi="Times New Roman" w:eastAsia="宋体" w:cs="Times New Roman"/>
          <w:color w:val="auto"/>
          <w:kern w:val="2"/>
          <w:sz w:val="28"/>
          <w:szCs w:val="24"/>
          <w:lang w:val="en-US" w:eastAsia="zh-CN" w:bidi="ar-SA"/>
        </w:rPr>
        <w:t>.</w:t>
      </w:r>
      <w:r>
        <w:rPr>
          <w:rFonts w:hint="eastAsia" w:cs="Times New Roman"/>
          <w:color w:val="auto"/>
          <w:kern w:val="2"/>
          <w:sz w:val="28"/>
          <w:szCs w:val="24"/>
          <w:lang w:val="en-US" w:eastAsia="zh-CN" w:bidi="ar-SA"/>
        </w:rPr>
        <w:t xml:space="preserve"> </w:t>
      </w:r>
      <w:r>
        <w:rPr>
          <w:rFonts w:hint="eastAsia"/>
          <w:color w:val="auto"/>
          <w:lang w:val="en-US" w:eastAsia="zh-CN"/>
        </w:rPr>
        <w:t>江西浒坑钨业钨业公司与浒坑镇建立了联动机制，共同确保人民群众的安全。</w:t>
      </w:r>
    </w:p>
    <w:p w14:paraId="65697A76">
      <w:pPr>
        <w:rPr>
          <w:rFonts w:hint="eastAsia"/>
          <w:color w:val="auto"/>
          <w:lang w:val="en-US" w:eastAsia="zh-CN"/>
        </w:rPr>
      </w:pPr>
      <w:r>
        <w:rPr>
          <w:rFonts w:hint="eastAsia"/>
          <w:color w:val="auto"/>
          <w:lang w:val="en-US" w:eastAsia="zh-CN"/>
        </w:rPr>
        <w:t>5</w:t>
      </w:r>
      <w:r>
        <w:rPr>
          <w:rFonts w:hint="eastAsia" w:ascii="Times New Roman" w:hAnsi="Times New Roman" w:eastAsia="宋体" w:cs="Times New Roman"/>
          <w:color w:val="auto"/>
          <w:kern w:val="2"/>
          <w:sz w:val="28"/>
          <w:szCs w:val="24"/>
          <w:lang w:val="en-US" w:eastAsia="zh-CN" w:bidi="ar-SA"/>
        </w:rPr>
        <w:t>.</w:t>
      </w:r>
      <w:r>
        <w:rPr>
          <w:rFonts w:hint="eastAsia" w:cs="Times New Roman"/>
          <w:color w:val="auto"/>
          <w:kern w:val="2"/>
          <w:sz w:val="28"/>
          <w:szCs w:val="24"/>
          <w:lang w:val="en-US" w:eastAsia="zh-CN" w:bidi="ar-SA"/>
        </w:rPr>
        <w:t xml:space="preserve"> </w:t>
      </w:r>
      <w:r>
        <w:rPr>
          <w:rFonts w:hint="eastAsia"/>
          <w:color w:val="auto"/>
          <w:lang w:val="en-US" w:eastAsia="zh-CN"/>
        </w:rPr>
        <w:t>建立交通通信电力保障机制。</w:t>
      </w:r>
    </w:p>
    <w:p w14:paraId="3BF1374E">
      <w:pPr>
        <w:rPr>
          <w:rFonts w:hint="eastAsia"/>
          <w:color w:val="auto"/>
          <w:lang w:val="en-US" w:eastAsia="zh-CN"/>
        </w:rPr>
      </w:pPr>
      <w:r>
        <w:rPr>
          <w:rFonts w:hint="eastAsia"/>
          <w:color w:val="auto"/>
          <w:lang w:val="en-US" w:eastAsia="zh-CN"/>
        </w:rPr>
        <w:t>（1）在尾矿坝+271.3m标高平台，有一条上坝公路与浒宜公路相通，在尾矿库库尾浒宜公路上有一简易应急公路通往排水井处，并一直保持畅通。</w:t>
      </w:r>
    </w:p>
    <w:p w14:paraId="3091740E">
      <w:pPr>
        <w:rPr>
          <w:rFonts w:hint="eastAsia"/>
          <w:color w:val="auto"/>
          <w:lang w:val="en-US" w:eastAsia="zh-CN"/>
        </w:rPr>
      </w:pPr>
      <w:r>
        <w:rPr>
          <w:rFonts w:hint="eastAsia"/>
          <w:color w:val="auto"/>
          <w:lang w:val="en-US" w:eastAsia="zh-CN"/>
        </w:rPr>
        <w:t>（2）尾矿库库区全面覆盖移动、联通信号，通过移动电话可与外部方便联络。尾矿库设2名尾矿工，每人配置手机，值班室配有电话机一部，报警机一个，及时更新相关人员的通讯录，规定上至公司最高管理层，下至每一位抗洪抢险队员手机24小时不关机，保证尾矿库24小时人员值守。</w:t>
      </w:r>
    </w:p>
    <w:p w14:paraId="33AB95FE">
      <w:pPr>
        <w:rPr>
          <w:rFonts w:hint="eastAsia"/>
          <w:color w:val="auto"/>
          <w:lang w:val="en-US" w:eastAsia="zh-CN"/>
        </w:rPr>
      </w:pPr>
      <w:r>
        <w:rPr>
          <w:rFonts w:hint="eastAsia"/>
          <w:color w:val="auto"/>
          <w:lang w:val="en-US" w:eastAsia="zh-CN"/>
        </w:rPr>
        <w:t>（3）在尾矿库坝右侧设置了尾矿库管理站，占地面积80m</w:t>
      </w:r>
      <w:r>
        <w:rPr>
          <w:rFonts w:hint="eastAsia"/>
          <w:color w:val="auto"/>
          <w:vertAlign w:val="superscript"/>
          <w:lang w:val="en-US" w:eastAsia="zh-CN"/>
        </w:rPr>
        <w:t>2</w:t>
      </w:r>
      <w:r>
        <w:rPr>
          <w:rFonts w:hint="eastAsia"/>
          <w:color w:val="auto"/>
          <w:lang w:val="en-US" w:eastAsia="zh-CN"/>
        </w:rPr>
        <w:t>，分为值班室、休息室和应急物质仓库。为保证夜间和不良天气条件下的正常生产运行，在坝顶设置了探照灯，照明范围应覆盖整个库区。</w:t>
      </w:r>
    </w:p>
    <w:p w14:paraId="463C17A7">
      <w:pPr>
        <w:rPr>
          <w:rFonts w:hint="eastAsia"/>
          <w:color w:val="auto"/>
          <w:lang w:val="en-US" w:eastAsia="zh-CN"/>
        </w:rPr>
      </w:pPr>
      <w:r>
        <w:rPr>
          <w:rFonts w:hint="eastAsia"/>
          <w:color w:val="auto"/>
          <w:lang w:val="en-US" w:eastAsia="zh-CN"/>
        </w:rPr>
        <w:t>（4）杨家店尾矿库供电系统由太浒线6.3kV高压经浒坑钨业变电所降压供给，该供给单位电力充裕；另公司自配柴油发电机组一台，每汛期前一个月组织发电测试，并备足油料、技术和人员。</w:t>
      </w:r>
    </w:p>
    <w:p w14:paraId="2EC48554">
      <w:pPr>
        <w:rPr>
          <w:rFonts w:hint="eastAsia"/>
          <w:color w:val="auto"/>
          <w:lang w:val="en-US" w:eastAsia="zh-CN"/>
        </w:rPr>
      </w:pPr>
      <w:r>
        <w:rPr>
          <w:rFonts w:hint="eastAsia"/>
          <w:color w:val="auto"/>
          <w:lang w:val="en-US" w:eastAsia="zh-CN"/>
        </w:rPr>
        <w:t>以上“头顶库”隐患治理方案均已在2017年年初实施完成。</w:t>
      </w:r>
    </w:p>
    <w:p w14:paraId="050205A2">
      <w:pPr>
        <w:rPr>
          <w:rFonts w:hint="eastAsia"/>
          <w:color w:val="auto"/>
          <w:lang w:val="en-US" w:eastAsia="zh-CN"/>
        </w:rPr>
      </w:pPr>
      <w:r>
        <w:rPr>
          <w:rFonts w:hint="eastAsia"/>
          <w:color w:val="auto"/>
          <w:lang w:val="en-US" w:eastAsia="zh-CN"/>
        </w:rPr>
        <w:br w:type="page"/>
      </w:r>
    </w:p>
    <w:p w14:paraId="511F2E48">
      <w:pPr>
        <w:pStyle w:val="2"/>
        <w:numPr>
          <w:ilvl w:val="0"/>
          <w:numId w:val="2"/>
        </w:numPr>
        <w:bidi w:val="0"/>
        <w:ind w:left="0" w:leftChars="0" w:firstLine="0" w:firstLineChars="0"/>
        <w:rPr>
          <w:rFonts w:hint="eastAsia" w:ascii="Times New Roman" w:hAnsi="Times New Roman" w:cs="Times New Roman"/>
          <w:color w:val="auto"/>
          <w:lang w:val="en-US" w:eastAsia="zh-CN"/>
        </w:rPr>
      </w:pPr>
      <w:bookmarkStart w:id="97" w:name="_Toc23918"/>
      <w:r>
        <w:rPr>
          <w:rFonts w:hint="eastAsia" w:ascii="Times New Roman" w:hAnsi="Times New Roman" w:cs="Times New Roman"/>
          <w:color w:val="auto"/>
          <w:lang w:val="en-US" w:eastAsia="zh-CN"/>
        </w:rPr>
        <w:t>尾矿库设计及现状概况</w:t>
      </w:r>
      <w:bookmarkEnd w:id="97"/>
    </w:p>
    <w:p w14:paraId="30022795">
      <w:pPr>
        <w:pStyle w:val="3"/>
        <w:bidi w:val="0"/>
        <w:rPr>
          <w:rFonts w:hint="eastAsia"/>
          <w:color w:val="auto"/>
          <w:lang w:val="en-US" w:eastAsia="zh-CN"/>
        </w:rPr>
      </w:pPr>
      <w:bookmarkStart w:id="98" w:name="_Toc19541"/>
      <w:r>
        <w:rPr>
          <w:rFonts w:hint="eastAsia"/>
          <w:color w:val="auto"/>
          <w:lang w:val="en-US" w:eastAsia="zh-CN"/>
        </w:rPr>
        <w:t>3.1 尾矿库设计概况</w:t>
      </w:r>
      <w:bookmarkEnd w:id="98"/>
    </w:p>
    <w:p w14:paraId="53494E4A">
      <w:pPr>
        <w:pStyle w:val="4"/>
        <w:bidi w:val="0"/>
        <w:rPr>
          <w:rFonts w:hint="eastAsia"/>
          <w:color w:val="auto"/>
          <w:lang w:val="en-US" w:eastAsia="zh-CN"/>
        </w:rPr>
      </w:pPr>
      <w:bookmarkStart w:id="99" w:name="_Toc27083"/>
      <w:r>
        <w:rPr>
          <w:rFonts w:hint="eastAsia"/>
          <w:color w:val="auto"/>
          <w:lang w:val="en-US" w:eastAsia="zh-CN"/>
        </w:rPr>
        <w:t>3.1.1 1963年设计</w:t>
      </w:r>
      <w:bookmarkEnd w:id="99"/>
    </w:p>
    <w:p w14:paraId="168D6D7E">
      <w:pPr>
        <w:rPr>
          <w:rFonts w:hint="eastAsia"/>
          <w:color w:val="auto"/>
          <w:lang w:val="en-US" w:eastAsia="zh-CN"/>
        </w:rPr>
      </w:pPr>
      <w:r>
        <w:rPr>
          <w:rFonts w:hint="eastAsia"/>
          <w:color w:val="auto"/>
          <w:lang w:val="en-US" w:eastAsia="zh-CN"/>
        </w:rPr>
        <w:t>初期坝为均质土坝，坝顶高程+245.0m，坝高8.0m，坝顶宽12.0m，坝轴线长135.0m，上、下游边坡均为1︰1.5。</w:t>
      </w:r>
    </w:p>
    <w:p w14:paraId="113A0C90">
      <w:pPr>
        <w:rPr>
          <w:rFonts w:hint="eastAsia"/>
          <w:color w:val="auto"/>
          <w:lang w:val="en-US" w:eastAsia="zh-CN"/>
        </w:rPr>
      </w:pPr>
      <w:r>
        <w:rPr>
          <w:rFonts w:hint="eastAsia"/>
          <w:color w:val="auto"/>
          <w:lang w:val="en-US" w:eastAsia="zh-CN"/>
        </w:rPr>
        <w:t>排洪系统为排水井</w:t>
      </w:r>
      <w:r>
        <w:rPr>
          <w:rFonts w:hint="default"/>
          <w:color w:val="auto"/>
          <w:lang w:val="en-US" w:eastAsia="zh-CN"/>
        </w:rPr>
        <w:t>～</w:t>
      </w:r>
      <w:r>
        <w:rPr>
          <w:rFonts w:hint="eastAsia"/>
          <w:color w:val="auto"/>
          <w:lang w:val="en-US" w:eastAsia="zh-CN"/>
        </w:rPr>
        <w:t>排水隧洞：排水井1座，圆形，钢筋混凝土结构，直径D=3.0m，井高12.0m；排水隧洞为圆拱直墙型，B×H=2.2m×2.2m，长784.0m，平均底坡2.7%，全程采用钢筋混凝土衬砌，混凝土厚度为25cm。隧洞出口与明渠相连：明渠长50.0m，宽3.0m，高1.7m，平均底坡2.7%。明渠末端接长5.0m，宽由3.0m渐变为6.0m，高1.7m，平均底坡40%的陡坡段。陡坡段下游接消力池：消力池长10.0m，宽由6.0m渐变为10.0m，高2.0m；与陡坡段相连处边墙厚1.5m、出口处边墙厚2.0m、两侧边墙厚1.0m，均为M5水泥砂浆浆砌块石结构；底板从下至上分别为0.3m厚M5水泥砂浆浆砌块石和0.25m厚C20钢筋混凝土。</w:t>
      </w:r>
    </w:p>
    <w:p w14:paraId="306EAA43">
      <w:pPr>
        <w:pStyle w:val="4"/>
        <w:bidi w:val="0"/>
        <w:rPr>
          <w:rFonts w:hint="eastAsia"/>
          <w:color w:val="auto"/>
          <w:lang w:val="en-US" w:eastAsia="zh-CN"/>
        </w:rPr>
      </w:pPr>
      <w:bookmarkStart w:id="100" w:name="_Toc18076"/>
      <w:r>
        <w:rPr>
          <w:rFonts w:hint="eastAsia"/>
          <w:color w:val="auto"/>
          <w:lang w:val="en-US" w:eastAsia="zh-CN"/>
        </w:rPr>
        <w:t>3.1.2 1983年改造设计</w:t>
      </w:r>
      <w:bookmarkEnd w:id="100"/>
    </w:p>
    <w:p w14:paraId="4871C71C">
      <w:pPr>
        <w:rPr>
          <w:rFonts w:hint="eastAsia"/>
          <w:color w:val="auto"/>
          <w:lang w:val="en-US" w:eastAsia="zh-CN"/>
        </w:rPr>
      </w:pPr>
      <w:r>
        <w:rPr>
          <w:rFonts w:hint="eastAsia"/>
          <w:color w:val="auto"/>
          <w:lang w:val="en-US" w:eastAsia="zh-CN"/>
        </w:rPr>
        <w:t>从初期坝坝顶+245.0m开始用均质粘土将坝体向下游加宽6.0m，加宽后坝顶高程及下游边坡保持不变，初期坝坝顶高程仍为+245.0m，坝顶宽为18.0m，上、下游边坡仍为1︰1.5。</w:t>
      </w:r>
    </w:p>
    <w:p w14:paraId="30C0A4E0">
      <w:pPr>
        <w:pStyle w:val="4"/>
        <w:bidi w:val="0"/>
        <w:rPr>
          <w:rFonts w:hint="eastAsia"/>
          <w:color w:val="auto"/>
          <w:lang w:val="en-US" w:eastAsia="zh-CN"/>
        </w:rPr>
      </w:pPr>
      <w:bookmarkStart w:id="101" w:name="_Toc30075"/>
      <w:r>
        <w:rPr>
          <w:rFonts w:hint="eastAsia"/>
          <w:color w:val="auto"/>
          <w:lang w:val="en-US" w:eastAsia="zh-CN"/>
        </w:rPr>
        <w:t>3.1.3 2008年加高扩容设计</w:t>
      </w:r>
      <w:bookmarkEnd w:id="101"/>
    </w:p>
    <w:p w14:paraId="129A25BE">
      <w:pPr>
        <w:rPr>
          <w:rFonts w:hint="eastAsia"/>
          <w:color w:val="auto"/>
          <w:lang w:val="en-US" w:eastAsia="zh-CN"/>
        </w:rPr>
      </w:pPr>
      <w:r>
        <w:rPr>
          <w:rFonts w:hint="eastAsia"/>
          <w:color w:val="auto"/>
          <w:lang w:val="en-US" w:eastAsia="zh-CN"/>
        </w:rPr>
        <w:t>此次加高扩容尾矿坝由一次性均质土坝筑坝变至由初期坝+尾砂堆积坝方式，初期坝坝体在原初期坝+245.0m的基础上采用碾压堆石坝向下游面加高至+282.22m，初期坝坝顶宽为6.0m。初期坝上游面+282.22m～+261.80m高程边坡为1︰1.65，+261.80m～+245.00m高程边坡为1︰2.5，并在+261.80m～+245.00m高程间设置6.0m宽粘土斜墙与原初期坝+245.0m高程相连，斜墙边坡为1︰2.5，粘土斜墙上游分别设置了土工布、中砂和碎石作为反滤层；初期坝下游面+282.22m～+271.34m边坡为1︰1.34，+271.34m高程处平台宽约55m，+271.34m～+237.00m边坡为1︰1.56。</w:t>
      </w:r>
    </w:p>
    <w:p w14:paraId="0E39D39F">
      <w:pPr>
        <w:rPr>
          <w:rFonts w:hint="eastAsia"/>
          <w:color w:val="auto"/>
          <w:lang w:val="en-US" w:eastAsia="zh-CN"/>
        </w:rPr>
      </w:pPr>
      <w:r>
        <w:rPr>
          <w:rFonts w:hint="eastAsia"/>
          <w:color w:val="auto"/>
          <w:lang w:val="en-US" w:eastAsia="zh-CN"/>
        </w:rPr>
        <w:t>在尾矿库左侧东南向支沟沟口处新建一座拦砂坝，将尾砂拦截于库内，并在拦砂坝下预埋涵管，与排水斜槽相接，采用排水斜槽～涵管的排水方式将库内水排入支沟内，同时在拦砂坝东北向紧邻的另一支沟山嘴处新建一排水隧洞横穿山体将库内洪水引入支沟，然后通过排水井～隧洞泄洪。拦砂坝采用手选废石筑坝，坝顶标高+273.0m，最大坝高约8.0m，坝长105.0m，上游边坡1︰1.65、下游边坡为1︰1.6。坝体上游坡从上至下依次铺一层卵石、粗砂及复合土工膜（200/0.5/200），下游坝面则采用干砌石护坡，并在坡脚处设置一干砌块石排水棱体，棱体高2.0m，棱体顶宽2.0m，棱体上游边坡1︰1.0，下游边坡1︰1.5。</w:t>
      </w:r>
    </w:p>
    <w:p w14:paraId="23D579CF">
      <w:pPr>
        <w:rPr>
          <w:rFonts w:hint="eastAsia"/>
          <w:color w:val="auto"/>
          <w:lang w:val="en-US" w:eastAsia="zh-CN"/>
        </w:rPr>
      </w:pPr>
      <w:r>
        <w:rPr>
          <w:rFonts w:hint="eastAsia"/>
          <w:color w:val="auto"/>
          <w:lang w:val="en-US" w:eastAsia="zh-CN"/>
        </w:rPr>
        <w:t>新建的贯通排洪隧洞为圆拱直墙型，断面为1.5m×1.8m，C25钢筋砼结构，进、出口高程分别为+266.71m和+265.84m，长约156m，其中隧洞进口距干滩面仅60m。</w:t>
      </w:r>
    </w:p>
    <w:p w14:paraId="4CC0BBA1">
      <w:pPr>
        <w:pStyle w:val="4"/>
        <w:bidi w:val="0"/>
        <w:rPr>
          <w:rFonts w:hint="eastAsia"/>
          <w:color w:val="auto"/>
          <w:lang w:val="en-US" w:eastAsia="zh-CN"/>
        </w:rPr>
      </w:pPr>
      <w:bookmarkStart w:id="102" w:name="_Toc10775"/>
      <w:r>
        <w:rPr>
          <w:rFonts w:hint="eastAsia"/>
          <w:color w:val="auto"/>
          <w:lang w:val="en-US" w:eastAsia="zh-CN"/>
        </w:rPr>
        <w:t>3.1.4 2012年综合隐患治理设计</w:t>
      </w:r>
      <w:bookmarkEnd w:id="102"/>
    </w:p>
    <w:p w14:paraId="781EDFCF">
      <w:pPr>
        <w:rPr>
          <w:rFonts w:hint="eastAsia"/>
          <w:color w:val="auto"/>
          <w:lang w:val="en-US" w:eastAsia="zh-CN"/>
        </w:rPr>
      </w:pPr>
      <w:r>
        <w:rPr>
          <w:rFonts w:hint="eastAsia"/>
          <w:color w:val="auto"/>
          <w:lang w:val="en-US" w:eastAsia="zh-CN"/>
        </w:rPr>
        <w:t>将初期坝+271.34m高程平台与初期坝顶+282.22m高程之间堆积边坡为1︰1.34采用碾压堆石将边坡放缓至1︰1.8。将+271.34m平台处堆石体整平碾压；将初期坝+271.34m高程至坝脚+237.00m高程之间边坡为1︰1.56采用碾压堆石将边坡放缓至1︰1.8，并每隔15m高差设置一道2.0m宽马道。</w:t>
      </w:r>
    </w:p>
    <w:p w14:paraId="6DF23C63">
      <w:pPr>
        <w:rPr>
          <w:rFonts w:hint="eastAsia"/>
          <w:color w:val="auto"/>
          <w:lang w:val="en-US" w:eastAsia="zh-CN"/>
        </w:rPr>
      </w:pPr>
      <w:r>
        <w:rPr>
          <w:rFonts w:hint="eastAsia"/>
          <w:color w:val="auto"/>
          <w:lang w:val="en-US" w:eastAsia="zh-CN"/>
        </w:rPr>
        <w:t>初期坝坝顶高程+282.22m开始采用尾砂堆积坝，+282.22m至+285m高程堆积坝外坡为1︰3.5，+285m至+288m高程为一斜坡平台，平台宽度为105m，平台坡比为1︰35。+288m至+292m采用尾砂堆筑高为</w:t>
      </w:r>
      <w:r>
        <w:rPr>
          <w:rFonts w:hint="eastAsia"/>
          <w:strike w:val="0"/>
          <w:dstrike w:val="0"/>
          <w:color w:val="auto"/>
          <w:lang w:val="en-US" w:eastAsia="zh-CN"/>
        </w:rPr>
        <w:t>4.0m</w:t>
      </w:r>
      <w:r>
        <w:rPr>
          <w:rFonts w:hint="eastAsia"/>
          <w:color w:val="auto"/>
          <w:lang w:val="en-US" w:eastAsia="zh-CN"/>
        </w:rPr>
        <w:t>的子坝，子坝顶宽6.0m，外坡比为1︰4，内坡比为1︰2.0。</w:t>
      </w:r>
    </w:p>
    <w:p w14:paraId="53AD205D">
      <w:pPr>
        <w:rPr>
          <w:rFonts w:hint="eastAsia"/>
          <w:color w:val="auto"/>
          <w:lang w:val="en-US" w:eastAsia="zh-CN"/>
        </w:rPr>
      </w:pPr>
      <w:r>
        <w:rPr>
          <w:rFonts w:hint="eastAsia"/>
          <w:color w:val="auto"/>
          <w:lang w:val="en-US" w:eastAsia="zh-CN"/>
        </w:rPr>
        <w:t>库内新建排洪设施：将原排洪隧洞往库尾延伸，并在库尾新建排水井与延伸的排洪隧洞相连。新建排水井为圆形，位于尾矿库左侧，距现有沉积滩顶约1480m，直径D=3.0m，井座高程+271.0m，井高21m；新建排洪隧洞为圆拱直墙型，B×H=2.2m×2.2m，进口与新建排水井相连，出口与原排洪隧洞相连，连接处距原隧洞进口100m，底高程+255.8m，长约1200m，全程采用C25钢筋混凝土衬砌。</w:t>
      </w:r>
    </w:p>
    <w:p w14:paraId="6D9313F7">
      <w:pPr>
        <w:rPr>
          <w:rFonts w:hint="eastAsia"/>
          <w:color w:val="auto"/>
          <w:lang w:val="en-US" w:eastAsia="zh-CN"/>
        </w:rPr>
      </w:pPr>
      <w:r>
        <w:rPr>
          <w:rFonts w:hint="eastAsia"/>
          <w:color w:val="auto"/>
          <w:lang w:val="en-US" w:eastAsia="zh-CN"/>
        </w:rPr>
        <w:t>新建库内排洪系统施工期仍采用现有库内排洪设施排洪；新建排洪设施建成后对原排水井进行封堵。</w:t>
      </w:r>
    </w:p>
    <w:p w14:paraId="3F0750B9">
      <w:pPr>
        <w:rPr>
          <w:rFonts w:hint="eastAsia"/>
          <w:color w:val="auto"/>
          <w:lang w:val="en-US" w:eastAsia="zh-CN"/>
        </w:rPr>
      </w:pPr>
      <w:r>
        <w:rPr>
          <w:rFonts w:hint="eastAsia"/>
          <w:color w:val="auto"/>
          <w:lang w:val="en-US" w:eastAsia="zh-CN"/>
        </w:rPr>
        <w:t>库外新建排洪设施（“石壁溪”尾矿坝右侧沟）：将现有截洪沟拆除重建并沿上坝公路往初期坝脚下游延伸，在截洪沟出口处设消力池。</w:t>
      </w:r>
    </w:p>
    <w:p w14:paraId="639228D2">
      <w:pPr>
        <w:rPr>
          <w:rFonts w:hint="eastAsia"/>
          <w:color w:val="auto"/>
          <w:lang w:val="en-US" w:eastAsia="zh-CN"/>
        </w:rPr>
      </w:pPr>
      <w:r>
        <w:rPr>
          <w:rFonts w:hint="eastAsia"/>
          <w:color w:val="auto"/>
          <w:lang w:val="en-US" w:eastAsia="zh-CN"/>
        </w:rPr>
        <w:t>新建截洪沟采用C25钢筋混凝土结构，底宽1.5m，高1.7m，内、外侧边坡均为1︰0.5，壁厚及底板厚均为30cm，进、出口底高程分别为+275.0m和+237.0m，长约400m，平均底坡9.5%。</w:t>
      </w:r>
    </w:p>
    <w:p w14:paraId="248640A5">
      <w:pPr>
        <w:rPr>
          <w:rFonts w:hint="eastAsia"/>
          <w:color w:val="auto"/>
          <w:lang w:val="en-US" w:eastAsia="zh-CN"/>
        </w:rPr>
      </w:pPr>
      <w:r>
        <w:rPr>
          <w:rFonts w:hint="eastAsia"/>
          <w:color w:val="auto"/>
          <w:lang w:val="en-US" w:eastAsia="zh-CN"/>
        </w:rPr>
        <w:t>消力池长16m，底宽3.0m，高1.1m；底板及边墙厚均为1.0m，材料为C25混凝土，在底板以下铺设0.2m厚C10素混凝土垫层；在消力池池底设置圆形排水孔，直径D=0.1m，梅花形布置，横、纵向间距均为2m，深度至底部混凝土垫层。</w:t>
      </w:r>
    </w:p>
    <w:p w14:paraId="6EF654AC">
      <w:pPr>
        <w:rPr>
          <w:rFonts w:hint="eastAsia"/>
          <w:color w:val="auto"/>
          <w:lang w:val="en-US" w:eastAsia="zh-CN"/>
        </w:rPr>
      </w:pPr>
      <w:r>
        <w:rPr>
          <w:rFonts w:hint="eastAsia"/>
          <w:color w:val="auto"/>
          <w:lang w:val="en-US" w:eastAsia="zh-CN"/>
        </w:rPr>
        <w:t>对现有“石壁溪”冲沟排水隧洞进行封堵：施工前需将钢筋混凝土隧洞部分凿毛，现浇混凝土段长10m；其下游接长2m的浆砌块石挡板，并在挡板的底部和顶部分别铺设一根DN75×6的排水管和通气管。</w:t>
      </w:r>
    </w:p>
    <w:p w14:paraId="263E9EF5">
      <w:pPr>
        <w:rPr>
          <w:rFonts w:hint="eastAsia"/>
          <w:color w:val="auto"/>
          <w:lang w:val="en-US" w:eastAsia="zh-CN"/>
        </w:rPr>
      </w:pPr>
      <w:r>
        <w:rPr>
          <w:rFonts w:hint="eastAsia"/>
          <w:color w:val="auto"/>
          <w:lang w:val="en-US" w:eastAsia="zh-CN"/>
        </w:rPr>
        <w:t>原排水井采用C25素混凝土对井座进行全断面封堵，排洪隧洞采用C25素混凝土封堵与排水井连接处10m全断面封堵。</w:t>
      </w:r>
    </w:p>
    <w:p w14:paraId="767102E1">
      <w:pPr>
        <w:pStyle w:val="3"/>
        <w:bidi w:val="0"/>
        <w:rPr>
          <w:rFonts w:hint="eastAsia"/>
          <w:color w:val="auto"/>
          <w:lang w:val="en-US" w:eastAsia="zh-CN"/>
        </w:rPr>
      </w:pPr>
      <w:bookmarkStart w:id="103" w:name="_Toc21770"/>
      <w:r>
        <w:rPr>
          <w:rFonts w:hint="eastAsia"/>
          <w:color w:val="auto"/>
          <w:lang w:val="en-US" w:eastAsia="zh-CN"/>
        </w:rPr>
        <w:t>3.2 现状尾矿设施情况</w:t>
      </w:r>
      <w:bookmarkEnd w:id="103"/>
    </w:p>
    <w:p w14:paraId="68137DA1">
      <w:pPr>
        <w:pStyle w:val="4"/>
        <w:bidi w:val="0"/>
        <w:rPr>
          <w:rFonts w:hint="eastAsia"/>
          <w:color w:val="auto"/>
          <w:lang w:val="en-US" w:eastAsia="zh-CN"/>
        </w:rPr>
      </w:pPr>
      <w:bookmarkStart w:id="104" w:name="_Toc5259"/>
      <w:r>
        <w:rPr>
          <w:rFonts w:hint="eastAsia"/>
          <w:color w:val="auto"/>
          <w:lang w:val="en-US" w:eastAsia="zh-CN"/>
        </w:rPr>
        <w:t>3.2.1 尾矿库基本情况</w:t>
      </w:r>
      <w:bookmarkEnd w:id="104"/>
    </w:p>
    <w:p w14:paraId="115B8485">
      <w:pPr>
        <w:rPr>
          <w:rFonts w:hint="eastAsia"/>
          <w:color w:val="auto"/>
          <w:lang w:val="en-US" w:eastAsia="zh-CN"/>
        </w:rPr>
      </w:pPr>
      <w:r>
        <w:rPr>
          <w:rFonts w:hint="eastAsia"/>
          <w:color w:val="auto"/>
          <w:lang w:val="en-US" w:eastAsia="zh-CN"/>
        </w:rPr>
        <w:t>江西浒坑钨业有限公司杨家店尾矿库于1963年由南昌有色冶金设计研究院设计，1965年建成并投入运行。该尾矿库位于选矿厂东北方向0.8km狭长沟谷中，库内总长1760m，坝体宽220m，汇水面积为6.9km</w:t>
      </w:r>
      <w:r>
        <w:rPr>
          <w:rFonts w:hint="eastAsia"/>
          <w:color w:val="auto"/>
          <w:vertAlign w:val="superscript"/>
          <w:lang w:val="en-US" w:eastAsia="zh-CN"/>
        </w:rPr>
        <w:t>2</w:t>
      </w:r>
      <w:r>
        <w:rPr>
          <w:rFonts w:hint="eastAsia"/>
          <w:color w:val="auto"/>
          <w:lang w:val="en-US" w:eastAsia="zh-CN"/>
        </w:rPr>
        <w:t>。尾砂库从1965年～至今连续生产运行，其堆积尾砂量398万m</w:t>
      </w:r>
      <w:r>
        <w:rPr>
          <w:rFonts w:hint="eastAsia"/>
          <w:color w:val="auto"/>
          <w:vertAlign w:val="superscript"/>
          <w:lang w:val="en-US" w:eastAsia="zh-CN"/>
        </w:rPr>
        <w:t>3</w:t>
      </w:r>
      <w:r>
        <w:rPr>
          <w:rFonts w:hint="eastAsia"/>
          <w:color w:val="auto"/>
          <w:lang w:val="en-US" w:eastAsia="zh-CN"/>
        </w:rPr>
        <w:t>。当前尾矿坝滩顶标高为+285.50m，当前坝高55.0m。</w:t>
      </w:r>
    </w:p>
    <w:p w14:paraId="30E95E1A">
      <w:pPr>
        <w:pStyle w:val="4"/>
        <w:bidi w:val="0"/>
        <w:rPr>
          <w:rFonts w:hint="eastAsia"/>
          <w:color w:val="auto"/>
          <w:lang w:val="en-US" w:eastAsia="zh-CN"/>
        </w:rPr>
      </w:pPr>
      <w:bookmarkStart w:id="105" w:name="_Toc1255"/>
      <w:r>
        <w:rPr>
          <w:rFonts w:hint="eastAsia"/>
          <w:color w:val="auto"/>
          <w:lang w:val="en-US" w:eastAsia="zh-CN"/>
        </w:rPr>
        <w:t>3.2.2 尾矿坝现状情况</w:t>
      </w:r>
      <w:bookmarkEnd w:id="105"/>
    </w:p>
    <w:p w14:paraId="1E4CD355">
      <w:pPr>
        <w:rPr>
          <w:rFonts w:hint="eastAsia"/>
          <w:color w:val="auto"/>
          <w:lang w:val="en-US" w:eastAsia="zh-CN"/>
        </w:rPr>
      </w:pPr>
      <w:r>
        <w:rPr>
          <w:rFonts w:hint="eastAsia"/>
          <w:color w:val="auto"/>
          <w:lang w:val="en-US" w:eastAsia="zh-CN"/>
        </w:rPr>
        <w:t>初期坝采用土石混合坝，初期坝坝顶高程为+282.22m，坝高为45.22m。堆积坝已堆积至+292.0m，滩顶高程为+285.50m，现状库内水位+271.30m。</w:t>
      </w:r>
    </w:p>
    <w:p w14:paraId="782733C4">
      <w:pPr>
        <w:rPr>
          <w:rFonts w:hint="eastAsia"/>
          <w:color w:val="auto"/>
          <w:lang w:val="en-US" w:eastAsia="zh-CN"/>
        </w:rPr>
      </w:pPr>
      <w:r>
        <w:rPr>
          <w:rFonts w:hint="eastAsia"/>
          <w:color w:val="auto"/>
          <w:lang w:val="en-US" w:eastAsia="zh-CN"/>
        </w:rPr>
        <w:t>初期坝下游面+282.22m至+271.34m坡比为1︰1.8，+271.34m平台宽为20m～55.0m；+271.34m至+257.0m坡比为1︰1.8，+257.0m标高设有一宽为2.0m平台；+257.0m至+242.0m坡比为1︰1.8，+242.0m标高设有一宽为2.0m平台。</w:t>
      </w:r>
    </w:p>
    <w:p w14:paraId="3A1F52F6">
      <w:pPr>
        <w:rPr>
          <w:rFonts w:hint="eastAsia"/>
          <w:color w:val="auto"/>
          <w:lang w:val="en-US" w:eastAsia="zh-CN"/>
        </w:rPr>
      </w:pPr>
      <w:r>
        <w:rPr>
          <w:rFonts w:hint="eastAsia"/>
          <w:color w:val="auto"/>
          <w:lang w:val="en-US" w:eastAsia="zh-CN"/>
        </w:rPr>
        <w:t>初期坝上游面+282.22m～+261.80m高程边坡为1︰1.65，+261.8m～+245.0m高程边坡为1︰2.5，并在+261.80m～+245.00m高程间设置6.0m宽粘土斜墙与原初期坝+245.0m高程相连，斜墙边坡为1︰2.5，粘土斜墙上游分别设置了土工布、中砂和碎石作为反滤层。</w:t>
      </w:r>
    </w:p>
    <w:p w14:paraId="1A0EE34F">
      <w:pPr>
        <w:rPr>
          <w:rFonts w:hint="eastAsia"/>
          <w:color w:val="auto"/>
          <w:lang w:val="en-US" w:eastAsia="zh-CN"/>
        </w:rPr>
      </w:pPr>
      <w:r>
        <w:rPr>
          <w:rFonts w:hint="eastAsia"/>
          <w:color w:val="auto"/>
          <w:lang w:val="en-US" w:eastAsia="zh-CN"/>
        </w:rPr>
        <w:t>初期坝坝顶+282.22m高程以上采用上游式尾矿堆坝，+282.22m～+285m高程堆积坝外坡为1︰3.5，+285m～+288m高程为一斜坡平台，平台宽度为105m，平台坡比为1︰3.5。+288m～+292m采用尾砂堆筑高为</w:t>
      </w:r>
      <w:r>
        <w:rPr>
          <w:rFonts w:hint="eastAsia"/>
          <w:strike w:val="0"/>
          <w:dstrike w:val="0"/>
          <w:color w:val="auto"/>
          <w:lang w:val="en-US" w:eastAsia="zh-CN"/>
        </w:rPr>
        <w:t>4.0m</w:t>
      </w:r>
      <w:r>
        <w:rPr>
          <w:rFonts w:hint="eastAsia"/>
          <w:color w:val="auto"/>
          <w:lang w:val="en-US" w:eastAsia="zh-CN"/>
        </w:rPr>
        <w:t>的子坝，子坝顶宽6.0m，外坡比为1︰4，内坡比为1︰2.0。</w:t>
      </w:r>
    </w:p>
    <w:p w14:paraId="0EFA79D6">
      <w:pPr>
        <w:pStyle w:val="4"/>
        <w:bidi w:val="0"/>
        <w:rPr>
          <w:rFonts w:hint="eastAsia"/>
          <w:color w:val="auto"/>
          <w:lang w:val="en-US" w:eastAsia="zh-CN"/>
        </w:rPr>
      </w:pPr>
      <w:bookmarkStart w:id="106" w:name="_Toc5992"/>
      <w:r>
        <w:rPr>
          <w:rFonts w:hint="eastAsia"/>
          <w:color w:val="auto"/>
          <w:lang w:val="en-US" w:eastAsia="zh-CN"/>
        </w:rPr>
        <w:t>3.2.3 排洪系统现状情况</w:t>
      </w:r>
      <w:bookmarkEnd w:id="106"/>
    </w:p>
    <w:p w14:paraId="60DBA3D7">
      <w:pPr>
        <w:rPr>
          <w:rFonts w:hint="eastAsia"/>
          <w:color w:val="auto"/>
          <w:lang w:val="en-US" w:eastAsia="zh-CN"/>
        </w:rPr>
      </w:pPr>
      <w:r>
        <w:rPr>
          <w:rFonts w:hint="eastAsia"/>
          <w:color w:val="auto"/>
          <w:lang w:val="en-US" w:eastAsia="zh-CN"/>
        </w:rPr>
        <w:t>尾矿坝右侧“石壁溪”冲沟排水隧洞按设计要求进行了封堵，2008年新增的排洪系统（排水斜槽</w:t>
      </w:r>
      <w:r>
        <w:rPr>
          <w:rFonts w:hint="eastAsia" w:ascii="Times New Roman" w:hAnsi="Times New Roman" w:eastAsia="宋体" w:cs="Times New Roman"/>
          <w:color w:val="auto"/>
          <w:lang w:val="en-US" w:eastAsia="zh-CN"/>
        </w:rPr>
        <w:t>+</w:t>
      </w:r>
      <w:r>
        <w:rPr>
          <w:rFonts w:hint="eastAsia"/>
          <w:color w:val="auto"/>
          <w:lang w:val="en-US" w:eastAsia="zh-CN"/>
        </w:rPr>
        <w:t>涵管、排洪隧洞）均按设计要求进行了封堵，拦砂坝（坝顶高程为+273.0m）已被尾砂填埋。原排水井+排洪隧洞均按设计要求进行了封堵。经现场检查，上述已封堵的排洪系统出水口未见漏砂、跑混等现象。</w:t>
      </w:r>
    </w:p>
    <w:p w14:paraId="726CFA7E">
      <w:pPr>
        <w:rPr>
          <w:rFonts w:hint="eastAsia"/>
          <w:color w:val="auto"/>
          <w:lang w:val="en-US" w:eastAsia="zh-CN"/>
        </w:rPr>
      </w:pPr>
      <w:r>
        <w:rPr>
          <w:rFonts w:hint="eastAsia"/>
          <w:color w:val="auto"/>
          <w:lang w:val="en-US" w:eastAsia="zh-CN"/>
        </w:rPr>
        <w:t>目前使用2012年隐患治理设计时新建的排洪系统，排水井+排洪隧洞进行库内排洪，现有排洪系统符合设计要求，现水位高程为</w:t>
      </w:r>
      <w:r>
        <w:rPr>
          <w:rFonts w:hint="eastAsia"/>
          <w:strike w:val="0"/>
          <w:dstrike w:val="0"/>
          <w:color w:val="auto"/>
          <w:lang w:val="en-US" w:eastAsia="zh-CN"/>
        </w:rPr>
        <w:t>+271.30</w:t>
      </w:r>
      <w:r>
        <w:rPr>
          <w:rFonts w:hint="eastAsia"/>
          <w:color w:val="auto"/>
          <w:lang w:val="en-US" w:eastAsia="zh-CN"/>
        </w:rPr>
        <w:t>m，尾矿坝滩顶高程为+285.50m，水位与滩顶高差为14.20m，尾矿沉积坡度为2.68%，干滩长度为526m。</w:t>
      </w:r>
    </w:p>
    <w:p w14:paraId="732DF7F8">
      <w:pPr>
        <w:pStyle w:val="4"/>
        <w:bidi w:val="0"/>
        <w:rPr>
          <w:rFonts w:hint="eastAsia"/>
          <w:color w:val="auto"/>
          <w:lang w:val="en-US" w:eastAsia="zh-CN"/>
        </w:rPr>
      </w:pPr>
      <w:bookmarkStart w:id="107" w:name="_Toc9368"/>
      <w:r>
        <w:rPr>
          <w:rFonts w:hint="eastAsia"/>
          <w:color w:val="auto"/>
          <w:lang w:val="en-US" w:eastAsia="zh-CN"/>
        </w:rPr>
        <w:t>3.2.4 人工监测设施</w:t>
      </w:r>
      <w:bookmarkEnd w:id="107"/>
    </w:p>
    <w:p w14:paraId="13C57D5D">
      <w:pPr>
        <w:rPr>
          <w:rFonts w:hint="eastAsia"/>
          <w:color w:val="auto"/>
          <w:lang w:val="en-US" w:eastAsia="zh-CN"/>
        </w:rPr>
      </w:pPr>
      <w:r>
        <w:rPr>
          <w:rFonts w:hint="eastAsia"/>
          <w:color w:val="auto"/>
          <w:lang w:val="en-US" w:eastAsia="zh-CN"/>
        </w:rPr>
        <w:t>1. 坝体位移观测装置：在+271.34m堆石体平台和最终+292.0m尾砂堆积坝顶各布置一排4个位移观测孔（2个基准点观测孔，2个位移沉降观测点）；同时，为加强对削坡后的废石堆进行监测，分别在S1废石堆顶+310.23m、S2废石堆顶+305.64m和S3废石堆顶+316.28m各布置一排2个位移观测孔（1个基准点观测孔，1个位移沉降观测点）。</w:t>
      </w:r>
    </w:p>
    <w:p w14:paraId="5C8E289A">
      <w:pPr>
        <w:rPr>
          <w:rFonts w:hint="eastAsia"/>
          <w:color w:val="auto"/>
          <w:lang w:val="en-US" w:eastAsia="zh-CN"/>
        </w:rPr>
      </w:pPr>
      <w:r>
        <w:rPr>
          <w:rFonts w:hint="eastAsia"/>
          <w:color w:val="auto"/>
          <w:lang w:val="en-US" w:eastAsia="zh-CN"/>
        </w:rPr>
        <w:t>2. 浸润线观测孔：在+285.0m高程、+288.0m高程及+292.0m高程的最终尾砂堆积坝顶靠近坝轴线中心处各设置2个浸润线观测点，并将这6个浸润线观测点连成2条观测纵剖面，目前尾矿坝未设置人工浸润线观测点。</w:t>
      </w:r>
    </w:p>
    <w:p w14:paraId="08A958EA">
      <w:pPr>
        <w:rPr>
          <w:rFonts w:hint="eastAsia"/>
          <w:color w:val="auto"/>
          <w:lang w:val="en-US" w:eastAsia="zh-CN"/>
        </w:rPr>
      </w:pPr>
      <w:r>
        <w:rPr>
          <w:rFonts w:hint="eastAsia"/>
          <w:color w:val="auto"/>
          <w:lang w:val="en-US" w:eastAsia="zh-CN"/>
        </w:rPr>
        <w:t>3. 水位观测标尺：在排水井的正面从井座至井顶帖一排瓷砖，每块瓷砖B×L=10cm×10cm，每上升至50cm倍数处瓷砖的颜色采用彩色且相邻颜色尽量不重复，其余均采用白色。</w:t>
      </w:r>
    </w:p>
    <w:p w14:paraId="73691786">
      <w:pPr>
        <w:rPr>
          <w:rFonts w:hint="eastAsia"/>
          <w:color w:val="auto"/>
          <w:lang w:val="en-US" w:eastAsia="zh-CN"/>
        </w:rPr>
      </w:pPr>
      <w:r>
        <w:rPr>
          <w:rFonts w:hint="eastAsia"/>
          <w:color w:val="auto"/>
          <w:lang w:val="en-US" w:eastAsia="zh-CN"/>
        </w:rPr>
        <w:t>4. 水位报警装置：防洪安全超高为0.7m。当库内水位离滩顶1.5m时发出预警，尾矿库滩顶10m位置袋装尾砂充填子坝系统，准备在20分钟内建起应急防洪子坝；当库内水位离开坝顶1.0m时发出警报，矿方应立即停止生产；当库内水位离开坝顶0.7m时发出紧急警报，撤离坝上作业人员并要求下游危险区范围居民全部撤离。</w:t>
      </w:r>
    </w:p>
    <w:p w14:paraId="0EC1925C">
      <w:pPr>
        <w:pStyle w:val="4"/>
        <w:bidi w:val="0"/>
        <w:rPr>
          <w:rFonts w:hint="default"/>
          <w:color w:val="auto"/>
          <w:lang w:val="en-US" w:eastAsia="zh-CN"/>
        </w:rPr>
      </w:pPr>
      <w:bookmarkStart w:id="108" w:name="_Toc8358"/>
      <w:r>
        <w:rPr>
          <w:rFonts w:hint="eastAsia"/>
          <w:color w:val="auto"/>
          <w:lang w:val="en-US" w:eastAsia="zh-CN"/>
        </w:rPr>
        <w:t>3.2.5 在线监测设施</w:t>
      </w:r>
      <w:bookmarkEnd w:id="108"/>
    </w:p>
    <w:p w14:paraId="6936F47F">
      <w:pPr>
        <w:rPr>
          <w:rFonts w:hint="eastAsia"/>
          <w:color w:val="auto"/>
          <w:lang w:val="en-US" w:eastAsia="zh-CN"/>
        </w:rPr>
      </w:pPr>
      <w:r>
        <w:rPr>
          <w:rFonts w:hint="eastAsia"/>
          <w:color w:val="auto"/>
          <w:lang w:val="en-US" w:eastAsia="zh-CN"/>
        </w:rPr>
        <w:t>1. 表面位移监测：该系统表面位移监测采用单基站多监测点的监测模式。该方案共布设3个监测纵断面，即在初期坝+271.34m高程平台布设1个监测纵断面，该断面布设3个监测点，在现有初期坝坝顶布设1个监测纵断面，该断面布设2个监测点，以及在尾矿库最终堆积坝坝顶即+292.00m高程再设1个监测纵断面，根据坝面长度该断面布设3个监测点。另外在监测管理中心的楼顶设一个位移监测基点。</w:t>
      </w:r>
    </w:p>
    <w:p w14:paraId="269F3DFE">
      <w:pPr>
        <w:rPr>
          <w:rFonts w:hint="eastAsia"/>
          <w:color w:val="auto"/>
          <w:lang w:val="en-US" w:eastAsia="zh-CN"/>
        </w:rPr>
      </w:pPr>
      <w:r>
        <w:rPr>
          <w:rFonts w:hint="eastAsia"/>
          <w:color w:val="auto"/>
          <w:lang w:val="en-US" w:eastAsia="zh-CN"/>
        </w:rPr>
        <w:t>2. 内部位移监测：在尾矿库堆积坝上布设1个纵断面，在该断面中央位置布设1个内部位移监测点，垂直钻孔深度约38m。监测孔每隔10m深设1个固定测斜仪传感器，安装于内径70mm的高强度PVC管内。</w:t>
      </w:r>
    </w:p>
    <w:p w14:paraId="4C05F185">
      <w:pPr>
        <w:rPr>
          <w:rFonts w:hint="eastAsia"/>
          <w:color w:val="auto"/>
          <w:lang w:val="en-US" w:eastAsia="zh-CN"/>
        </w:rPr>
      </w:pPr>
      <w:r>
        <w:rPr>
          <w:rFonts w:hint="eastAsia"/>
          <w:color w:val="auto"/>
          <w:lang w:val="en-US" w:eastAsia="zh-CN"/>
        </w:rPr>
        <w:t>3. 浸润线监测：设计方案共布设3个浸润线监测横断面，其中一个沿坝体最大横断面布设。每个监测横断面上设3个监测点，共设7个。设计要求将渗压计垂直埋深至稳定地下水位下1.0～2.0m处。</w:t>
      </w:r>
    </w:p>
    <w:p w14:paraId="41E0CC26">
      <w:pPr>
        <w:rPr>
          <w:rFonts w:hint="eastAsia"/>
          <w:color w:val="auto"/>
          <w:lang w:val="en-US" w:eastAsia="zh-CN"/>
        </w:rPr>
      </w:pPr>
      <w:r>
        <w:rPr>
          <w:rFonts w:hint="eastAsia"/>
          <w:color w:val="auto"/>
          <w:lang w:val="en-US" w:eastAsia="zh-CN"/>
        </w:rPr>
        <w:t>4. 干滩监测：选干滩长度较短处布设2个断面，每个断面布设2个干滩高程监测点，同时也为干滩坡度监测点，一个布设在靠近子坝内坡坡脚附近，另外一个布设在滩内70m附近，还有一个布设在滩内150m附近。</w:t>
      </w:r>
    </w:p>
    <w:p w14:paraId="56478D5D">
      <w:pPr>
        <w:rPr>
          <w:rFonts w:hint="eastAsia"/>
          <w:color w:val="auto"/>
          <w:lang w:val="en-US" w:eastAsia="zh-CN"/>
        </w:rPr>
      </w:pPr>
      <w:r>
        <w:rPr>
          <w:rFonts w:hint="eastAsia"/>
          <w:color w:val="auto"/>
          <w:lang w:val="en-US" w:eastAsia="zh-CN"/>
        </w:rPr>
        <w:t>5. 库水位监测：在库内排水井位置布设1个监测点。</w:t>
      </w:r>
    </w:p>
    <w:p w14:paraId="430FF5BC">
      <w:pPr>
        <w:rPr>
          <w:rFonts w:hint="eastAsia"/>
          <w:color w:val="auto"/>
          <w:lang w:val="en-US" w:eastAsia="zh-CN"/>
        </w:rPr>
      </w:pPr>
      <w:r>
        <w:rPr>
          <w:rFonts w:hint="eastAsia"/>
          <w:color w:val="auto"/>
          <w:lang w:val="en-US" w:eastAsia="zh-CN"/>
        </w:rPr>
        <w:t>6. 降雨量监测：在选厂监测管理中心屋顶布设1个监测点，方便管理。</w:t>
      </w:r>
    </w:p>
    <w:p w14:paraId="00374CA2">
      <w:pPr>
        <w:rPr>
          <w:rFonts w:hint="eastAsia"/>
          <w:color w:val="auto"/>
          <w:lang w:val="en-US" w:eastAsia="zh-CN"/>
        </w:rPr>
      </w:pPr>
      <w:r>
        <w:rPr>
          <w:rFonts w:hint="eastAsia"/>
          <w:color w:val="auto"/>
          <w:lang w:val="en-US" w:eastAsia="zh-CN"/>
        </w:rPr>
        <w:t>7. 渗流量监测：在初期坝坝脚渗流出水口处布设1个监测点。</w:t>
      </w:r>
    </w:p>
    <w:p w14:paraId="5620B427">
      <w:pPr>
        <w:rPr>
          <w:rFonts w:hint="eastAsia"/>
          <w:color w:val="auto"/>
          <w:lang w:val="en-US" w:eastAsia="zh-CN"/>
        </w:rPr>
      </w:pPr>
      <w:r>
        <w:rPr>
          <w:rFonts w:hint="eastAsia"/>
          <w:color w:val="auto"/>
          <w:lang w:val="en-US" w:eastAsia="zh-CN"/>
        </w:rPr>
        <w:t>8. 视频监控：在库内排水井、堆积坝、滩面、尾矿排放管以及废石堆附近等重要区域设置视频监控设施，共布设了4个视频监控点，基本覆盖整个库区。</w:t>
      </w:r>
    </w:p>
    <w:p w14:paraId="2E02D039">
      <w:pPr>
        <w:rPr>
          <w:rFonts w:hint="eastAsia"/>
          <w:color w:val="auto"/>
          <w:lang w:val="en-US" w:eastAsia="zh-CN"/>
        </w:rPr>
      </w:pPr>
      <w:r>
        <w:rPr>
          <w:rFonts w:hint="eastAsia"/>
          <w:color w:val="auto"/>
          <w:lang w:val="en-US" w:eastAsia="zh-CN"/>
        </w:rPr>
        <w:t>目前杨家店尾矿库在线监测系统运行正常有效、维护较好。</w:t>
      </w:r>
    </w:p>
    <w:p w14:paraId="3442246C">
      <w:pPr>
        <w:pStyle w:val="4"/>
        <w:bidi w:val="0"/>
        <w:rPr>
          <w:rFonts w:hint="default"/>
          <w:color w:val="auto"/>
          <w:lang w:val="en-US" w:eastAsia="zh-CN"/>
        </w:rPr>
      </w:pPr>
      <w:bookmarkStart w:id="109" w:name="_Toc11409"/>
      <w:r>
        <w:rPr>
          <w:rFonts w:hint="default"/>
          <w:color w:val="auto"/>
          <w:lang w:val="en-US" w:eastAsia="zh-CN"/>
        </w:rPr>
        <w:t>3.2.6</w:t>
      </w:r>
      <w:r>
        <w:rPr>
          <w:rFonts w:hint="eastAsia"/>
          <w:color w:val="auto"/>
          <w:lang w:val="en-US" w:eastAsia="zh-CN"/>
        </w:rPr>
        <w:t xml:space="preserve"> </w:t>
      </w:r>
      <w:r>
        <w:rPr>
          <w:rFonts w:hint="default"/>
          <w:color w:val="auto"/>
          <w:lang w:val="en-US" w:eastAsia="zh-CN"/>
        </w:rPr>
        <w:t>尾矿库辅助设施</w:t>
      </w:r>
      <w:bookmarkEnd w:id="109"/>
    </w:p>
    <w:p w14:paraId="60D054E6">
      <w:pPr>
        <w:rPr>
          <w:rFonts w:hint="default"/>
          <w:color w:val="auto"/>
          <w:lang w:val="en-US" w:eastAsia="zh-CN"/>
        </w:rPr>
      </w:pPr>
      <w:r>
        <w:rPr>
          <w:rFonts w:hint="default"/>
          <w:color w:val="auto"/>
          <w:lang w:val="en-US" w:eastAsia="zh-CN"/>
        </w:rPr>
        <w:t>1. 库区值班房、应急物资库：在杨家店尾矿库右侧山坡上设有浒坑钨矿尾矿库管理站，即为库区值班房，并设有应急物资库。安排尾矿工24h值守、巡查尾矿库，配有值班移动电话。应急物资库摆放有耙子、土箕、编织袋、土工布、土工膜、彩文布、塑料薄膜、木桩、尼龙绳、救生圈、救生衣、安全帽、雨衣、雨裤、冲锋舟、喊话器、应急柴油发电机、潜水泵等应急物资。</w:t>
      </w:r>
    </w:p>
    <w:p w14:paraId="2477BD66">
      <w:pPr>
        <w:rPr>
          <w:rFonts w:hint="default"/>
          <w:color w:val="auto"/>
          <w:lang w:val="en-US" w:eastAsia="zh-CN"/>
        </w:rPr>
      </w:pPr>
      <w:r>
        <w:rPr>
          <w:rFonts w:hint="default"/>
          <w:color w:val="auto"/>
          <w:lang w:val="en-US" w:eastAsia="zh-CN"/>
        </w:rPr>
        <w:t>2. 通讯设施：利用移动电话联系，通信可靠性能得到保障。值班室张贴有内部联系电话表。</w:t>
      </w:r>
    </w:p>
    <w:p w14:paraId="4ED13631">
      <w:pPr>
        <w:rPr>
          <w:rFonts w:hint="default"/>
          <w:color w:val="auto"/>
          <w:lang w:val="en-US" w:eastAsia="zh-CN"/>
        </w:rPr>
      </w:pPr>
      <w:r>
        <w:rPr>
          <w:rFonts w:hint="default"/>
          <w:color w:val="auto"/>
          <w:lang w:val="en-US" w:eastAsia="zh-CN"/>
        </w:rPr>
        <w:t>3. 坝上照明</w:t>
      </w:r>
      <w:r>
        <w:rPr>
          <w:rFonts w:hint="eastAsia"/>
          <w:color w:val="auto"/>
          <w:lang w:val="en-US" w:eastAsia="zh-CN"/>
        </w:rPr>
        <w:t>：</w:t>
      </w:r>
      <w:r>
        <w:rPr>
          <w:rFonts w:hint="default"/>
          <w:color w:val="auto"/>
          <w:lang w:val="en-US" w:eastAsia="zh-CN"/>
        </w:rPr>
        <w:t>在尾矿堆积坝+282.22m平台、+292m高程坝顶上以及排水井上安装有照明设施，值班室配有移动照明，以满足夜间检查、监测和应急救援的需要。</w:t>
      </w:r>
    </w:p>
    <w:p w14:paraId="36BA2C5F">
      <w:pPr>
        <w:rPr>
          <w:rFonts w:hint="default"/>
          <w:color w:val="auto"/>
          <w:lang w:val="en-US" w:eastAsia="zh-CN"/>
        </w:rPr>
      </w:pPr>
      <w:r>
        <w:rPr>
          <w:rFonts w:hint="default"/>
          <w:color w:val="auto"/>
          <w:lang w:val="en-US" w:eastAsia="zh-CN"/>
        </w:rPr>
        <w:t>4. 上坝道路：有直通尾矿坝、排水井和排水隧洞出水口等处的库区道路，可通车，便于人员出入尾矿库，满足尾矿库管理需要。</w:t>
      </w:r>
    </w:p>
    <w:p w14:paraId="395D84A5">
      <w:pPr>
        <w:rPr>
          <w:rFonts w:hint="default"/>
          <w:b w:val="0"/>
          <w:bCs w:val="0"/>
          <w:color w:val="auto"/>
          <w:lang w:val="en-US" w:eastAsia="zh-CN"/>
        </w:rPr>
      </w:pPr>
      <w:r>
        <w:rPr>
          <w:rFonts w:hint="eastAsia"/>
          <w:b w:val="0"/>
          <w:bCs w:val="0"/>
          <w:color w:val="auto"/>
          <w:lang w:val="en-US" w:eastAsia="zh-CN"/>
        </w:rPr>
        <w:t>5</w:t>
      </w:r>
      <w:r>
        <w:rPr>
          <w:rFonts w:hint="default"/>
          <w:b w:val="0"/>
          <w:bCs w:val="0"/>
          <w:color w:val="auto"/>
          <w:lang w:val="en-US" w:eastAsia="zh-CN"/>
        </w:rPr>
        <w:t xml:space="preserve">. </w:t>
      </w:r>
      <w:r>
        <w:rPr>
          <w:rFonts w:hint="eastAsia"/>
          <w:b w:val="0"/>
          <w:bCs w:val="0"/>
          <w:color w:val="auto"/>
          <w:lang w:val="en-US" w:eastAsia="zh-CN"/>
        </w:rPr>
        <w:t>应急广播：应矿山安全监察局要求，企业设置了应急广播，位于矿山调度室旁和一公里（地名）处。</w:t>
      </w:r>
    </w:p>
    <w:p w14:paraId="397D08CC">
      <w:pPr>
        <w:rPr>
          <w:rFonts w:hint="default"/>
          <w:color w:val="auto"/>
          <w:lang w:val="en-US" w:eastAsia="zh-CN"/>
        </w:rPr>
      </w:pPr>
      <w:r>
        <w:rPr>
          <w:rFonts w:hint="eastAsia"/>
          <w:color w:val="auto"/>
          <w:lang w:val="en-US" w:eastAsia="zh-CN"/>
        </w:rPr>
        <w:t>6</w:t>
      </w:r>
      <w:r>
        <w:rPr>
          <w:rFonts w:hint="default"/>
          <w:color w:val="auto"/>
          <w:lang w:val="en-US" w:eastAsia="zh-CN"/>
        </w:rPr>
        <w:t>. 尾矿库供电由矿山总变电所架设一条6kV高压线路到尾矿库变电房，安装变压器一台，型号为S</w:t>
      </w:r>
      <w:r>
        <w:rPr>
          <w:rFonts w:hint="default"/>
          <w:color w:val="auto"/>
          <w:vertAlign w:val="subscript"/>
          <w:lang w:val="en-US" w:eastAsia="zh-CN"/>
        </w:rPr>
        <w:t>11</w:t>
      </w:r>
      <w:r>
        <w:rPr>
          <w:rFonts w:hint="default"/>
          <w:color w:val="auto"/>
          <w:lang w:val="en-US" w:eastAsia="zh-CN"/>
        </w:rPr>
        <w:t>-M-315-6.3/0.4，容量为315kVA，专供尾矿库库区生产、照明、应急供电。</w:t>
      </w:r>
    </w:p>
    <w:p w14:paraId="51065861">
      <w:pPr>
        <w:rPr>
          <w:rFonts w:hint="default"/>
          <w:color w:val="auto"/>
          <w:lang w:val="en-US" w:eastAsia="zh-CN"/>
        </w:rPr>
      </w:pPr>
      <w:r>
        <w:rPr>
          <w:rFonts w:hint="eastAsia"/>
          <w:color w:val="auto"/>
          <w:lang w:val="en-US" w:eastAsia="zh-CN"/>
        </w:rPr>
        <w:t>7</w:t>
      </w:r>
      <w:r>
        <w:rPr>
          <w:rFonts w:hint="default"/>
          <w:color w:val="auto"/>
          <w:lang w:val="en-US" w:eastAsia="zh-CN"/>
        </w:rPr>
        <w:t>. 在杨家店尾矿库入库显眼处树立有尾矿库安全运行牌、安全警示牌、</w:t>
      </w:r>
      <w:r>
        <w:rPr>
          <w:rFonts w:hint="eastAsia"/>
          <w:color w:val="auto"/>
          <w:lang w:val="en-US" w:eastAsia="zh-CN"/>
        </w:rPr>
        <w:t>“</w:t>
      </w:r>
      <w:r>
        <w:rPr>
          <w:rFonts w:hint="default"/>
          <w:color w:val="auto"/>
          <w:lang w:val="en-US" w:eastAsia="zh-CN"/>
        </w:rPr>
        <w:t>一图一牌三清单</w:t>
      </w:r>
      <w:r>
        <w:rPr>
          <w:rFonts w:hint="eastAsia"/>
          <w:color w:val="auto"/>
          <w:lang w:val="en-US" w:eastAsia="zh-CN"/>
        </w:rPr>
        <w:t>”</w:t>
      </w:r>
      <w:r>
        <w:rPr>
          <w:rFonts w:hint="default"/>
          <w:color w:val="auto"/>
          <w:lang w:val="en-US" w:eastAsia="zh-CN"/>
        </w:rPr>
        <w:t>，在尾矿坝、积水区附近、出入排水井路口、排水隧洞出水口等处设立有安全警示牌。</w:t>
      </w:r>
    </w:p>
    <w:p w14:paraId="63AE2191">
      <w:pPr>
        <w:pStyle w:val="4"/>
        <w:bidi w:val="0"/>
        <w:rPr>
          <w:rFonts w:hint="default"/>
          <w:color w:val="auto"/>
          <w:lang w:val="en-US" w:eastAsia="zh-CN"/>
        </w:rPr>
      </w:pPr>
      <w:bookmarkStart w:id="110" w:name="_Toc1980"/>
      <w:r>
        <w:rPr>
          <w:rFonts w:hint="eastAsia"/>
          <w:color w:val="auto"/>
          <w:lang w:val="en-US" w:eastAsia="zh-CN"/>
        </w:rPr>
        <w:t xml:space="preserve">3.2.7 </w:t>
      </w:r>
      <w:r>
        <w:rPr>
          <w:rFonts w:hint="default"/>
          <w:color w:val="auto"/>
          <w:lang w:val="en-US" w:eastAsia="zh-CN"/>
        </w:rPr>
        <w:t>放矿工艺</w:t>
      </w:r>
      <w:bookmarkEnd w:id="110"/>
    </w:p>
    <w:p w14:paraId="7B35ABA4">
      <w:pPr>
        <w:rPr>
          <w:rFonts w:hint="default"/>
          <w:color w:val="auto"/>
          <w:lang w:val="en-US" w:eastAsia="zh-CN"/>
        </w:rPr>
      </w:pPr>
      <w:r>
        <w:rPr>
          <w:rFonts w:hint="default"/>
          <w:color w:val="auto"/>
          <w:lang w:val="en-US" w:eastAsia="zh-CN"/>
        </w:rPr>
        <w:t>浒坑钨业选矿车间选矿工艺没发生变化。杨家店尾矿库尾矿输送采用砂泵经两条DN325mm、内衬高分子聚乙烯钢管扬送至尾矿堆积坝坝顶，再沿内坡面多条DN150mm分散放矿支管伸入沉积滩面放矿，防止尾矿浆冲刷内坡脚，做到了分散、均匀放矿。</w:t>
      </w:r>
    </w:p>
    <w:p w14:paraId="1BB080AF">
      <w:pPr>
        <w:rPr>
          <w:rFonts w:hint="default"/>
          <w:color w:val="auto"/>
          <w:lang w:val="en-US" w:eastAsia="zh-CN"/>
        </w:rPr>
      </w:pPr>
      <w:r>
        <w:rPr>
          <w:rFonts w:hint="default"/>
          <w:color w:val="auto"/>
          <w:lang w:val="en-US" w:eastAsia="zh-CN"/>
        </w:rPr>
        <w:br w:type="page"/>
      </w:r>
    </w:p>
    <w:p w14:paraId="20B61161">
      <w:pPr>
        <w:pStyle w:val="2"/>
        <w:numPr>
          <w:ilvl w:val="0"/>
          <w:numId w:val="2"/>
        </w:numPr>
        <w:bidi w:val="0"/>
        <w:ind w:left="0" w:leftChars="0" w:firstLine="0" w:firstLineChars="0"/>
        <w:rPr>
          <w:rFonts w:hint="default" w:ascii="Times New Roman" w:hAnsi="Times New Roman" w:cs="Times New Roman"/>
          <w:color w:val="auto"/>
          <w:lang w:val="en-US" w:eastAsia="zh-CN"/>
        </w:rPr>
      </w:pPr>
      <w:bookmarkStart w:id="111" w:name="_Toc15331"/>
      <w:r>
        <w:rPr>
          <w:rFonts w:hint="default" w:ascii="Times New Roman" w:hAnsi="Times New Roman" w:cs="Times New Roman"/>
          <w:color w:val="auto"/>
          <w:lang w:val="en-US" w:eastAsia="zh-CN"/>
        </w:rPr>
        <w:t>安全评估</w:t>
      </w:r>
      <w:bookmarkEnd w:id="111"/>
    </w:p>
    <w:p w14:paraId="41012FA7">
      <w:pPr>
        <w:rPr>
          <w:rFonts w:hint="default"/>
          <w:color w:val="auto"/>
          <w:lang w:val="en-US" w:eastAsia="zh-CN"/>
        </w:rPr>
      </w:pPr>
      <w:r>
        <w:rPr>
          <w:rFonts w:hint="default"/>
          <w:color w:val="auto"/>
          <w:lang w:val="en-US" w:eastAsia="zh-CN"/>
        </w:rPr>
        <w:t>考虑杨家店尾矿库的实际情况，划分为以下三个安全评估单元：</w:t>
      </w:r>
    </w:p>
    <w:p w14:paraId="7F4D196E">
      <w:pPr>
        <w:rPr>
          <w:rFonts w:hint="default"/>
          <w:color w:val="auto"/>
          <w:lang w:val="en-US" w:eastAsia="zh-CN"/>
        </w:rPr>
      </w:pPr>
      <w:r>
        <w:rPr>
          <w:rFonts w:hint="default"/>
          <w:color w:val="auto"/>
          <w:lang w:val="en-US" w:eastAsia="zh-CN"/>
        </w:rPr>
        <w:t>（1）安全管理单元；</w:t>
      </w:r>
    </w:p>
    <w:p w14:paraId="22FD5918">
      <w:pPr>
        <w:rPr>
          <w:rFonts w:hint="default"/>
          <w:color w:val="auto"/>
          <w:lang w:val="en-US" w:eastAsia="zh-CN"/>
        </w:rPr>
      </w:pPr>
      <w:r>
        <w:rPr>
          <w:rFonts w:hint="default"/>
          <w:color w:val="auto"/>
          <w:lang w:val="en-US" w:eastAsia="zh-CN"/>
        </w:rPr>
        <w:t>（2）尾矿库安全设施单元；</w:t>
      </w:r>
    </w:p>
    <w:p w14:paraId="1719797E">
      <w:pPr>
        <w:rPr>
          <w:rFonts w:hint="default"/>
          <w:color w:val="auto"/>
          <w:lang w:val="en-US" w:eastAsia="zh-CN"/>
        </w:rPr>
      </w:pPr>
      <w:r>
        <w:rPr>
          <w:rFonts w:hint="default"/>
          <w:color w:val="auto"/>
          <w:lang w:val="en-US" w:eastAsia="zh-CN"/>
        </w:rPr>
        <w:t>（3）尾矿库安全运行单元。</w:t>
      </w:r>
    </w:p>
    <w:p w14:paraId="13D239BB">
      <w:pPr>
        <w:rPr>
          <w:rFonts w:hint="default"/>
          <w:color w:val="auto"/>
          <w:lang w:val="en-US" w:eastAsia="zh-CN"/>
        </w:rPr>
      </w:pPr>
      <w:r>
        <w:rPr>
          <w:rFonts w:hint="default"/>
          <w:color w:val="auto"/>
          <w:lang w:val="en-US" w:eastAsia="zh-CN"/>
        </w:rPr>
        <w:t>其中安全管理单元、尾矿库安全运行单元主要运用安全检查表进行安全评估，尾矿库安全设施单元除运用尾矿库安全检查表进行安全评估外，还采用尾矿坝稳定性分析、尾矿库洪水计算进行安全评估。</w:t>
      </w:r>
    </w:p>
    <w:p w14:paraId="3ED971EC">
      <w:pPr>
        <w:pStyle w:val="3"/>
        <w:bidi w:val="0"/>
        <w:rPr>
          <w:rFonts w:hint="default"/>
          <w:color w:val="auto"/>
          <w:lang w:val="en-US" w:eastAsia="zh-CN"/>
        </w:rPr>
      </w:pPr>
      <w:bookmarkStart w:id="112" w:name="_Toc18219"/>
      <w:r>
        <w:rPr>
          <w:rFonts w:hint="default"/>
          <w:color w:val="auto"/>
          <w:lang w:val="en-US" w:eastAsia="zh-CN"/>
        </w:rPr>
        <w:t>4.1</w:t>
      </w:r>
      <w:r>
        <w:rPr>
          <w:rFonts w:hint="eastAsia"/>
          <w:color w:val="auto"/>
          <w:lang w:val="en-US" w:eastAsia="zh-CN"/>
        </w:rPr>
        <w:t xml:space="preserve"> </w:t>
      </w:r>
      <w:r>
        <w:rPr>
          <w:rFonts w:hint="default"/>
          <w:color w:val="auto"/>
          <w:lang w:val="en-US" w:eastAsia="zh-CN"/>
        </w:rPr>
        <w:t>安全管理单元</w:t>
      </w:r>
      <w:bookmarkEnd w:id="112"/>
    </w:p>
    <w:p w14:paraId="711791AE">
      <w:pPr>
        <w:pStyle w:val="4"/>
        <w:bidi w:val="0"/>
        <w:rPr>
          <w:rFonts w:hint="default"/>
          <w:color w:val="auto"/>
          <w:lang w:val="en-US" w:eastAsia="zh-CN"/>
        </w:rPr>
      </w:pPr>
      <w:bookmarkStart w:id="113" w:name="_Toc1037"/>
      <w:r>
        <w:rPr>
          <w:rFonts w:hint="default"/>
          <w:color w:val="auto"/>
          <w:lang w:val="en-US" w:eastAsia="zh-CN"/>
        </w:rPr>
        <w:t>4.1.1</w:t>
      </w:r>
      <w:r>
        <w:rPr>
          <w:rFonts w:hint="eastAsia"/>
          <w:color w:val="auto"/>
          <w:lang w:val="en-US" w:eastAsia="zh-CN"/>
        </w:rPr>
        <w:t xml:space="preserve"> </w:t>
      </w:r>
      <w:r>
        <w:rPr>
          <w:rFonts w:hint="default"/>
          <w:color w:val="auto"/>
          <w:lang w:val="en-US" w:eastAsia="zh-CN"/>
        </w:rPr>
        <w:t>安全检查表评估</w:t>
      </w:r>
      <w:bookmarkEnd w:id="113"/>
    </w:p>
    <w:p w14:paraId="7B9F0941">
      <w:pPr>
        <w:rPr>
          <w:rFonts w:hint="default"/>
          <w:color w:val="auto"/>
          <w:lang w:val="en-US" w:eastAsia="zh-CN"/>
        </w:rPr>
      </w:pPr>
      <w:r>
        <w:rPr>
          <w:rFonts w:hint="default"/>
          <w:color w:val="auto"/>
          <w:lang w:val="en-US" w:eastAsia="zh-CN"/>
        </w:rPr>
        <w:t>运用《尾矿库安全管理评估检查表》，对杨家店尾矿库整个系统的安全管理单元进行评判，具体情况如表4</w:t>
      </w:r>
      <w:r>
        <w:rPr>
          <w:rFonts w:hint="eastAsia"/>
          <w:color w:val="auto"/>
          <w:lang w:val="en-US" w:eastAsia="zh-CN"/>
        </w:rPr>
        <w:t>.1</w:t>
      </w:r>
      <w:r>
        <w:rPr>
          <w:rFonts w:hint="default"/>
          <w:color w:val="auto"/>
          <w:lang w:val="en-US" w:eastAsia="zh-CN"/>
        </w:rPr>
        <w:t>-1所示。</w:t>
      </w:r>
    </w:p>
    <w:p w14:paraId="72B5BEF0">
      <w:pPr>
        <w:ind w:left="0" w:leftChars="0" w:firstLine="0" w:firstLineChars="0"/>
        <w:jc w:val="center"/>
        <w:rPr>
          <w:rFonts w:hint="default"/>
          <w:color w:val="auto"/>
          <w:lang w:val="en-US" w:eastAsia="zh-CN"/>
        </w:rPr>
      </w:pPr>
      <w:r>
        <w:rPr>
          <w:rFonts w:hint="default"/>
          <w:color w:val="auto"/>
          <w:lang w:val="en-US" w:eastAsia="zh-CN"/>
        </w:rPr>
        <w:t>表4</w:t>
      </w:r>
      <w:r>
        <w:rPr>
          <w:rFonts w:hint="eastAsia"/>
          <w:color w:val="auto"/>
          <w:lang w:val="en-US" w:eastAsia="zh-CN"/>
        </w:rPr>
        <w:t>.1</w:t>
      </w:r>
      <w:r>
        <w:rPr>
          <w:rFonts w:hint="default"/>
          <w:color w:val="auto"/>
          <w:lang w:val="en-US" w:eastAsia="zh-CN"/>
        </w:rPr>
        <w:t>-1 综合安全管理单元安全检查表</w:t>
      </w:r>
    </w:p>
    <w:tbl>
      <w:tblPr>
        <w:tblStyle w:val="19"/>
        <w:tblW w:w="502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518"/>
        <w:gridCol w:w="1023"/>
        <w:gridCol w:w="3167"/>
        <w:gridCol w:w="2159"/>
        <w:gridCol w:w="1710"/>
        <w:gridCol w:w="16"/>
        <w:gridCol w:w="537"/>
      </w:tblGrid>
      <w:tr w14:paraId="7CF52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33" w:hRule="atLeast"/>
          <w:jc w:val="center"/>
        </w:trPr>
        <w:tc>
          <w:tcPr>
            <w:tcW w:w="284" w:type="pct"/>
            <w:noWrap w:val="0"/>
            <w:vAlign w:val="center"/>
          </w:tcPr>
          <w:p w14:paraId="75C734F2">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bCs/>
                <w:color w:val="auto"/>
                <w:kern w:val="0"/>
                <w:sz w:val="21"/>
                <w:szCs w:val="21"/>
                <w:lang w:val="zh-CN"/>
              </w:rPr>
            </w:pPr>
            <w:r>
              <w:rPr>
                <w:rFonts w:hint="eastAsia" w:ascii="Times New Roman" w:hAnsi="Times New Roman" w:eastAsia="宋体" w:cs="Times New Roman"/>
                <w:bCs/>
                <w:color w:val="auto"/>
                <w:kern w:val="0"/>
                <w:sz w:val="21"/>
                <w:szCs w:val="21"/>
                <w:lang w:val="zh-CN"/>
              </w:rPr>
              <w:t>序号</w:t>
            </w:r>
          </w:p>
        </w:tc>
        <w:tc>
          <w:tcPr>
            <w:tcW w:w="560" w:type="pct"/>
            <w:noWrap w:val="0"/>
            <w:vAlign w:val="center"/>
          </w:tcPr>
          <w:p w14:paraId="05FE8A32">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ascii="Times New Roman" w:hAnsi="Times New Roman" w:eastAsia="宋体" w:cs="Times New Roman"/>
                <w:bCs/>
                <w:color w:val="auto"/>
                <w:kern w:val="0"/>
                <w:sz w:val="21"/>
                <w:szCs w:val="21"/>
                <w:lang w:val="zh-CN"/>
              </w:rPr>
            </w:pPr>
            <w:r>
              <w:rPr>
                <w:rFonts w:ascii="Times New Roman" w:hAnsi="Times New Roman" w:eastAsia="宋体" w:cs="Times New Roman"/>
                <w:bCs/>
                <w:color w:val="auto"/>
                <w:kern w:val="0"/>
                <w:sz w:val="21"/>
                <w:szCs w:val="21"/>
                <w:lang w:val="zh-CN"/>
              </w:rPr>
              <w:t>项目</w:t>
            </w:r>
          </w:p>
        </w:tc>
        <w:tc>
          <w:tcPr>
            <w:tcW w:w="1734" w:type="pct"/>
            <w:noWrap w:val="0"/>
            <w:vAlign w:val="center"/>
          </w:tcPr>
          <w:p w14:paraId="5AD193BD">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ascii="Times New Roman" w:hAnsi="Times New Roman" w:eastAsia="宋体" w:cs="Times New Roman"/>
                <w:bCs/>
                <w:color w:val="auto"/>
                <w:kern w:val="0"/>
                <w:sz w:val="21"/>
                <w:szCs w:val="21"/>
                <w:lang w:val="zh-CN"/>
              </w:rPr>
            </w:pPr>
            <w:r>
              <w:rPr>
                <w:rFonts w:ascii="Times New Roman" w:hAnsi="Times New Roman" w:eastAsia="宋体" w:cs="Times New Roman"/>
                <w:bCs/>
                <w:color w:val="auto"/>
                <w:spacing w:val="4"/>
                <w:kern w:val="0"/>
                <w:sz w:val="21"/>
                <w:szCs w:val="21"/>
              </w:rPr>
              <w:t>检查内容</w:t>
            </w:r>
          </w:p>
        </w:tc>
        <w:tc>
          <w:tcPr>
            <w:tcW w:w="1182" w:type="pct"/>
            <w:noWrap w:val="0"/>
            <w:vAlign w:val="center"/>
          </w:tcPr>
          <w:p w14:paraId="24052B05">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ascii="Times New Roman" w:hAnsi="Times New Roman" w:eastAsia="宋体" w:cs="Times New Roman"/>
                <w:bCs/>
                <w:color w:val="auto"/>
                <w:kern w:val="0"/>
                <w:sz w:val="21"/>
                <w:szCs w:val="21"/>
                <w:lang w:val="zh-CN"/>
              </w:rPr>
            </w:pPr>
            <w:r>
              <w:rPr>
                <w:rFonts w:ascii="Times New Roman" w:hAnsi="Times New Roman" w:eastAsia="宋体" w:cs="Times New Roman"/>
                <w:bCs/>
                <w:color w:val="auto"/>
                <w:sz w:val="21"/>
                <w:szCs w:val="21"/>
              </w:rPr>
              <w:t>检查依据</w:t>
            </w:r>
          </w:p>
        </w:tc>
        <w:tc>
          <w:tcPr>
            <w:tcW w:w="936" w:type="pct"/>
            <w:noWrap w:val="0"/>
            <w:vAlign w:val="center"/>
          </w:tcPr>
          <w:p w14:paraId="71FF771D">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bCs/>
                <w:color w:val="auto"/>
                <w:kern w:val="0"/>
                <w:sz w:val="21"/>
                <w:szCs w:val="21"/>
                <w:lang w:val="zh-CN"/>
              </w:rPr>
            </w:pPr>
            <w:r>
              <w:rPr>
                <w:rFonts w:hint="eastAsia" w:ascii="Times New Roman" w:hAnsi="Times New Roman" w:eastAsia="宋体" w:cs="Times New Roman"/>
                <w:bCs/>
                <w:color w:val="auto"/>
                <w:kern w:val="0"/>
                <w:sz w:val="21"/>
                <w:szCs w:val="21"/>
                <w:lang w:val="zh-CN"/>
              </w:rPr>
              <w:t>检查结果</w:t>
            </w:r>
          </w:p>
        </w:tc>
        <w:tc>
          <w:tcPr>
            <w:tcW w:w="302" w:type="pct"/>
            <w:gridSpan w:val="2"/>
            <w:noWrap w:val="0"/>
            <w:vAlign w:val="center"/>
          </w:tcPr>
          <w:p w14:paraId="39398B0B">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bCs/>
                <w:color w:val="auto"/>
                <w:kern w:val="0"/>
                <w:sz w:val="21"/>
                <w:szCs w:val="21"/>
                <w:lang w:val="zh-CN"/>
              </w:rPr>
            </w:pPr>
            <w:r>
              <w:rPr>
                <w:rFonts w:hint="eastAsia" w:ascii="Times New Roman" w:hAnsi="Times New Roman" w:eastAsia="宋体" w:cs="Times New Roman"/>
                <w:bCs/>
                <w:color w:val="auto"/>
                <w:kern w:val="0"/>
                <w:sz w:val="21"/>
                <w:szCs w:val="21"/>
                <w:lang w:val="zh-CN"/>
              </w:rPr>
              <w:t>结论</w:t>
            </w:r>
          </w:p>
        </w:tc>
      </w:tr>
      <w:tr w14:paraId="2DC12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94" w:hRule="atLeast"/>
          <w:jc w:val="center"/>
        </w:trPr>
        <w:tc>
          <w:tcPr>
            <w:tcW w:w="284" w:type="pct"/>
            <w:vMerge w:val="restart"/>
            <w:noWrap w:val="0"/>
            <w:vAlign w:val="center"/>
          </w:tcPr>
          <w:p w14:paraId="536DF119">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kern w:val="0"/>
                <w:sz w:val="21"/>
                <w:szCs w:val="21"/>
                <w:lang w:val="zh-CN"/>
              </w:rPr>
              <w:t>1</w:t>
            </w:r>
          </w:p>
        </w:tc>
        <w:tc>
          <w:tcPr>
            <w:tcW w:w="560" w:type="pct"/>
            <w:vMerge w:val="restart"/>
            <w:noWrap w:val="0"/>
            <w:vAlign w:val="center"/>
          </w:tcPr>
          <w:p w14:paraId="4D3BBEB2">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kern w:val="0"/>
                <w:sz w:val="21"/>
                <w:szCs w:val="21"/>
                <w:lang w:val="zh-CN"/>
              </w:rPr>
              <w:t>合法性</w:t>
            </w:r>
          </w:p>
        </w:tc>
        <w:tc>
          <w:tcPr>
            <w:tcW w:w="1734" w:type="pct"/>
            <w:noWrap w:val="0"/>
            <w:vAlign w:val="center"/>
          </w:tcPr>
          <w:p w14:paraId="4321D2FF">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kern w:val="0"/>
                <w:sz w:val="21"/>
                <w:szCs w:val="21"/>
                <w:lang w:val="zh-CN"/>
              </w:rPr>
              <w:t>生产尾矿库具有</w:t>
            </w:r>
            <w:r>
              <w:rPr>
                <w:rFonts w:ascii="Times New Roman" w:hAnsi="Times New Roman" w:eastAsia="宋体" w:cs="Times New Roman"/>
                <w:color w:val="auto"/>
                <w:kern w:val="0"/>
                <w:sz w:val="21"/>
                <w:szCs w:val="21"/>
                <w:lang w:val="zh-CN"/>
              </w:rPr>
              <w:t>安全生产许可证</w:t>
            </w:r>
            <w:r>
              <w:rPr>
                <w:rFonts w:hint="eastAsia" w:ascii="Times New Roman" w:hAnsi="Times New Roman" w:eastAsia="宋体" w:cs="Times New Roman"/>
                <w:color w:val="auto"/>
                <w:kern w:val="0"/>
                <w:sz w:val="21"/>
                <w:szCs w:val="21"/>
                <w:lang w:val="zh-CN"/>
              </w:rPr>
              <w:t>，并在</w:t>
            </w:r>
            <w:r>
              <w:rPr>
                <w:rFonts w:ascii="Times New Roman" w:hAnsi="Times New Roman" w:eastAsia="宋体" w:cs="Times New Roman"/>
                <w:color w:val="auto"/>
                <w:kern w:val="0"/>
                <w:sz w:val="21"/>
                <w:szCs w:val="21"/>
                <w:lang w:val="zh-CN"/>
              </w:rPr>
              <w:t>有效</w:t>
            </w:r>
            <w:r>
              <w:rPr>
                <w:rFonts w:hint="eastAsia" w:ascii="Times New Roman" w:hAnsi="Times New Roman" w:eastAsia="宋体" w:cs="Times New Roman"/>
                <w:color w:val="auto"/>
                <w:kern w:val="0"/>
                <w:sz w:val="21"/>
                <w:szCs w:val="21"/>
                <w:lang w:val="zh-CN"/>
              </w:rPr>
              <w:t>期内</w:t>
            </w:r>
            <w:r>
              <w:rPr>
                <w:rFonts w:ascii="Times New Roman" w:hAnsi="Times New Roman" w:eastAsia="宋体" w:cs="Times New Roman"/>
                <w:bCs/>
                <w:color w:val="auto"/>
                <w:kern w:val="0"/>
                <w:sz w:val="21"/>
                <w:szCs w:val="21"/>
                <w:lang w:val="zh-CN"/>
              </w:rPr>
              <w:t>。</w:t>
            </w:r>
          </w:p>
        </w:tc>
        <w:tc>
          <w:tcPr>
            <w:tcW w:w="1182" w:type="pct"/>
            <w:noWrap w:val="0"/>
            <w:vAlign w:val="center"/>
          </w:tcPr>
          <w:p w14:paraId="017BD27A">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ascii="Times New Roman" w:hAnsi="Times New Roman" w:eastAsia="宋体" w:cs="Times New Roman"/>
                <w:color w:val="auto"/>
                <w:kern w:val="0"/>
                <w:sz w:val="21"/>
                <w:szCs w:val="21"/>
                <w:lang w:val="zh-CN"/>
              </w:rPr>
            </w:pPr>
            <w:r>
              <w:rPr>
                <w:rFonts w:ascii="Times New Roman" w:hAnsi="Times New Roman" w:eastAsia="宋体" w:cs="Times New Roman"/>
                <w:color w:val="auto"/>
                <w:kern w:val="0"/>
                <w:sz w:val="21"/>
                <w:szCs w:val="21"/>
                <w:lang w:val="zh-CN"/>
              </w:rPr>
              <w:t>《</w:t>
            </w:r>
            <w:r>
              <w:rPr>
                <w:rFonts w:hint="eastAsia" w:ascii="Times New Roman" w:hAnsi="Times New Roman" w:eastAsia="宋体" w:cs="Times New Roman"/>
                <w:color w:val="auto"/>
                <w:kern w:val="0"/>
                <w:sz w:val="21"/>
                <w:szCs w:val="21"/>
                <w:lang w:val="zh-CN"/>
              </w:rPr>
              <w:t>非煤矿矿山企业</w:t>
            </w:r>
            <w:r>
              <w:rPr>
                <w:rFonts w:ascii="Times New Roman" w:hAnsi="Times New Roman" w:eastAsia="宋体" w:cs="Times New Roman"/>
                <w:color w:val="auto"/>
                <w:kern w:val="0"/>
                <w:sz w:val="21"/>
                <w:szCs w:val="21"/>
                <w:lang w:val="zh-CN"/>
              </w:rPr>
              <w:t>安全生产许可证</w:t>
            </w:r>
            <w:r>
              <w:rPr>
                <w:rFonts w:hint="eastAsia" w:ascii="Times New Roman" w:hAnsi="Times New Roman" w:eastAsia="宋体" w:cs="Times New Roman"/>
                <w:color w:val="auto"/>
                <w:kern w:val="0"/>
                <w:sz w:val="21"/>
                <w:szCs w:val="21"/>
                <w:lang w:val="zh-CN"/>
              </w:rPr>
              <w:t>实施办法</w:t>
            </w:r>
            <w:r>
              <w:rPr>
                <w:rFonts w:ascii="Times New Roman" w:hAnsi="Times New Roman" w:eastAsia="宋体" w:cs="Times New Roman"/>
                <w:color w:val="auto"/>
                <w:kern w:val="0"/>
                <w:sz w:val="21"/>
                <w:szCs w:val="21"/>
                <w:lang w:val="zh-CN"/>
              </w:rPr>
              <w:t>》</w:t>
            </w:r>
            <w:r>
              <w:rPr>
                <w:rFonts w:hint="eastAsia" w:ascii="Times New Roman" w:hAnsi="Times New Roman" w:eastAsia="宋体" w:cs="Times New Roman"/>
                <w:color w:val="auto"/>
                <w:kern w:val="0"/>
                <w:sz w:val="21"/>
                <w:szCs w:val="21"/>
                <w:lang w:val="zh-CN"/>
              </w:rPr>
              <w:t>（安监总局78号令修订）</w:t>
            </w:r>
            <w:r>
              <w:rPr>
                <w:rFonts w:ascii="Times New Roman" w:hAnsi="Times New Roman" w:eastAsia="宋体" w:cs="Times New Roman"/>
                <w:color w:val="auto"/>
                <w:kern w:val="0"/>
                <w:sz w:val="21"/>
                <w:szCs w:val="21"/>
                <w:lang w:val="zh-CN"/>
              </w:rPr>
              <w:t>第二条</w:t>
            </w:r>
          </w:p>
        </w:tc>
        <w:tc>
          <w:tcPr>
            <w:tcW w:w="936" w:type="pct"/>
            <w:noWrap w:val="0"/>
            <w:vAlign w:val="center"/>
          </w:tcPr>
          <w:p w14:paraId="69242EAD">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bCs/>
                <w:color w:val="auto"/>
                <w:kern w:val="0"/>
                <w:sz w:val="21"/>
                <w:szCs w:val="21"/>
                <w:lang w:val="zh-CN"/>
              </w:rPr>
            </w:pPr>
            <w:r>
              <w:rPr>
                <w:rFonts w:hint="eastAsia" w:ascii="Times New Roman" w:hAnsi="Times New Roman" w:eastAsia="宋体" w:cs="Times New Roman"/>
                <w:bCs/>
                <w:color w:val="auto"/>
                <w:kern w:val="0"/>
                <w:sz w:val="21"/>
                <w:szCs w:val="21"/>
                <w:lang w:val="zh-CN"/>
              </w:rPr>
              <w:t>有尾矿库安全生产许可证，且在有效期内。</w:t>
            </w:r>
          </w:p>
        </w:tc>
        <w:tc>
          <w:tcPr>
            <w:tcW w:w="302" w:type="pct"/>
            <w:gridSpan w:val="2"/>
            <w:noWrap w:val="0"/>
            <w:vAlign w:val="center"/>
          </w:tcPr>
          <w:p w14:paraId="5B9DD2CA">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kern w:val="0"/>
                <w:sz w:val="21"/>
                <w:szCs w:val="21"/>
                <w:lang w:val="zh-CN"/>
              </w:rPr>
              <w:t>符合</w:t>
            </w:r>
          </w:p>
        </w:tc>
      </w:tr>
      <w:tr w14:paraId="33F4D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13" w:hRule="atLeast"/>
          <w:jc w:val="center"/>
        </w:trPr>
        <w:tc>
          <w:tcPr>
            <w:tcW w:w="284" w:type="pct"/>
            <w:vMerge w:val="continue"/>
            <w:noWrap w:val="0"/>
            <w:vAlign w:val="center"/>
          </w:tcPr>
          <w:p w14:paraId="608B563D">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p>
        </w:tc>
        <w:tc>
          <w:tcPr>
            <w:tcW w:w="560" w:type="pct"/>
            <w:vMerge w:val="continue"/>
            <w:noWrap w:val="0"/>
            <w:vAlign w:val="center"/>
          </w:tcPr>
          <w:p w14:paraId="31C8A4DF">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ascii="Times New Roman" w:hAnsi="Times New Roman" w:eastAsia="宋体" w:cs="Times New Roman"/>
                <w:color w:val="auto"/>
                <w:kern w:val="0"/>
                <w:sz w:val="21"/>
                <w:szCs w:val="21"/>
                <w:lang w:val="zh-CN"/>
              </w:rPr>
            </w:pPr>
          </w:p>
        </w:tc>
        <w:tc>
          <w:tcPr>
            <w:tcW w:w="1734" w:type="pct"/>
            <w:noWrap w:val="0"/>
            <w:vAlign w:val="center"/>
          </w:tcPr>
          <w:p w14:paraId="3E0530D1">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kern w:val="0"/>
                <w:sz w:val="21"/>
                <w:szCs w:val="21"/>
                <w:lang w:val="zh-CN"/>
              </w:rPr>
              <w:t>尾矿库应当每三年至少进行一次安全现状评价，上游式</w:t>
            </w:r>
            <w:r>
              <w:rPr>
                <w:rFonts w:ascii="Times New Roman" w:hAnsi="Times New Roman" w:eastAsia="宋体" w:cs="Times New Roman"/>
                <w:color w:val="auto"/>
                <w:kern w:val="0"/>
                <w:sz w:val="21"/>
                <w:szCs w:val="21"/>
                <w:lang w:val="zh-CN"/>
              </w:rPr>
              <w:t>尾矿坝堆积至</w:t>
            </w:r>
            <w:r>
              <w:rPr>
                <w:rFonts w:hint="eastAsia" w:ascii="Times New Roman" w:hAnsi="Times New Roman" w:eastAsia="宋体" w:cs="Times New Roman"/>
                <w:color w:val="auto"/>
                <w:kern w:val="0"/>
                <w:sz w:val="21"/>
                <w:szCs w:val="21"/>
                <w:lang w:val="zh-CN"/>
              </w:rPr>
              <w:t>二分之一至三分之二</w:t>
            </w:r>
            <w:r>
              <w:rPr>
                <w:rFonts w:ascii="Times New Roman" w:hAnsi="Times New Roman" w:eastAsia="宋体" w:cs="Times New Roman"/>
                <w:color w:val="auto"/>
                <w:kern w:val="0"/>
                <w:sz w:val="21"/>
                <w:szCs w:val="21"/>
                <w:lang w:val="zh-CN"/>
              </w:rPr>
              <w:t>最终设计坝高时，应</w:t>
            </w:r>
            <w:r>
              <w:rPr>
                <w:rFonts w:hint="eastAsia" w:ascii="Times New Roman" w:hAnsi="Times New Roman" w:eastAsia="宋体" w:cs="Times New Roman"/>
                <w:color w:val="auto"/>
                <w:kern w:val="0"/>
                <w:sz w:val="21"/>
                <w:szCs w:val="21"/>
                <w:lang w:val="zh-CN"/>
              </w:rPr>
              <w:t>当</w:t>
            </w:r>
            <w:r>
              <w:rPr>
                <w:rFonts w:ascii="Times New Roman" w:hAnsi="Times New Roman" w:eastAsia="宋体" w:cs="Times New Roman"/>
                <w:color w:val="auto"/>
                <w:kern w:val="0"/>
                <w:sz w:val="21"/>
                <w:szCs w:val="21"/>
                <w:lang w:val="zh-CN"/>
              </w:rPr>
              <w:t>对坝</w:t>
            </w:r>
            <w:r>
              <w:rPr>
                <w:rFonts w:hint="eastAsia" w:ascii="Times New Roman" w:hAnsi="Times New Roman" w:eastAsia="宋体" w:cs="Times New Roman"/>
                <w:color w:val="auto"/>
                <w:kern w:val="0"/>
                <w:sz w:val="21"/>
                <w:szCs w:val="21"/>
                <w:lang w:val="zh-CN"/>
              </w:rPr>
              <w:t>体</w:t>
            </w:r>
            <w:r>
              <w:rPr>
                <w:rFonts w:ascii="Times New Roman" w:hAnsi="Times New Roman" w:eastAsia="宋体" w:cs="Times New Roman"/>
                <w:color w:val="auto"/>
                <w:kern w:val="0"/>
                <w:sz w:val="21"/>
                <w:szCs w:val="21"/>
                <w:lang w:val="zh-CN"/>
              </w:rPr>
              <w:t>进行</w:t>
            </w:r>
            <w:r>
              <w:rPr>
                <w:rFonts w:hint="eastAsia" w:ascii="Times New Roman" w:hAnsi="Times New Roman" w:eastAsia="宋体" w:cs="Times New Roman"/>
                <w:color w:val="auto"/>
                <w:kern w:val="0"/>
                <w:sz w:val="21"/>
                <w:szCs w:val="21"/>
                <w:lang w:val="zh-CN"/>
              </w:rPr>
              <w:t>一次全面</w:t>
            </w:r>
            <w:r>
              <w:rPr>
                <w:rFonts w:ascii="Times New Roman" w:hAnsi="Times New Roman" w:eastAsia="宋体" w:cs="Times New Roman"/>
                <w:color w:val="auto"/>
                <w:kern w:val="0"/>
                <w:sz w:val="21"/>
                <w:szCs w:val="21"/>
                <w:lang w:val="zh-CN"/>
              </w:rPr>
              <w:t>勘</w:t>
            </w:r>
            <w:r>
              <w:rPr>
                <w:rFonts w:hint="eastAsia" w:ascii="Times New Roman" w:hAnsi="Times New Roman" w:eastAsia="宋体" w:cs="Times New Roman"/>
                <w:color w:val="auto"/>
                <w:kern w:val="0"/>
                <w:sz w:val="21"/>
                <w:szCs w:val="21"/>
                <w:lang w:val="zh-CN"/>
              </w:rPr>
              <w:t>察，并进行</w:t>
            </w:r>
            <w:r>
              <w:rPr>
                <w:rFonts w:ascii="Times New Roman" w:hAnsi="Times New Roman" w:eastAsia="宋体" w:cs="Times New Roman"/>
                <w:color w:val="auto"/>
                <w:kern w:val="0"/>
                <w:sz w:val="21"/>
                <w:szCs w:val="21"/>
                <w:lang w:val="zh-CN"/>
              </w:rPr>
              <w:t>稳定性</w:t>
            </w:r>
            <w:r>
              <w:rPr>
                <w:rFonts w:hint="eastAsia" w:ascii="Times New Roman" w:hAnsi="Times New Roman" w:eastAsia="宋体" w:cs="Times New Roman"/>
                <w:color w:val="auto"/>
                <w:kern w:val="0"/>
                <w:sz w:val="21"/>
                <w:szCs w:val="21"/>
                <w:lang w:val="zh-CN"/>
              </w:rPr>
              <w:t>专项评价</w:t>
            </w:r>
            <w:r>
              <w:rPr>
                <w:rFonts w:ascii="Times New Roman" w:hAnsi="Times New Roman" w:eastAsia="宋体" w:cs="Times New Roman"/>
                <w:color w:val="auto"/>
                <w:kern w:val="0"/>
                <w:sz w:val="21"/>
                <w:szCs w:val="21"/>
                <w:lang w:val="zh-CN"/>
              </w:rPr>
              <w:t>。</w:t>
            </w:r>
          </w:p>
        </w:tc>
        <w:tc>
          <w:tcPr>
            <w:tcW w:w="1182" w:type="pct"/>
            <w:noWrap w:val="0"/>
            <w:vAlign w:val="center"/>
          </w:tcPr>
          <w:p w14:paraId="4C936D1E">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《尾矿</w:t>
            </w:r>
            <w:r>
              <w:rPr>
                <w:rFonts w:hint="eastAsia" w:ascii="Times New Roman" w:hAnsi="Times New Roman" w:eastAsia="宋体" w:cs="Times New Roman"/>
                <w:color w:val="auto"/>
                <w:sz w:val="21"/>
                <w:szCs w:val="21"/>
              </w:rPr>
              <w:t>设施设计规范</w:t>
            </w:r>
            <w:r>
              <w:rPr>
                <w:rFonts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rPr>
              <w:t>第4.4.1条，</w:t>
            </w:r>
            <w:r>
              <w:rPr>
                <w:rFonts w:ascii="Times New Roman" w:hAnsi="Times New Roman" w:eastAsia="宋体" w:cs="Times New Roman"/>
                <w:color w:val="auto"/>
                <w:sz w:val="21"/>
                <w:szCs w:val="21"/>
              </w:rPr>
              <w:t>《尾矿库安全监督管理规定》第十</w:t>
            </w:r>
            <w:r>
              <w:rPr>
                <w:rFonts w:hint="eastAsia" w:ascii="Times New Roman" w:hAnsi="Times New Roman" w:eastAsia="宋体" w:cs="Times New Roman"/>
                <w:color w:val="auto"/>
                <w:sz w:val="21"/>
                <w:szCs w:val="21"/>
              </w:rPr>
              <w:t>九</w:t>
            </w:r>
            <w:r>
              <w:rPr>
                <w:rFonts w:ascii="Times New Roman" w:hAnsi="Times New Roman" w:eastAsia="宋体" w:cs="Times New Roman"/>
                <w:color w:val="auto"/>
                <w:sz w:val="21"/>
                <w:szCs w:val="21"/>
              </w:rPr>
              <w:t>条</w:t>
            </w:r>
            <w:r>
              <w:rPr>
                <w:rFonts w:hint="eastAsia" w:ascii="Times New Roman" w:hAnsi="Times New Roman" w:eastAsia="宋体" w:cs="Times New Roman"/>
                <w:color w:val="auto"/>
                <w:sz w:val="21"/>
                <w:szCs w:val="21"/>
              </w:rPr>
              <w:t>；</w:t>
            </w:r>
            <w:r>
              <w:rPr>
                <w:rFonts w:ascii="Times New Roman" w:hAnsi="Times New Roman" w:eastAsia="宋体" w:cs="Times New Roman"/>
                <w:color w:val="auto"/>
                <w:sz w:val="21"/>
                <w:szCs w:val="21"/>
              </w:rPr>
              <w:t>《尾矿库安全规程》</w:t>
            </w:r>
            <w:r>
              <w:rPr>
                <w:rFonts w:hint="eastAsia" w:ascii="Times New Roman" w:hAnsi="Times New Roman" w:eastAsia="宋体" w:cs="Times New Roman"/>
                <w:color w:val="auto"/>
                <w:sz w:val="21"/>
                <w:szCs w:val="21"/>
              </w:rPr>
              <w:t>第6.1.9条</w:t>
            </w:r>
          </w:p>
        </w:tc>
        <w:tc>
          <w:tcPr>
            <w:tcW w:w="936" w:type="pct"/>
            <w:noWrap w:val="0"/>
            <w:vAlign w:val="center"/>
          </w:tcPr>
          <w:p w14:paraId="66EE3BF7">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kern w:val="0"/>
                <w:sz w:val="21"/>
                <w:szCs w:val="21"/>
                <w:lang w:val="zh-CN"/>
              </w:rPr>
              <w:t>进行了工程勘察和坝体稳定性分析；</w:t>
            </w:r>
            <w:r>
              <w:rPr>
                <w:rFonts w:hint="eastAsia" w:ascii="Times New Roman" w:hAnsi="Times New Roman" w:eastAsia="宋体" w:cs="Times New Roman"/>
                <w:color w:val="auto"/>
                <w:kern w:val="0"/>
                <w:sz w:val="21"/>
                <w:szCs w:val="21"/>
                <w:lang w:val="en-US" w:eastAsia="zh-CN"/>
              </w:rPr>
              <w:t>定期进行了安全评价</w:t>
            </w:r>
            <w:r>
              <w:rPr>
                <w:rFonts w:hint="eastAsia" w:ascii="Times New Roman" w:hAnsi="Times New Roman" w:eastAsia="宋体" w:cs="Times New Roman"/>
                <w:color w:val="auto"/>
                <w:kern w:val="0"/>
                <w:sz w:val="21"/>
                <w:szCs w:val="21"/>
                <w:lang w:val="zh-CN"/>
              </w:rPr>
              <w:t>。</w:t>
            </w:r>
          </w:p>
        </w:tc>
        <w:tc>
          <w:tcPr>
            <w:tcW w:w="302" w:type="pct"/>
            <w:gridSpan w:val="2"/>
            <w:noWrap w:val="0"/>
            <w:vAlign w:val="center"/>
          </w:tcPr>
          <w:p w14:paraId="3EAAE7E7">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kern w:val="0"/>
                <w:sz w:val="21"/>
                <w:szCs w:val="21"/>
                <w:lang w:val="zh-CN"/>
              </w:rPr>
              <w:t>符合</w:t>
            </w:r>
          </w:p>
        </w:tc>
      </w:tr>
      <w:tr w14:paraId="79494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50" w:hRule="atLeast"/>
          <w:jc w:val="center"/>
        </w:trPr>
        <w:tc>
          <w:tcPr>
            <w:tcW w:w="284" w:type="pct"/>
            <w:vMerge w:val="restart"/>
            <w:noWrap w:val="0"/>
            <w:vAlign w:val="center"/>
          </w:tcPr>
          <w:p w14:paraId="195A8603">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kern w:val="0"/>
                <w:sz w:val="21"/>
                <w:szCs w:val="21"/>
                <w:lang w:val="zh-CN"/>
              </w:rPr>
              <w:t>2</w:t>
            </w:r>
          </w:p>
        </w:tc>
        <w:tc>
          <w:tcPr>
            <w:tcW w:w="560" w:type="pct"/>
            <w:vMerge w:val="restart"/>
            <w:noWrap w:val="0"/>
            <w:vAlign w:val="center"/>
          </w:tcPr>
          <w:p w14:paraId="30AEC903">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r>
              <w:rPr>
                <w:rFonts w:ascii="Times New Roman" w:hAnsi="Times New Roman" w:eastAsia="宋体" w:cs="Times New Roman"/>
                <w:color w:val="auto"/>
                <w:kern w:val="0"/>
                <w:sz w:val="21"/>
                <w:szCs w:val="21"/>
                <w:lang w:val="zh-CN"/>
              </w:rPr>
              <w:t>安全</w:t>
            </w:r>
            <w:r>
              <w:rPr>
                <w:rFonts w:hint="eastAsia" w:ascii="Times New Roman" w:hAnsi="Times New Roman" w:eastAsia="宋体" w:cs="Times New Roman"/>
                <w:color w:val="auto"/>
                <w:kern w:val="0"/>
                <w:sz w:val="21"/>
                <w:szCs w:val="21"/>
                <w:lang w:val="zh-CN"/>
              </w:rPr>
              <w:t>组织机构及人员配备</w:t>
            </w:r>
          </w:p>
        </w:tc>
        <w:tc>
          <w:tcPr>
            <w:tcW w:w="1734" w:type="pct"/>
            <w:noWrap w:val="0"/>
            <w:vAlign w:val="center"/>
          </w:tcPr>
          <w:p w14:paraId="6E69FD10">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kern w:val="0"/>
                <w:sz w:val="21"/>
                <w:szCs w:val="21"/>
                <w:lang w:val="zh-CN"/>
              </w:rPr>
              <w:t>设置安全管理机构，配备专职安全生产管理人员。</w:t>
            </w:r>
          </w:p>
        </w:tc>
        <w:tc>
          <w:tcPr>
            <w:tcW w:w="1182" w:type="pct"/>
            <w:noWrap w:val="0"/>
            <w:vAlign w:val="center"/>
          </w:tcPr>
          <w:p w14:paraId="5B2BF921">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ascii="Times New Roman" w:hAnsi="Times New Roman" w:eastAsia="宋体" w:cs="Times New Roman"/>
                <w:color w:val="auto"/>
                <w:kern w:val="0"/>
                <w:sz w:val="21"/>
                <w:szCs w:val="21"/>
                <w:lang w:val="zh-CN"/>
              </w:rPr>
            </w:pPr>
            <w:r>
              <w:rPr>
                <w:rFonts w:ascii="Times New Roman" w:hAnsi="Times New Roman" w:eastAsia="宋体" w:cs="Times New Roman"/>
                <w:color w:val="auto"/>
                <w:sz w:val="21"/>
                <w:szCs w:val="21"/>
              </w:rPr>
              <w:t>《安全生产法》第二十</w:t>
            </w:r>
            <w:r>
              <w:rPr>
                <w:rFonts w:hint="eastAsia" w:ascii="Times New Roman" w:hAnsi="Times New Roman" w:eastAsia="宋体" w:cs="Times New Roman"/>
                <w:color w:val="auto"/>
                <w:sz w:val="21"/>
                <w:szCs w:val="21"/>
              </w:rPr>
              <w:t>四</w:t>
            </w:r>
            <w:r>
              <w:rPr>
                <w:rFonts w:ascii="Times New Roman" w:hAnsi="Times New Roman" w:eastAsia="宋体" w:cs="Times New Roman"/>
                <w:color w:val="auto"/>
                <w:sz w:val="21"/>
                <w:szCs w:val="21"/>
              </w:rPr>
              <w:t>条、《非煤矿矿山安全生产许可证实施办法》第六条</w:t>
            </w:r>
          </w:p>
        </w:tc>
        <w:tc>
          <w:tcPr>
            <w:tcW w:w="936" w:type="pct"/>
            <w:noWrap w:val="0"/>
            <w:vAlign w:val="center"/>
          </w:tcPr>
          <w:p w14:paraId="3313F5E4">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kern w:val="0"/>
                <w:sz w:val="21"/>
                <w:szCs w:val="21"/>
                <w:lang w:val="zh-CN"/>
              </w:rPr>
              <w:t>设有职业健康、安全环保委员会以及安全环保部，配有专职安全管理人员。</w:t>
            </w:r>
          </w:p>
        </w:tc>
        <w:tc>
          <w:tcPr>
            <w:tcW w:w="302" w:type="pct"/>
            <w:gridSpan w:val="2"/>
            <w:noWrap w:val="0"/>
            <w:vAlign w:val="center"/>
          </w:tcPr>
          <w:p w14:paraId="6407E26B">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kern w:val="0"/>
                <w:sz w:val="21"/>
                <w:szCs w:val="21"/>
                <w:lang w:val="zh-CN"/>
              </w:rPr>
              <w:t>符合</w:t>
            </w:r>
          </w:p>
        </w:tc>
      </w:tr>
      <w:tr w14:paraId="06CFF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46" w:hRule="atLeast"/>
          <w:jc w:val="center"/>
        </w:trPr>
        <w:tc>
          <w:tcPr>
            <w:tcW w:w="284" w:type="pct"/>
            <w:vMerge w:val="continue"/>
            <w:noWrap w:val="0"/>
            <w:vAlign w:val="center"/>
          </w:tcPr>
          <w:p w14:paraId="497628D8">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ascii="Times New Roman" w:hAnsi="Times New Roman" w:eastAsia="宋体" w:cs="Times New Roman"/>
                <w:color w:val="auto"/>
                <w:kern w:val="0"/>
                <w:sz w:val="21"/>
                <w:szCs w:val="21"/>
                <w:lang w:val="zh-CN"/>
              </w:rPr>
            </w:pPr>
          </w:p>
        </w:tc>
        <w:tc>
          <w:tcPr>
            <w:tcW w:w="560" w:type="pct"/>
            <w:vMerge w:val="continue"/>
            <w:noWrap w:val="0"/>
            <w:vAlign w:val="center"/>
          </w:tcPr>
          <w:p w14:paraId="0A5F36DF">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ascii="Times New Roman" w:hAnsi="Times New Roman" w:eastAsia="宋体" w:cs="Times New Roman"/>
                <w:color w:val="auto"/>
                <w:kern w:val="0"/>
                <w:sz w:val="21"/>
                <w:szCs w:val="21"/>
                <w:lang w:val="zh-CN"/>
              </w:rPr>
            </w:pPr>
          </w:p>
        </w:tc>
        <w:tc>
          <w:tcPr>
            <w:tcW w:w="1734" w:type="pct"/>
            <w:noWrap w:val="0"/>
            <w:vAlign w:val="center"/>
          </w:tcPr>
          <w:p w14:paraId="3CEB891A">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kern w:val="0"/>
                <w:sz w:val="21"/>
                <w:szCs w:val="21"/>
                <w:lang w:val="zh-CN"/>
              </w:rPr>
              <w:t>矿山的主要负责人和安全生产管理人员，应当由主管的负有安全生产监督管理职责的部门对其安全生产知识和管理能力考核合格。</w:t>
            </w:r>
          </w:p>
        </w:tc>
        <w:tc>
          <w:tcPr>
            <w:tcW w:w="1182" w:type="pct"/>
            <w:noWrap w:val="0"/>
            <w:vAlign w:val="center"/>
          </w:tcPr>
          <w:p w14:paraId="6C892865">
            <w:pPr>
              <w:keepNext w:val="0"/>
              <w:keepLines w:val="0"/>
              <w:pageBreakBefore w:val="0"/>
              <w:widowControl w:val="0"/>
              <w:tabs>
                <w:tab w:val="left" w:pos="1260"/>
                <w:tab w:val="left" w:leader="middleDot" w:pos="7560"/>
              </w:tabs>
              <w:kinsoku/>
              <w:wordWrap/>
              <w:overflowPunct/>
              <w:topLinePunct w:val="0"/>
              <w:bidi w:val="0"/>
              <w:snapToGrid/>
              <w:spacing w:line="240" w:lineRule="auto"/>
              <w:ind w:firstLine="0" w:firstLineChars="0"/>
              <w:jc w:val="center"/>
              <w:textAlignment w:val="auto"/>
              <w:rPr>
                <w:rFonts w:hint="eastAsia" w:ascii="Times New Roman" w:hAnsi="Times New Roman" w:eastAsia="宋体" w:cs="Times New Roman"/>
                <w:color w:val="auto"/>
                <w:sz w:val="21"/>
                <w:szCs w:val="21"/>
              </w:rPr>
            </w:pPr>
            <w:r>
              <w:rPr>
                <w:rFonts w:ascii="Times New Roman" w:hAnsi="Times New Roman" w:eastAsia="宋体" w:cs="Times New Roman"/>
                <w:color w:val="auto"/>
                <w:sz w:val="21"/>
                <w:szCs w:val="21"/>
              </w:rPr>
              <w:t>《安全生产法》第二十</w:t>
            </w:r>
            <w:r>
              <w:rPr>
                <w:rFonts w:hint="eastAsia" w:ascii="Times New Roman" w:hAnsi="Times New Roman" w:eastAsia="宋体" w:cs="Times New Roman"/>
                <w:color w:val="auto"/>
                <w:sz w:val="21"/>
                <w:szCs w:val="21"/>
              </w:rPr>
              <w:t>七条</w:t>
            </w:r>
          </w:p>
        </w:tc>
        <w:tc>
          <w:tcPr>
            <w:tcW w:w="936" w:type="pct"/>
            <w:noWrap w:val="0"/>
            <w:vAlign w:val="center"/>
          </w:tcPr>
          <w:p w14:paraId="5A629887">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kern w:val="0"/>
                <w:sz w:val="21"/>
                <w:szCs w:val="21"/>
                <w:lang w:val="zh-CN"/>
              </w:rPr>
              <w:t>主要负责人和安全管理人员经考核合格，持有安全资格证书。</w:t>
            </w:r>
          </w:p>
        </w:tc>
        <w:tc>
          <w:tcPr>
            <w:tcW w:w="302" w:type="pct"/>
            <w:gridSpan w:val="2"/>
            <w:noWrap w:val="0"/>
            <w:vAlign w:val="center"/>
          </w:tcPr>
          <w:p w14:paraId="0D9F9B6D">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kern w:val="0"/>
                <w:sz w:val="21"/>
                <w:szCs w:val="21"/>
                <w:lang w:val="zh-CN"/>
              </w:rPr>
              <w:t>符合</w:t>
            </w:r>
          </w:p>
        </w:tc>
      </w:tr>
      <w:tr w14:paraId="0813F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970" w:hRule="atLeast"/>
          <w:jc w:val="center"/>
        </w:trPr>
        <w:tc>
          <w:tcPr>
            <w:tcW w:w="284" w:type="pct"/>
            <w:noWrap w:val="0"/>
            <w:vAlign w:val="center"/>
          </w:tcPr>
          <w:p w14:paraId="75AB2248">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kern w:val="0"/>
                <w:sz w:val="21"/>
                <w:szCs w:val="21"/>
                <w:lang w:val="zh-CN"/>
              </w:rPr>
              <w:t>3</w:t>
            </w:r>
          </w:p>
        </w:tc>
        <w:tc>
          <w:tcPr>
            <w:tcW w:w="560" w:type="pct"/>
            <w:noWrap w:val="0"/>
            <w:vAlign w:val="center"/>
          </w:tcPr>
          <w:p w14:paraId="6764242E">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r>
              <w:rPr>
                <w:rFonts w:ascii="Times New Roman" w:hAnsi="Times New Roman" w:eastAsia="宋体" w:cs="Times New Roman"/>
                <w:color w:val="auto"/>
                <w:kern w:val="0"/>
                <w:sz w:val="21"/>
                <w:szCs w:val="21"/>
                <w:lang w:val="zh-CN"/>
              </w:rPr>
              <w:t>安全</w:t>
            </w:r>
            <w:r>
              <w:rPr>
                <w:rFonts w:hint="eastAsia" w:ascii="Times New Roman" w:hAnsi="Times New Roman" w:eastAsia="宋体" w:cs="Times New Roman"/>
                <w:color w:val="auto"/>
                <w:kern w:val="0"/>
                <w:sz w:val="21"/>
                <w:szCs w:val="21"/>
                <w:lang w:val="zh-CN"/>
              </w:rPr>
              <w:t>教育及培训</w:t>
            </w:r>
          </w:p>
        </w:tc>
        <w:tc>
          <w:tcPr>
            <w:tcW w:w="1734" w:type="pct"/>
            <w:noWrap w:val="0"/>
            <w:vAlign w:val="center"/>
          </w:tcPr>
          <w:p w14:paraId="1E17094F">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kern w:val="0"/>
                <w:sz w:val="21"/>
                <w:szCs w:val="21"/>
                <w:lang w:val="zh-CN"/>
              </w:rPr>
              <w:t>其他</w:t>
            </w:r>
            <w:r>
              <w:rPr>
                <w:rFonts w:ascii="Times New Roman" w:hAnsi="Times New Roman" w:eastAsia="宋体" w:cs="Times New Roman"/>
                <w:color w:val="auto"/>
                <w:kern w:val="0"/>
                <w:sz w:val="21"/>
                <w:szCs w:val="21"/>
                <w:lang w:val="zh-CN"/>
              </w:rPr>
              <w:t>从业人员</w:t>
            </w:r>
            <w:r>
              <w:rPr>
                <w:rFonts w:hint="eastAsia" w:ascii="Times New Roman" w:hAnsi="Times New Roman" w:eastAsia="宋体" w:cs="Times New Roman"/>
                <w:color w:val="auto"/>
                <w:kern w:val="0"/>
                <w:sz w:val="21"/>
                <w:szCs w:val="21"/>
                <w:lang w:val="zh-CN"/>
              </w:rPr>
              <w:t>按照规定接受</w:t>
            </w:r>
            <w:r>
              <w:rPr>
                <w:rFonts w:ascii="Times New Roman" w:hAnsi="Times New Roman" w:eastAsia="宋体" w:cs="Times New Roman"/>
                <w:color w:val="auto"/>
                <w:kern w:val="0"/>
                <w:sz w:val="21"/>
                <w:szCs w:val="21"/>
                <w:lang w:val="zh-CN"/>
              </w:rPr>
              <w:t>安全</w:t>
            </w:r>
            <w:r>
              <w:rPr>
                <w:rFonts w:hint="eastAsia" w:ascii="Times New Roman" w:hAnsi="Times New Roman" w:eastAsia="宋体" w:cs="Times New Roman"/>
                <w:color w:val="auto"/>
                <w:kern w:val="0"/>
                <w:sz w:val="21"/>
                <w:szCs w:val="21"/>
                <w:lang w:val="zh-CN"/>
              </w:rPr>
              <w:t>生产教育和</w:t>
            </w:r>
            <w:r>
              <w:rPr>
                <w:rFonts w:ascii="Times New Roman" w:hAnsi="Times New Roman" w:eastAsia="宋体" w:cs="Times New Roman"/>
                <w:color w:val="auto"/>
                <w:kern w:val="0"/>
                <w:sz w:val="21"/>
                <w:szCs w:val="21"/>
                <w:lang w:val="zh-CN"/>
              </w:rPr>
              <w:t>培训，</w:t>
            </w:r>
            <w:r>
              <w:rPr>
                <w:rFonts w:hint="eastAsia" w:ascii="Times New Roman" w:hAnsi="Times New Roman" w:eastAsia="宋体" w:cs="Times New Roman"/>
                <w:color w:val="auto"/>
                <w:kern w:val="0"/>
                <w:sz w:val="21"/>
                <w:szCs w:val="21"/>
                <w:lang w:val="zh-CN"/>
              </w:rPr>
              <w:t>并经考试合格</w:t>
            </w:r>
            <w:r>
              <w:rPr>
                <w:rFonts w:ascii="Times New Roman" w:hAnsi="Times New Roman" w:eastAsia="宋体" w:cs="Times New Roman"/>
                <w:color w:val="auto"/>
                <w:kern w:val="0"/>
                <w:sz w:val="21"/>
                <w:szCs w:val="21"/>
                <w:lang w:val="zh-CN"/>
              </w:rPr>
              <w:t>。</w:t>
            </w:r>
          </w:p>
        </w:tc>
        <w:tc>
          <w:tcPr>
            <w:tcW w:w="1182" w:type="pct"/>
            <w:vMerge w:val="restart"/>
            <w:noWrap w:val="0"/>
            <w:vAlign w:val="center"/>
          </w:tcPr>
          <w:p w14:paraId="20D77E52">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ascii="Times New Roman" w:hAnsi="Times New Roman" w:eastAsia="宋体" w:cs="Times New Roman"/>
                <w:color w:val="auto"/>
                <w:kern w:val="0"/>
                <w:sz w:val="21"/>
                <w:szCs w:val="21"/>
                <w:lang w:val="zh-CN"/>
              </w:rPr>
            </w:pPr>
            <w:r>
              <w:rPr>
                <w:rFonts w:ascii="Times New Roman" w:hAnsi="Times New Roman" w:eastAsia="宋体" w:cs="Times New Roman"/>
                <w:color w:val="auto"/>
                <w:sz w:val="21"/>
                <w:szCs w:val="21"/>
              </w:rPr>
              <w:t>《安全生产法》第</w:t>
            </w:r>
            <w:r>
              <w:rPr>
                <w:rFonts w:hint="eastAsia" w:ascii="Times New Roman" w:hAnsi="Times New Roman" w:eastAsia="宋体" w:cs="Times New Roman"/>
                <w:color w:val="auto"/>
                <w:sz w:val="21"/>
                <w:szCs w:val="21"/>
              </w:rPr>
              <w:t>二十八、三十</w:t>
            </w:r>
            <w:r>
              <w:rPr>
                <w:rFonts w:ascii="Times New Roman" w:hAnsi="Times New Roman" w:eastAsia="宋体" w:cs="Times New Roman"/>
                <w:color w:val="auto"/>
                <w:sz w:val="21"/>
                <w:szCs w:val="21"/>
              </w:rPr>
              <w:t>条、《</w:t>
            </w:r>
            <w:r>
              <w:rPr>
                <w:rFonts w:hint="eastAsia" w:ascii="Times New Roman" w:hAnsi="Times New Roman" w:eastAsia="宋体" w:cs="Times New Roman"/>
                <w:color w:val="auto"/>
                <w:kern w:val="0"/>
                <w:sz w:val="21"/>
                <w:szCs w:val="21"/>
                <w:lang w:val="zh-CN"/>
              </w:rPr>
              <w:t>非煤矿矿山企业</w:t>
            </w:r>
            <w:r>
              <w:rPr>
                <w:rFonts w:ascii="Times New Roman" w:hAnsi="Times New Roman" w:eastAsia="宋体" w:cs="Times New Roman"/>
                <w:color w:val="auto"/>
                <w:kern w:val="0"/>
                <w:sz w:val="21"/>
                <w:szCs w:val="21"/>
                <w:lang w:val="zh-CN"/>
              </w:rPr>
              <w:t>安全生产许可证</w:t>
            </w:r>
            <w:r>
              <w:rPr>
                <w:rFonts w:hint="eastAsia" w:ascii="Times New Roman" w:hAnsi="Times New Roman" w:eastAsia="宋体" w:cs="Times New Roman"/>
                <w:color w:val="auto"/>
                <w:kern w:val="0"/>
                <w:sz w:val="21"/>
                <w:szCs w:val="21"/>
                <w:lang w:val="zh-CN"/>
              </w:rPr>
              <w:t>实施办法</w:t>
            </w:r>
            <w:r>
              <w:rPr>
                <w:rFonts w:ascii="Times New Roman" w:hAnsi="Times New Roman" w:eastAsia="宋体" w:cs="Times New Roman"/>
                <w:color w:val="auto"/>
                <w:kern w:val="0"/>
                <w:sz w:val="21"/>
                <w:szCs w:val="21"/>
                <w:lang w:val="zh-CN"/>
              </w:rPr>
              <w:t>》</w:t>
            </w:r>
            <w:r>
              <w:rPr>
                <w:rFonts w:hint="eastAsia" w:ascii="Times New Roman" w:hAnsi="Times New Roman" w:eastAsia="宋体" w:cs="Times New Roman"/>
                <w:color w:val="auto"/>
                <w:kern w:val="0"/>
                <w:sz w:val="21"/>
                <w:szCs w:val="21"/>
                <w:lang w:val="zh-CN"/>
              </w:rPr>
              <w:t>（安监总局78号令修订）</w:t>
            </w:r>
          </w:p>
        </w:tc>
        <w:tc>
          <w:tcPr>
            <w:tcW w:w="936" w:type="pct"/>
            <w:noWrap w:val="0"/>
            <w:vAlign w:val="center"/>
          </w:tcPr>
          <w:p w14:paraId="367B770A">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kern w:val="0"/>
                <w:sz w:val="21"/>
                <w:szCs w:val="21"/>
                <w:lang w:val="zh-CN"/>
              </w:rPr>
              <w:t>江西</w:t>
            </w:r>
            <w:r>
              <w:rPr>
                <w:rFonts w:hint="eastAsia" w:ascii="Times New Roman" w:hAnsi="Times New Roman" w:eastAsia="宋体" w:cs="Times New Roman"/>
                <w:color w:val="auto"/>
                <w:kern w:val="0"/>
                <w:sz w:val="21"/>
                <w:szCs w:val="21"/>
                <w:lang w:val="en-US" w:eastAsia="zh-CN"/>
              </w:rPr>
              <w:t>浒坑</w:t>
            </w:r>
            <w:r>
              <w:rPr>
                <w:rFonts w:hint="eastAsia" w:ascii="Times New Roman" w:hAnsi="Times New Roman" w:eastAsia="宋体" w:cs="Times New Roman"/>
                <w:color w:val="auto"/>
                <w:kern w:val="0"/>
                <w:sz w:val="21"/>
                <w:szCs w:val="21"/>
                <w:lang w:val="zh-CN"/>
              </w:rPr>
              <w:t>钨业有限责任公司对其他从业人员进行了安全生产教育和培训，并经考试合格。</w:t>
            </w:r>
          </w:p>
        </w:tc>
        <w:tc>
          <w:tcPr>
            <w:tcW w:w="302" w:type="pct"/>
            <w:gridSpan w:val="2"/>
            <w:noWrap w:val="0"/>
            <w:vAlign w:val="center"/>
          </w:tcPr>
          <w:p w14:paraId="30C70175">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kern w:val="0"/>
                <w:sz w:val="21"/>
                <w:szCs w:val="21"/>
                <w:lang w:val="zh-CN"/>
              </w:rPr>
              <w:t>符合</w:t>
            </w:r>
          </w:p>
        </w:tc>
      </w:tr>
      <w:tr w14:paraId="26453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5" w:hRule="atLeast"/>
          <w:jc w:val="center"/>
        </w:trPr>
        <w:tc>
          <w:tcPr>
            <w:tcW w:w="284" w:type="pct"/>
            <w:noWrap w:val="0"/>
            <w:vAlign w:val="center"/>
          </w:tcPr>
          <w:p w14:paraId="1739BDAE">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kern w:val="0"/>
                <w:sz w:val="21"/>
                <w:szCs w:val="21"/>
                <w:lang w:val="zh-CN"/>
              </w:rPr>
              <w:t>4</w:t>
            </w:r>
          </w:p>
        </w:tc>
        <w:tc>
          <w:tcPr>
            <w:tcW w:w="560" w:type="pct"/>
            <w:noWrap w:val="0"/>
            <w:vAlign w:val="center"/>
          </w:tcPr>
          <w:p w14:paraId="16BD0761">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r>
              <w:rPr>
                <w:rFonts w:ascii="Times New Roman" w:hAnsi="Times New Roman" w:eastAsia="宋体" w:cs="Times New Roman"/>
                <w:color w:val="auto"/>
                <w:kern w:val="0"/>
                <w:sz w:val="21"/>
                <w:szCs w:val="21"/>
                <w:lang w:val="zh-CN"/>
              </w:rPr>
              <w:t>特种作业人员</w:t>
            </w:r>
            <w:r>
              <w:rPr>
                <w:rFonts w:hint="eastAsia" w:ascii="Times New Roman" w:hAnsi="Times New Roman" w:eastAsia="宋体" w:cs="Times New Roman"/>
                <w:color w:val="auto"/>
                <w:kern w:val="0"/>
                <w:sz w:val="21"/>
                <w:szCs w:val="21"/>
                <w:lang w:val="zh-CN"/>
              </w:rPr>
              <w:t>持证</w:t>
            </w:r>
          </w:p>
        </w:tc>
        <w:tc>
          <w:tcPr>
            <w:tcW w:w="1734" w:type="pct"/>
            <w:noWrap w:val="0"/>
            <w:vAlign w:val="center"/>
          </w:tcPr>
          <w:p w14:paraId="5C0863AB">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ascii="Times New Roman" w:hAnsi="Times New Roman" w:eastAsia="宋体" w:cs="Times New Roman"/>
                <w:color w:val="auto"/>
                <w:kern w:val="0"/>
                <w:sz w:val="21"/>
                <w:szCs w:val="21"/>
                <w:lang w:val="zh-CN"/>
              </w:rPr>
            </w:pPr>
            <w:r>
              <w:rPr>
                <w:rFonts w:ascii="Times New Roman" w:hAnsi="Times New Roman" w:eastAsia="宋体" w:cs="Times New Roman"/>
                <w:color w:val="auto"/>
                <w:kern w:val="0"/>
                <w:sz w:val="21"/>
                <w:szCs w:val="21"/>
                <w:lang w:val="zh-CN"/>
              </w:rPr>
              <w:t>特种作业人员经有关</w:t>
            </w:r>
            <w:r>
              <w:rPr>
                <w:rFonts w:hint="eastAsia" w:ascii="Times New Roman" w:hAnsi="Times New Roman" w:eastAsia="宋体" w:cs="Times New Roman"/>
                <w:color w:val="auto"/>
                <w:kern w:val="0"/>
                <w:sz w:val="21"/>
                <w:szCs w:val="21"/>
                <w:lang w:val="zh-CN"/>
              </w:rPr>
              <w:t>业务主管</w:t>
            </w:r>
            <w:r>
              <w:rPr>
                <w:rFonts w:ascii="Times New Roman" w:hAnsi="Times New Roman" w:eastAsia="宋体" w:cs="Times New Roman"/>
                <w:color w:val="auto"/>
                <w:kern w:val="0"/>
                <w:sz w:val="21"/>
                <w:szCs w:val="21"/>
                <w:lang w:val="zh-CN"/>
              </w:rPr>
              <w:t>部门考核合格，取得</w:t>
            </w:r>
            <w:r>
              <w:rPr>
                <w:rFonts w:hint="eastAsia" w:ascii="Times New Roman" w:hAnsi="Times New Roman" w:eastAsia="宋体" w:cs="Times New Roman"/>
                <w:color w:val="auto"/>
                <w:kern w:val="0"/>
                <w:sz w:val="21"/>
                <w:szCs w:val="21"/>
                <w:lang w:val="zh-CN"/>
              </w:rPr>
              <w:t>特种作业操作</w:t>
            </w:r>
            <w:r>
              <w:rPr>
                <w:rFonts w:ascii="Times New Roman" w:hAnsi="Times New Roman" w:eastAsia="宋体" w:cs="Times New Roman"/>
                <w:color w:val="auto"/>
                <w:kern w:val="0"/>
                <w:sz w:val="21"/>
                <w:szCs w:val="21"/>
                <w:lang w:val="zh-CN"/>
              </w:rPr>
              <w:t>资格</w:t>
            </w:r>
            <w:r>
              <w:rPr>
                <w:rFonts w:hint="eastAsia" w:ascii="Times New Roman" w:hAnsi="Times New Roman" w:eastAsia="宋体" w:cs="Times New Roman"/>
                <w:color w:val="auto"/>
                <w:kern w:val="0"/>
                <w:sz w:val="21"/>
                <w:szCs w:val="21"/>
                <w:lang w:val="zh-CN"/>
              </w:rPr>
              <w:t>证书</w:t>
            </w:r>
            <w:r>
              <w:rPr>
                <w:rFonts w:ascii="Times New Roman" w:hAnsi="Times New Roman" w:eastAsia="宋体" w:cs="Times New Roman"/>
                <w:color w:val="auto"/>
                <w:kern w:val="0"/>
                <w:sz w:val="21"/>
                <w:szCs w:val="21"/>
                <w:lang w:val="zh-CN"/>
              </w:rPr>
              <w:t>。</w:t>
            </w:r>
          </w:p>
        </w:tc>
        <w:tc>
          <w:tcPr>
            <w:tcW w:w="1182" w:type="pct"/>
            <w:vMerge w:val="continue"/>
            <w:noWrap w:val="0"/>
            <w:vAlign w:val="center"/>
          </w:tcPr>
          <w:p w14:paraId="68FEFBF2">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ascii="Times New Roman" w:hAnsi="Times New Roman" w:eastAsia="宋体" w:cs="Times New Roman"/>
                <w:color w:val="auto"/>
                <w:kern w:val="0"/>
                <w:sz w:val="21"/>
                <w:szCs w:val="21"/>
                <w:lang w:val="zh-CN"/>
              </w:rPr>
            </w:pPr>
          </w:p>
        </w:tc>
        <w:tc>
          <w:tcPr>
            <w:tcW w:w="936" w:type="pct"/>
            <w:noWrap w:val="0"/>
            <w:vAlign w:val="center"/>
          </w:tcPr>
          <w:p w14:paraId="59060966">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kern w:val="0"/>
                <w:sz w:val="21"/>
                <w:szCs w:val="21"/>
                <w:lang w:val="zh-CN"/>
              </w:rPr>
              <w:t>尾矿工持有特种作业操作资格证书。</w:t>
            </w:r>
          </w:p>
        </w:tc>
        <w:tc>
          <w:tcPr>
            <w:tcW w:w="302" w:type="pct"/>
            <w:gridSpan w:val="2"/>
            <w:noWrap w:val="0"/>
            <w:vAlign w:val="center"/>
          </w:tcPr>
          <w:p w14:paraId="6FCA361D">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kern w:val="0"/>
                <w:sz w:val="21"/>
                <w:szCs w:val="21"/>
                <w:lang w:val="zh-CN"/>
              </w:rPr>
              <w:t>符合</w:t>
            </w:r>
          </w:p>
        </w:tc>
      </w:tr>
      <w:tr w14:paraId="235A9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471" w:hRule="atLeast"/>
          <w:jc w:val="center"/>
        </w:trPr>
        <w:tc>
          <w:tcPr>
            <w:tcW w:w="284" w:type="pct"/>
            <w:noWrap w:val="0"/>
            <w:vAlign w:val="center"/>
          </w:tcPr>
          <w:p w14:paraId="441B5DB1">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kern w:val="0"/>
                <w:sz w:val="21"/>
                <w:szCs w:val="21"/>
                <w:lang w:val="zh-CN"/>
              </w:rPr>
              <w:t>5</w:t>
            </w:r>
          </w:p>
        </w:tc>
        <w:tc>
          <w:tcPr>
            <w:tcW w:w="560" w:type="pct"/>
            <w:noWrap w:val="0"/>
            <w:vAlign w:val="center"/>
          </w:tcPr>
          <w:p w14:paraId="3ED5589C">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kern w:val="0"/>
                <w:sz w:val="21"/>
                <w:szCs w:val="21"/>
                <w:lang w:val="zh-CN"/>
              </w:rPr>
              <w:t>管理规章制度</w:t>
            </w:r>
          </w:p>
        </w:tc>
        <w:tc>
          <w:tcPr>
            <w:tcW w:w="1734" w:type="pct"/>
            <w:noWrap w:val="0"/>
            <w:vAlign w:val="center"/>
          </w:tcPr>
          <w:p w14:paraId="74D5E5DB">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ascii="Times New Roman" w:hAnsi="Times New Roman" w:eastAsia="宋体" w:cs="Times New Roman"/>
                <w:color w:val="auto"/>
                <w:kern w:val="0"/>
                <w:sz w:val="21"/>
                <w:szCs w:val="21"/>
                <w:lang w:val="zh-CN"/>
              </w:rPr>
            </w:pPr>
            <w:r>
              <w:rPr>
                <w:rFonts w:ascii="Times New Roman" w:hAnsi="Times New Roman" w:eastAsia="宋体" w:cs="Times New Roman"/>
                <w:color w:val="auto"/>
                <w:kern w:val="0"/>
                <w:sz w:val="21"/>
                <w:szCs w:val="21"/>
                <w:lang w:val="zh-CN"/>
              </w:rPr>
              <w:t>建立健全主要负责人</w:t>
            </w:r>
            <w:r>
              <w:rPr>
                <w:rFonts w:hint="eastAsia" w:ascii="Times New Roman" w:hAnsi="Times New Roman" w:eastAsia="宋体" w:cs="Times New Roman"/>
                <w:color w:val="auto"/>
                <w:kern w:val="0"/>
                <w:sz w:val="21"/>
                <w:szCs w:val="21"/>
                <w:lang w:val="zh-CN"/>
              </w:rPr>
              <w:t>、</w:t>
            </w:r>
            <w:r>
              <w:rPr>
                <w:rFonts w:ascii="Times New Roman" w:hAnsi="Times New Roman" w:eastAsia="宋体" w:cs="Times New Roman"/>
                <w:color w:val="auto"/>
                <w:kern w:val="0"/>
                <w:sz w:val="21"/>
                <w:szCs w:val="21"/>
                <w:lang w:val="zh-CN"/>
              </w:rPr>
              <w:t>分管负责人</w:t>
            </w:r>
            <w:r>
              <w:rPr>
                <w:rFonts w:hint="eastAsia" w:ascii="Times New Roman" w:hAnsi="Times New Roman" w:eastAsia="宋体" w:cs="Times New Roman"/>
                <w:color w:val="auto"/>
                <w:kern w:val="0"/>
                <w:sz w:val="21"/>
                <w:szCs w:val="21"/>
                <w:lang w:val="zh-CN"/>
              </w:rPr>
              <w:t>、</w:t>
            </w:r>
            <w:r>
              <w:rPr>
                <w:rFonts w:ascii="Times New Roman" w:hAnsi="Times New Roman" w:eastAsia="宋体" w:cs="Times New Roman"/>
                <w:color w:val="auto"/>
                <w:kern w:val="0"/>
                <w:sz w:val="21"/>
                <w:szCs w:val="21"/>
                <w:lang w:val="zh-CN"/>
              </w:rPr>
              <w:t>安全生产管理人员</w:t>
            </w:r>
            <w:r>
              <w:rPr>
                <w:rFonts w:hint="eastAsia" w:ascii="Times New Roman" w:hAnsi="Times New Roman" w:eastAsia="宋体" w:cs="Times New Roman"/>
                <w:color w:val="auto"/>
                <w:kern w:val="0"/>
                <w:sz w:val="21"/>
                <w:szCs w:val="21"/>
                <w:lang w:val="zh-CN"/>
              </w:rPr>
              <w:t>、</w:t>
            </w:r>
            <w:r>
              <w:rPr>
                <w:rFonts w:ascii="Times New Roman" w:hAnsi="Times New Roman" w:eastAsia="宋体" w:cs="Times New Roman"/>
                <w:color w:val="auto"/>
                <w:kern w:val="0"/>
                <w:sz w:val="21"/>
                <w:szCs w:val="21"/>
                <w:lang w:val="zh-CN"/>
              </w:rPr>
              <w:t>职能部门</w:t>
            </w:r>
            <w:r>
              <w:rPr>
                <w:rFonts w:hint="eastAsia" w:ascii="Times New Roman" w:hAnsi="Times New Roman" w:eastAsia="宋体" w:cs="Times New Roman"/>
                <w:color w:val="auto"/>
                <w:kern w:val="0"/>
                <w:sz w:val="21"/>
                <w:szCs w:val="21"/>
                <w:lang w:val="zh-CN"/>
              </w:rPr>
              <w:t>、</w:t>
            </w:r>
            <w:r>
              <w:rPr>
                <w:rFonts w:ascii="Times New Roman" w:hAnsi="Times New Roman" w:eastAsia="宋体" w:cs="Times New Roman"/>
                <w:color w:val="auto"/>
                <w:kern w:val="0"/>
                <w:sz w:val="21"/>
                <w:szCs w:val="21"/>
                <w:lang w:val="zh-CN"/>
              </w:rPr>
              <w:t>岗位安全生产责任制</w:t>
            </w:r>
            <w:r>
              <w:rPr>
                <w:rFonts w:hint="eastAsia" w:ascii="Times New Roman" w:hAnsi="Times New Roman" w:eastAsia="宋体" w:cs="Times New Roman"/>
                <w:color w:val="auto"/>
                <w:kern w:val="0"/>
                <w:sz w:val="21"/>
                <w:szCs w:val="21"/>
                <w:lang w:val="zh-CN"/>
              </w:rPr>
              <w:t>；</w:t>
            </w:r>
            <w:r>
              <w:rPr>
                <w:rFonts w:ascii="Times New Roman" w:hAnsi="Times New Roman" w:eastAsia="宋体" w:cs="Times New Roman"/>
                <w:color w:val="auto"/>
                <w:kern w:val="0"/>
                <w:sz w:val="21"/>
                <w:szCs w:val="21"/>
                <w:lang w:val="zh-CN"/>
              </w:rPr>
              <w:t>建立安全</w:t>
            </w:r>
            <w:r>
              <w:rPr>
                <w:rFonts w:hint="eastAsia" w:ascii="Times New Roman" w:hAnsi="Times New Roman" w:eastAsia="宋体" w:cs="Times New Roman"/>
                <w:color w:val="auto"/>
                <w:kern w:val="0"/>
                <w:sz w:val="21"/>
                <w:szCs w:val="21"/>
                <w:lang w:val="zh-CN"/>
              </w:rPr>
              <w:t>检查</w:t>
            </w:r>
            <w:r>
              <w:rPr>
                <w:rFonts w:ascii="Times New Roman" w:hAnsi="Times New Roman" w:eastAsia="宋体" w:cs="Times New Roman"/>
                <w:color w:val="auto"/>
                <w:kern w:val="0"/>
                <w:sz w:val="21"/>
                <w:szCs w:val="21"/>
                <w:lang w:val="zh-CN"/>
              </w:rPr>
              <w:t>制度</w:t>
            </w:r>
            <w:r>
              <w:rPr>
                <w:rFonts w:hint="eastAsia" w:ascii="Times New Roman" w:hAnsi="Times New Roman" w:eastAsia="宋体" w:cs="Times New Roman"/>
                <w:color w:val="auto"/>
                <w:kern w:val="0"/>
                <w:sz w:val="21"/>
                <w:szCs w:val="21"/>
                <w:lang w:val="zh-CN"/>
              </w:rPr>
              <w:t>、职业危害预防制度、安全教育培训制度、生产安全</w:t>
            </w:r>
            <w:r>
              <w:rPr>
                <w:rFonts w:ascii="Times New Roman" w:hAnsi="Times New Roman" w:eastAsia="宋体" w:cs="Times New Roman"/>
                <w:color w:val="auto"/>
                <w:kern w:val="0"/>
                <w:sz w:val="21"/>
                <w:szCs w:val="21"/>
                <w:lang w:val="zh-CN"/>
              </w:rPr>
              <w:t>事故管理制度</w:t>
            </w:r>
            <w:r>
              <w:rPr>
                <w:rFonts w:hint="eastAsia" w:ascii="Times New Roman" w:hAnsi="Times New Roman" w:eastAsia="宋体" w:cs="Times New Roman"/>
                <w:color w:val="auto"/>
                <w:kern w:val="0"/>
                <w:sz w:val="21"/>
                <w:szCs w:val="21"/>
                <w:lang w:val="zh-CN"/>
              </w:rPr>
              <w:t>、重大危险源监控和重大</w:t>
            </w:r>
            <w:r>
              <w:rPr>
                <w:rFonts w:ascii="Times New Roman" w:hAnsi="Times New Roman" w:eastAsia="宋体" w:cs="Times New Roman"/>
                <w:color w:val="auto"/>
                <w:kern w:val="0"/>
                <w:sz w:val="21"/>
                <w:szCs w:val="21"/>
                <w:lang w:val="zh-CN"/>
              </w:rPr>
              <w:t>隐患整改制度</w:t>
            </w:r>
            <w:r>
              <w:rPr>
                <w:rFonts w:hint="eastAsia" w:ascii="Times New Roman" w:hAnsi="Times New Roman" w:eastAsia="宋体" w:cs="Times New Roman"/>
                <w:color w:val="auto"/>
                <w:kern w:val="0"/>
                <w:sz w:val="21"/>
                <w:szCs w:val="21"/>
                <w:lang w:val="zh-CN"/>
              </w:rPr>
              <w:t>、设备安全管理制度、安全生产档案管理制度、安全生产奖惩制度等规章</w:t>
            </w:r>
            <w:r>
              <w:rPr>
                <w:rFonts w:ascii="Times New Roman" w:hAnsi="Times New Roman" w:eastAsia="宋体" w:cs="Times New Roman"/>
                <w:color w:val="auto"/>
                <w:kern w:val="0"/>
                <w:sz w:val="21"/>
                <w:szCs w:val="21"/>
                <w:lang w:val="zh-CN"/>
              </w:rPr>
              <w:t>制度</w:t>
            </w:r>
            <w:r>
              <w:rPr>
                <w:rFonts w:hint="eastAsia" w:ascii="Times New Roman" w:hAnsi="Times New Roman" w:eastAsia="宋体" w:cs="Times New Roman"/>
                <w:color w:val="auto"/>
                <w:kern w:val="0"/>
                <w:sz w:val="21"/>
                <w:szCs w:val="21"/>
                <w:lang w:val="zh-CN"/>
              </w:rPr>
              <w:t>；</w:t>
            </w:r>
            <w:r>
              <w:rPr>
                <w:rFonts w:ascii="Times New Roman" w:hAnsi="Times New Roman" w:eastAsia="宋体" w:cs="Times New Roman"/>
                <w:color w:val="auto"/>
                <w:kern w:val="0"/>
                <w:sz w:val="21"/>
                <w:szCs w:val="21"/>
                <w:lang w:val="zh-CN"/>
              </w:rPr>
              <w:t>制定</w:t>
            </w:r>
            <w:r>
              <w:rPr>
                <w:rFonts w:hint="eastAsia" w:ascii="Times New Roman" w:hAnsi="Times New Roman" w:eastAsia="宋体" w:cs="Times New Roman"/>
                <w:color w:val="auto"/>
                <w:kern w:val="0"/>
                <w:sz w:val="21"/>
                <w:szCs w:val="21"/>
                <w:lang w:val="zh-CN"/>
              </w:rPr>
              <w:t>作业安全规程和</w:t>
            </w:r>
            <w:r>
              <w:rPr>
                <w:rFonts w:ascii="Times New Roman" w:hAnsi="Times New Roman" w:eastAsia="宋体" w:cs="Times New Roman"/>
                <w:color w:val="auto"/>
                <w:kern w:val="0"/>
                <w:sz w:val="21"/>
                <w:szCs w:val="21"/>
                <w:lang w:val="zh-CN"/>
              </w:rPr>
              <w:t>各工种操作规程。</w:t>
            </w:r>
          </w:p>
        </w:tc>
        <w:tc>
          <w:tcPr>
            <w:tcW w:w="1182" w:type="pct"/>
            <w:noWrap w:val="0"/>
            <w:vAlign w:val="center"/>
          </w:tcPr>
          <w:p w14:paraId="2F27A0A3">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ascii="Times New Roman" w:hAnsi="Times New Roman" w:eastAsia="宋体" w:cs="Times New Roman"/>
                <w:color w:val="auto"/>
                <w:kern w:val="0"/>
                <w:sz w:val="21"/>
                <w:szCs w:val="21"/>
                <w:lang w:val="zh-CN"/>
              </w:rPr>
            </w:pPr>
            <w:r>
              <w:rPr>
                <w:rFonts w:ascii="Times New Roman" w:hAnsi="Times New Roman" w:eastAsia="宋体" w:cs="Times New Roman"/>
                <w:color w:val="auto"/>
                <w:sz w:val="21"/>
                <w:szCs w:val="21"/>
              </w:rPr>
              <w:t>《安全生产法》第</w:t>
            </w:r>
            <w:r>
              <w:rPr>
                <w:rFonts w:hint="eastAsia" w:ascii="Times New Roman" w:hAnsi="Times New Roman" w:eastAsia="宋体" w:cs="Times New Roman"/>
                <w:color w:val="auto"/>
                <w:sz w:val="21"/>
                <w:szCs w:val="21"/>
              </w:rPr>
              <w:t>四</w:t>
            </w:r>
            <w:r>
              <w:rPr>
                <w:rFonts w:ascii="Times New Roman" w:hAnsi="Times New Roman" w:eastAsia="宋体" w:cs="Times New Roman"/>
                <w:color w:val="auto"/>
                <w:sz w:val="21"/>
                <w:szCs w:val="21"/>
              </w:rPr>
              <w:t>条、《</w:t>
            </w:r>
            <w:r>
              <w:rPr>
                <w:rFonts w:hint="eastAsia" w:ascii="Times New Roman" w:hAnsi="Times New Roman" w:eastAsia="宋体" w:cs="Times New Roman"/>
                <w:color w:val="auto"/>
                <w:kern w:val="0"/>
                <w:sz w:val="21"/>
                <w:szCs w:val="21"/>
                <w:lang w:val="zh-CN"/>
              </w:rPr>
              <w:t>非煤矿矿山企业</w:t>
            </w:r>
            <w:r>
              <w:rPr>
                <w:rFonts w:ascii="Times New Roman" w:hAnsi="Times New Roman" w:eastAsia="宋体" w:cs="Times New Roman"/>
                <w:color w:val="auto"/>
                <w:kern w:val="0"/>
                <w:sz w:val="21"/>
                <w:szCs w:val="21"/>
                <w:lang w:val="zh-CN"/>
              </w:rPr>
              <w:t>安全生产许可证</w:t>
            </w:r>
            <w:r>
              <w:rPr>
                <w:rFonts w:hint="eastAsia" w:ascii="Times New Roman" w:hAnsi="Times New Roman" w:eastAsia="宋体" w:cs="Times New Roman"/>
                <w:color w:val="auto"/>
                <w:kern w:val="0"/>
                <w:sz w:val="21"/>
                <w:szCs w:val="21"/>
                <w:lang w:val="zh-CN"/>
              </w:rPr>
              <w:t>实施办法</w:t>
            </w:r>
            <w:r>
              <w:rPr>
                <w:rFonts w:ascii="Times New Roman" w:hAnsi="Times New Roman" w:eastAsia="宋体" w:cs="Times New Roman"/>
                <w:color w:val="auto"/>
                <w:kern w:val="0"/>
                <w:sz w:val="21"/>
                <w:szCs w:val="21"/>
                <w:lang w:val="zh-CN"/>
              </w:rPr>
              <w:t>》</w:t>
            </w:r>
            <w:r>
              <w:rPr>
                <w:rFonts w:hint="eastAsia" w:ascii="Times New Roman" w:hAnsi="Times New Roman" w:eastAsia="宋体" w:cs="Times New Roman"/>
                <w:color w:val="auto"/>
                <w:kern w:val="0"/>
                <w:sz w:val="21"/>
                <w:szCs w:val="21"/>
                <w:lang w:val="zh-CN"/>
              </w:rPr>
              <w:t>（安监总局78号令修订）</w:t>
            </w:r>
          </w:p>
        </w:tc>
        <w:tc>
          <w:tcPr>
            <w:tcW w:w="945" w:type="pct"/>
            <w:gridSpan w:val="2"/>
            <w:noWrap w:val="0"/>
            <w:vAlign w:val="center"/>
          </w:tcPr>
          <w:p w14:paraId="4DDAC8B7">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kern w:val="0"/>
                <w:sz w:val="21"/>
                <w:szCs w:val="21"/>
                <w:lang w:val="zh-CN"/>
              </w:rPr>
              <w:t>制定了</w:t>
            </w:r>
            <w:r>
              <w:rPr>
                <w:rFonts w:hint="eastAsia" w:ascii="Times New Roman" w:hAnsi="Times New Roman" w:eastAsia="宋体" w:cs="Times New Roman"/>
                <w:color w:val="auto"/>
                <w:kern w:val="0"/>
                <w:sz w:val="21"/>
                <w:szCs w:val="21"/>
                <w:lang w:val="en-US" w:eastAsia="zh-CN"/>
              </w:rPr>
              <w:t>企业全员</w:t>
            </w:r>
            <w:r>
              <w:rPr>
                <w:rFonts w:ascii="Times New Roman" w:hAnsi="Times New Roman" w:eastAsia="宋体" w:cs="Times New Roman"/>
                <w:color w:val="auto"/>
                <w:kern w:val="0"/>
                <w:sz w:val="21"/>
                <w:szCs w:val="21"/>
                <w:lang w:val="zh-CN"/>
              </w:rPr>
              <w:t>安全生产责任制</w:t>
            </w:r>
            <w:r>
              <w:rPr>
                <w:rFonts w:hint="eastAsia" w:ascii="Times New Roman" w:hAnsi="Times New Roman" w:eastAsia="宋体" w:cs="Times New Roman"/>
                <w:color w:val="auto"/>
                <w:kern w:val="0"/>
                <w:sz w:val="21"/>
                <w:szCs w:val="21"/>
                <w:lang w:val="zh-CN"/>
              </w:rPr>
              <w:t>、安全生产管理制度、作业安全规程和</w:t>
            </w:r>
            <w:r>
              <w:rPr>
                <w:rFonts w:ascii="Times New Roman" w:hAnsi="Times New Roman" w:eastAsia="宋体" w:cs="Times New Roman"/>
                <w:color w:val="auto"/>
                <w:kern w:val="0"/>
                <w:sz w:val="21"/>
                <w:szCs w:val="21"/>
                <w:lang w:val="zh-CN"/>
              </w:rPr>
              <w:t>各工种操作规程。</w:t>
            </w:r>
          </w:p>
        </w:tc>
        <w:tc>
          <w:tcPr>
            <w:tcW w:w="294" w:type="pct"/>
            <w:noWrap w:val="0"/>
            <w:vAlign w:val="center"/>
          </w:tcPr>
          <w:p w14:paraId="6505FDF8">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kern w:val="0"/>
                <w:sz w:val="21"/>
                <w:szCs w:val="21"/>
                <w:lang w:val="zh-CN"/>
              </w:rPr>
              <w:t>符合</w:t>
            </w:r>
          </w:p>
        </w:tc>
      </w:tr>
      <w:tr w14:paraId="64163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65" w:hRule="atLeast"/>
          <w:jc w:val="center"/>
        </w:trPr>
        <w:tc>
          <w:tcPr>
            <w:tcW w:w="284" w:type="pct"/>
            <w:vMerge w:val="restart"/>
            <w:noWrap w:val="0"/>
            <w:vAlign w:val="center"/>
          </w:tcPr>
          <w:p w14:paraId="10CBA595">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kern w:val="0"/>
                <w:sz w:val="21"/>
                <w:szCs w:val="21"/>
                <w:lang w:val="zh-CN"/>
              </w:rPr>
              <w:t>6</w:t>
            </w:r>
          </w:p>
        </w:tc>
        <w:tc>
          <w:tcPr>
            <w:tcW w:w="560" w:type="pct"/>
            <w:vMerge w:val="restart"/>
            <w:noWrap w:val="0"/>
            <w:vAlign w:val="center"/>
          </w:tcPr>
          <w:p w14:paraId="7B2F91B9">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kern w:val="0"/>
                <w:sz w:val="21"/>
                <w:szCs w:val="21"/>
                <w:lang w:val="zh-CN"/>
              </w:rPr>
              <w:t>职业安全</w:t>
            </w:r>
          </w:p>
        </w:tc>
        <w:tc>
          <w:tcPr>
            <w:tcW w:w="1734" w:type="pct"/>
            <w:noWrap w:val="0"/>
            <w:vAlign w:val="center"/>
          </w:tcPr>
          <w:p w14:paraId="69134A1D">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kern w:val="0"/>
                <w:sz w:val="21"/>
                <w:szCs w:val="21"/>
                <w:lang w:val="zh-CN"/>
              </w:rPr>
              <w:t>制定防治职业危害的具体措施，并为从业人员配备符合国家标准或行业标准的劳动防护用品。</w:t>
            </w:r>
          </w:p>
        </w:tc>
        <w:tc>
          <w:tcPr>
            <w:tcW w:w="1182" w:type="pct"/>
            <w:vMerge w:val="restart"/>
            <w:noWrap w:val="0"/>
            <w:vAlign w:val="center"/>
          </w:tcPr>
          <w:p w14:paraId="1B7644E8">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ascii="Times New Roman" w:hAnsi="Times New Roman" w:eastAsia="宋体" w:cs="Times New Roman"/>
                <w:color w:val="auto"/>
                <w:kern w:val="0"/>
                <w:sz w:val="21"/>
                <w:szCs w:val="21"/>
                <w:lang w:val="zh-CN"/>
              </w:rPr>
            </w:pPr>
            <w:r>
              <w:rPr>
                <w:rFonts w:ascii="Times New Roman" w:hAnsi="Times New Roman" w:eastAsia="宋体" w:cs="Times New Roman"/>
                <w:color w:val="auto"/>
                <w:sz w:val="21"/>
                <w:szCs w:val="21"/>
              </w:rPr>
              <w:t>《安全生产法》第</w:t>
            </w:r>
            <w:r>
              <w:rPr>
                <w:rFonts w:hint="eastAsia" w:ascii="Times New Roman" w:hAnsi="Times New Roman" w:eastAsia="宋体" w:cs="Times New Roman"/>
                <w:color w:val="auto"/>
                <w:sz w:val="21"/>
                <w:szCs w:val="21"/>
              </w:rPr>
              <w:t>四十五、五十一</w:t>
            </w:r>
            <w:r>
              <w:rPr>
                <w:rFonts w:ascii="Times New Roman" w:hAnsi="Times New Roman" w:eastAsia="宋体" w:cs="Times New Roman"/>
                <w:color w:val="auto"/>
                <w:sz w:val="21"/>
                <w:szCs w:val="21"/>
              </w:rPr>
              <w:t>条《</w:t>
            </w:r>
            <w:r>
              <w:rPr>
                <w:rFonts w:hint="eastAsia" w:ascii="Times New Roman" w:hAnsi="Times New Roman" w:eastAsia="宋体" w:cs="Times New Roman"/>
                <w:color w:val="auto"/>
                <w:kern w:val="0"/>
                <w:sz w:val="21"/>
                <w:szCs w:val="21"/>
                <w:lang w:val="zh-CN"/>
              </w:rPr>
              <w:t>非煤矿矿山企业</w:t>
            </w:r>
            <w:r>
              <w:rPr>
                <w:rFonts w:ascii="Times New Roman" w:hAnsi="Times New Roman" w:eastAsia="宋体" w:cs="Times New Roman"/>
                <w:color w:val="auto"/>
                <w:kern w:val="0"/>
                <w:sz w:val="21"/>
                <w:szCs w:val="21"/>
                <w:lang w:val="zh-CN"/>
              </w:rPr>
              <w:t>安全生产许可证</w:t>
            </w:r>
            <w:r>
              <w:rPr>
                <w:rFonts w:hint="eastAsia" w:ascii="Times New Roman" w:hAnsi="Times New Roman" w:eastAsia="宋体" w:cs="Times New Roman"/>
                <w:color w:val="auto"/>
                <w:kern w:val="0"/>
                <w:sz w:val="21"/>
                <w:szCs w:val="21"/>
                <w:lang w:val="zh-CN"/>
              </w:rPr>
              <w:t>实施办法</w:t>
            </w:r>
            <w:r>
              <w:rPr>
                <w:rFonts w:ascii="Times New Roman" w:hAnsi="Times New Roman" w:eastAsia="宋体" w:cs="Times New Roman"/>
                <w:color w:val="auto"/>
                <w:kern w:val="0"/>
                <w:sz w:val="21"/>
                <w:szCs w:val="21"/>
                <w:lang w:val="zh-CN"/>
              </w:rPr>
              <w:t>》</w:t>
            </w:r>
            <w:r>
              <w:rPr>
                <w:rFonts w:hint="eastAsia" w:ascii="Times New Roman" w:hAnsi="Times New Roman" w:eastAsia="宋体" w:cs="Times New Roman"/>
                <w:color w:val="auto"/>
                <w:kern w:val="0"/>
                <w:sz w:val="21"/>
                <w:szCs w:val="21"/>
                <w:lang w:val="zh-CN"/>
              </w:rPr>
              <w:t>（安监总局78号令修订）</w:t>
            </w:r>
          </w:p>
        </w:tc>
        <w:tc>
          <w:tcPr>
            <w:tcW w:w="945" w:type="pct"/>
            <w:gridSpan w:val="2"/>
            <w:noWrap w:val="0"/>
            <w:vAlign w:val="center"/>
          </w:tcPr>
          <w:p w14:paraId="260D8FD1">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kern w:val="0"/>
                <w:sz w:val="21"/>
                <w:szCs w:val="21"/>
                <w:lang w:val="zh-CN"/>
              </w:rPr>
              <w:t>有防治职业危害的具体措施，为从业人员发放有标准的劳动防护用品。</w:t>
            </w:r>
          </w:p>
        </w:tc>
        <w:tc>
          <w:tcPr>
            <w:tcW w:w="294" w:type="pct"/>
            <w:noWrap w:val="0"/>
            <w:vAlign w:val="center"/>
          </w:tcPr>
          <w:p w14:paraId="2BE14239">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kern w:val="0"/>
                <w:sz w:val="21"/>
                <w:szCs w:val="21"/>
                <w:lang w:val="zh-CN"/>
              </w:rPr>
              <w:t>符合</w:t>
            </w:r>
          </w:p>
        </w:tc>
      </w:tr>
      <w:tr w14:paraId="009C2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980" w:hRule="atLeast"/>
          <w:jc w:val="center"/>
        </w:trPr>
        <w:tc>
          <w:tcPr>
            <w:tcW w:w="284" w:type="pct"/>
            <w:vMerge w:val="continue"/>
            <w:noWrap w:val="0"/>
            <w:vAlign w:val="center"/>
          </w:tcPr>
          <w:p w14:paraId="35CD72E6">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ascii="Times New Roman" w:hAnsi="Times New Roman" w:eastAsia="宋体" w:cs="Times New Roman"/>
                <w:color w:val="auto"/>
                <w:kern w:val="0"/>
                <w:sz w:val="21"/>
                <w:szCs w:val="21"/>
                <w:lang w:val="zh-CN"/>
              </w:rPr>
            </w:pPr>
          </w:p>
        </w:tc>
        <w:tc>
          <w:tcPr>
            <w:tcW w:w="560" w:type="pct"/>
            <w:vMerge w:val="continue"/>
            <w:noWrap w:val="0"/>
            <w:vAlign w:val="center"/>
          </w:tcPr>
          <w:p w14:paraId="1121F729">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ascii="Times New Roman" w:hAnsi="Times New Roman" w:eastAsia="宋体" w:cs="Times New Roman"/>
                <w:color w:val="auto"/>
                <w:kern w:val="0"/>
                <w:sz w:val="21"/>
                <w:szCs w:val="21"/>
                <w:lang w:val="zh-CN"/>
              </w:rPr>
            </w:pPr>
          </w:p>
        </w:tc>
        <w:tc>
          <w:tcPr>
            <w:tcW w:w="1734" w:type="pct"/>
            <w:noWrap w:val="0"/>
            <w:vAlign w:val="center"/>
          </w:tcPr>
          <w:p w14:paraId="50C81B91">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kern w:val="0"/>
                <w:sz w:val="21"/>
                <w:szCs w:val="21"/>
                <w:lang w:val="zh-CN"/>
              </w:rPr>
              <w:t>依法参加工伤</w:t>
            </w:r>
            <w:r>
              <w:rPr>
                <w:rFonts w:ascii="Times New Roman" w:hAnsi="Times New Roman" w:eastAsia="宋体" w:cs="Times New Roman"/>
                <w:color w:val="auto"/>
                <w:kern w:val="0"/>
                <w:sz w:val="21"/>
                <w:szCs w:val="21"/>
                <w:lang w:val="zh-CN"/>
              </w:rPr>
              <w:t>保险</w:t>
            </w:r>
            <w:r>
              <w:rPr>
                <w:rFonts w:hint="eastAsia" w:ascii="Times New Roman" w:hAnsi="Times New Roman" w:eastAsia="宋体" w:cs="Times New Roman"/>
                <w:color w:val="auto"/>
                <w:kern w:val="0"/>
                <w:sz w:val="21"/>
                <w:szCs w:val="21"/>
                <w:lang w:val="zh-CN"/>
              </w:rPr>
              <w:t>；</w:t>
            </w:r>
            <w:r>
              <w:rPr>
                <w:rFonts w:ascii="Times New Roman" w:hAnsi="Times New Roman" w:eastAsia="宋体" w:cs="Times New Roman"/>
                <w:color w:val="auto"/>
                <w:kern w:val="0"/>
                <w:sz w:val="21"/>
                <w:szCs w:val="21"/>
                <w:lang w:val="zh-CN"/>
              </w:rPr>
              <w:t>为从业人员缴纳保险</w:t>
            </w:r>
            <w:r>
              <w:rPr>
                <w:rFonts w:hint="eastAsia" w:ascii="Times New Roman" w:hAnsi="Times New Roman" w:eastAsia="宋体" w:cs="Times New Roman"/>
                <w:color w:val="auto"/>
                <w:kern w:val="0"/>
                <w:sz w:val="21"/>
                <w:szCs w:val="21"/>
                <w:lang w:val="zh-CN"/>
              </w:rPr>
              <w:t>费。</w:t>
            </w:r>
          </w:p>
        </w:tc>
        <w:tc>
          <w:tcPr>
            <w:tcW w:w="1182" w:type="pct"/>
            <w:vMerge w:val="continue"/>
            <w:noWrap w:val="0"/>
            <w:vAlign w:val="center"/>
          </w:tcPr>
          <w:p w14:paraId="3F867721">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ascii="Times New Roman" w:hAnsi="Times New Roman" w:eastAsia="宋体" w:cs="Times New Roman"/>
                <w:color w:val="auto"/>
                <w:kern w:val="0"/>
                <w:sz w:val="21"/>
                <w:szCs w:val="21"/>
                <w:lang w:val="zh-CN"/>
              </w:rPr>
            </w:pPr>
          </w:p>
        </w:tc>
        <w:tc>
          <w:tcPr>
            <w:tcW w:w="945" w:type="pct"/>
            <w:gridSpan w:val="2"/>
            <w:noWrap w:val="0"/>
            <w:vAlign w:val="center"/>
          </w:tcPr>
          <w:p w14:paraId="7E1A7DB7">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kern w:val="0"/>
                <w:sz w:val="21"/>
                <w:szCs w:val="21"/>
                <w:lang w:val="zh-CN"/>
              </w:rPr>
              <w:t>参加了工伤保险，为从业人员缴纳了保险费。</w:t>
            </w:r>
          </w:p>
        </w:tc>
        <w:tc>
          <w:tcPr>
            <w:tcW w:w="294" w:type="pct"/>
            <w:noWrap w:val="0"/>
            <w:vAlign w:val="center"/>
          </w:tcPr>
          <w:p w14:paraId="240F5940">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kern w:val="0"/>
                <w:sz w:val="21"/>
                <w:szCs w:val="21"/>
                <w:lang w:val="zh-CN"/>
              </w:rPr>
              <w:t>符合</w:t>
            </w:r>
          </w:p>
        </w:tc>
      </w:tr>
      <w:tr w14:paraId="74731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978" w:hRule="atLeast"/>
          <w:jc w:val="center"/>
        </w:trPr>
        <w:tc>
          <w:tcPr>
            <w:tcW w:w="284" w:type="pct"/>
            <w:noWrap w:val="0"/>
            <w:vAlign w:val="center"/>
          </w:tcPr>
          <w:p w14:paraId="62007C9B">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kern w:val="0"/>
                <w:sz w:val="21"/>
                <w:szCs w:val="21"/>
                <w:lang w:val="zh-CN"/>
              </w:rPr>
              <w:t>7</w:t>
            </w:r>
          </w:p>
        </w:tc>
        <w:tc>
          <w:tcPr>
            <w:tcW w:w="560" w:type="pct"/>
            <w:noWrap w:val="0"/>
            <w:vAlign w:val="center"/>
          </w:tcPr>
          <w:p w14:paraId="27BDD8A7">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kern w:val="0"/>
                <w:sz w:val="21"/>
                <w:szCs w:val="21"/>
                <w:lang w:val="zh-CN"/>
              </w:rPr>
              <w:t>安全投入</w:t>
            </w:r>
          </w:p>
        </w:tc>
        <w:tc>
          <w:tcPr>
            <w:tcW w:w="1734" w:type="pct"/>
            <w:noWrap w:val="0"/>
            <w:vAlign w:val="center"/>
          </w:tcPr>
          <w:p w14:paraId="46982BC6">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ascii="Times New Roman" w:hAnsi="Times New Roman" w:eastAsia="宋体" w:cs="Times New Roman"/>
                <w:color w:val="auto"/>
                <w:kern w:val="0"/>
                <w:sz w:val="21"/>
                <w:szCs w:val="21"/>
                <w:lang w:val="zh-CN"/>
              </w:rPr>
            </w:pPr>
            <w:r>
              <w:rPr>
                <w:rFonts w:ascii="Times New Roman" w:hAnsi="Times New Roman" w:eastAsia="宋体" w:cs="Times New Roman"/>
                <w:color w:val="auto"/>
                <w:kern w:val="0"/>
                <w:sz w:val="21"/>
                <w:szCs w:val="21"/>
                <w:lang w:val="zh-CN"/>
              </w:rPr>
              <w:t>生产经营单位应当具备的安全生产条件所必需的资金投入，由生产经营单位的决策机构、主要负责人或者个人经营的投资人予以保证，并对由于安全生产所必需的资金投入不足导致的后果承担责任。有关生产经营单位应当按照规定提取和使用安全生产费用，专门用于改善安全生产条件。安全生产费用在成本中据实列支。</w:t>
            </w:r>
          </w:p>
        </w:tc>
        <w:tc>
          <w:tcPr>
            <w:tcW w:w="1182" w:type="pct"/>
            <w:noWrap w:val="0"/>
            <w:vAlign w:val="center"/>
          </w:tcPr>
          <w:p w14:paraId="6504CF7B">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r>
              <w:rPr>
                <w:rFonts w:ascii="Times New Roman" w:hAnsi="Times New Roman" w:eastAsia="宋体" w:cs="Times New Roman"/>
                <w:color w:val="auto"/>
                <w:sz w:val="21"/>
                <w:szCs w:val="21"/>
              </w:rPr>
              <w:t>《安全生产法》第</w:t>
            </w:r>
            <w:r>
              <w:rPr>
                <w:rFonts w:hint="eastAsia" w:ascii="Times New Roman" w:hAnsi="Times New Roman" w:eastAsia="宋体" w:cs="Times New Roman"/>
                <w:color w:val="auto"/>
                <w:sz w:val="21"/>
                <w:szCs w:val="21"/>
              </w:rPr>
              <w:t>四十七</w:t>
            </w:r>
            <w:r>
              <w:rPr>
                <w:rFonts w:ascii="Times New Roman" w:hAnsi="Times New Roman" w:eastAsia="宋体" w:cs="Times New Roman"/>
                <w:color w:val="auto"/>
                <w:sz w:val="21"/>
                <w:szCs w:val="21"/>
              </w:rPr>
              <w:t>条</w:t>
            </w:r>
          </w:p>
        </w:tc>
        <w:tc>
          <w:tcPr>
            <w:tcW w:w="945" w:type="pct"/>
            <w:gridSpan w:val="2"/>
            <w:noWrap w:val="0"/>
            <w:vAlign w:val="center"/>
          </w:tcPr>
          <w:p w14:paraId="164F91EE">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kern w:val="0"/>
                <w:sz w:val="21"/>
                <w:szCs w:val="21"/>
                <w:lang w:val="zh-CN"/>
              </w:rPr>
              <w:t>有安全生产投入证明材料。</w:t>
            </w:r>
          </w:p>
        </w:tc>
        <w:tc>
          <w:tcPr>
            <w:tcW w:w="294" w:type="pct"/>
            <w:noWrap w:val="0"/>
            <w:vAlign w:val="center"/>
          </w:tcPr>
          <w:p w14:paraId="4D762C1C">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kern w:val="0"/>
                <w:sz w:val="21"/>
                <w:szCs w:val="21"/>
                <w:lang w:val="zh-CN"/>
              </w:rPr>
              <w:t>符合</w:t>
            </w:r>
          </w:p>
        </w:tc>
      </w:tr>
      <w:tr w14:paraId="33FE9D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65" w:hRule="atLeast"/>
          <w:jc w:val="center"/>
        </w:trPr>
        <w:tc>
          <w:tcPr>
            <w:tcW w:w="284" w:type="pct"/>
            <w:vMerge w:val="restart"/>
            <w:noWrap w:val="0"/>
            <w:vAlign w:val="center"/>
          </w:tcPr>
          <w:p w14:paraId="56D07B6B">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kern w:val="0"/>
                <w:sz w:val="21"/>
                <w:szCs w:val="21"/>
                <w:lang w:val="zh-CN"/>
              </w:rPr>
              <w:t>8</w:t>
            </w:r>
          </w:p>
        </w:tc>
        <w:tc>
          <w:tcPr>
            <w:tcW w:w="560" w:type="pct"/>
            <w:vMerge w:val="restart"/>
            <w:noWrap w:val="0"/>
            <w:vAlign w:val="center"/>
          </w:tcPr>
          <w:p w14:paraId="40FEC7C8">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kern w:val="0"/>
                <w:sz w:val="21"/>
                <w:szCs w:val="21"/>
                <w:lang w:val="zh-CN"/>
              </w:rPr>
              <w:t>应急救援</w:t>
            </w:r>
          </w:p>
        </w:tc>
        <w:tc>
          <w:tcPr>
            <w:tcW w:w="1734" w:type="pct"/>
            <w:noWrap w:val="0"/>
            <w:vAlign w:val="center"/>
          </w:tcPr>
          <w:p w14:paraId="50427103">
            <w:pPr>
              <w:keepNext w:val="0"/>
              <w:keepLines w:val="0"/>
              <w:pageBreakBefore w:val="0"/>
              <w:widowControl w:val="0"/>
              <w:kinsoku/>
              <w:wordWrap/>
              <w:overflowPunct/>
              <w:topLinePunct w:val="0"/>
              <w:bidi w:val="0"/>
              <w:snapToGrid/>
              <w:spacing w:line="240" w:lineRule="auto"/>
              <w:ind w:firstLine="0" w:firstLineChars="0"/>
              <w:jc w:val="center"/>
              <w:textAlignment w:val="auto"/>
              <w:rPr>
                <w:rFonts w:hint="eastAsia" w:ascii="Times New Roman" w:hAnsi="Times New Roman" w:eastAsia="宋体" w:cs="Times New Roman"/>
                <w:color w:val="auto"/>
                <w:sz w:val="21"/>
                <w:szCs w:val="21"/>
              </w:rPr>
            </w:pPr>
            <w:r>
              <w:rPr>
                <w:rFonts w:ascii="Times New Roman" w:hAnsi="Times New Roman" w:eastAsia="宋体" w:cs="Times New Roman"/>
                <w:bCs/>
                <w:color w:val="auto"/>
                <w:sz w:val="21"/>
                <w:szCs w:val="21"/>
              </w:rPr>
              <w:t>制订事故应急救援预案</w:t>
            </w:r>
            <w:r>
              <w:rPr>
                <w:rFonts w:hint="eastAsia" w:ascii="Times New Roman" w:hAnsi="Times New Roman" w:eastAsia="宋体" w:cs="Times New Roman"/>
                <w:bCs/>
                <w:color w:val="auto"/>
                <w:sz w:val="21"/>
                <w:szCs w:val="21"/>
              </w:rPr>
              <w:t>，</w:t>
            </w:r>
            <w:r>
              <w:rPr>
                <w:rFonts w:hint="eastAsia" w:ascii="Times New Roman" w:hAnsi="Times New Roman" w:eastAsia="宋体" w:cs="Times New Roman"/>
                <w:color w:val="auto"/>
                <w:sz w:val="21"/>
                <w:szCs w:val="21"/>
              </w:rPr>
              <w:t>建</w:t>
            </w:r>
            <w:r>
              <w:rPr>
                <w:rFonts w:ascii="Times New Roman" w:hAnsi="Times New Roman" w:eastAsia="宋体" w:cs="Times New Roman"/>
                <w:color w:val="auto"/>
                <w:sz w:val="21"/>
                <w:szCs w:val="21"/>
              </w:rPr>
              <w:t>立</w:t>
            </w:r>
            <w:r>
              <w:rPr>
                <w:rFonts w:hint="eastAsia" w:ascii="Times New Roman" w:hAnsi="Times New Roman" w:eastAsia="宋体" w:cs="Times New Roman"/>
                <w:color w:val="auto"/>
                <w:sz w:val="21"/>
                <w:szCs w:val="21"/>
              </w:rPr>
              <w:t>事故</w:t>
            </w:r>
            <w:r>
              <w:rPr>
                <w:rFonts w:ascii="Times New Roman" w:hAnsi="Times New Roman" w:eastAsia="宋体" w:cs="Times New Roman"/>
                <w:color w:val="auto"/>
                <w:sz w:val="21"/>
                <w:szCs w:val="21"/>
              </w:rPr>
              <w:t>应急救援组织</w:t>
            </w:r>
            <w:r>
              <w:rPr>
                <w:rFonts w:hint="eastAsia" w:ascii="Times New Roman" w:hAnsi="Times New Roman" w:eastAsia="宋体" w:cs="Times New Roman"/>
                <w:color w:val="auto"/>
                <w:sz w:val="21"/>
                <w:szCs w:val="21"/>
              </w:rPr>
              <w:t>，配备必要的应急救援器材、设备；生产规模较小可以不建立事故应急救援组织的，应当</w:t>
            </w:r>
            <w:r>
              <w:rPr>
                <w:rFonts w:ascii="Times New Roman" w:hAnsi="Times New Roman" w:eastAsia="宋体" w:cs="Times New Roman"/>
                <w:color w:val="auto"/>
                <w:sz w:val="21"/>
                <w:szCs w:val="21"/>
              </w:rPr>
              <w:t>指定</w:t>
            </w:r>
            <w:r>
              <w:rPr>
                <w:rFonts w:hint="eastAsia" w:ascii="Times New Roman" w:hAnsi="Times New Roman" w:eastAsia="宋体" w:cs="Times New Roman"/>
                <w:color w:val="auto"/>
                <w:sz w:val="21"/>
                <w:szCs w:val="21"/>
              </w:rPr>
              <w:t>兼</w:t>
            </w:r>
            <w:r>
              <w:rPr>
                <w:rFonts w:ascii="Times New Roman" w:hAnsi="Times New Roman" w:eastAsia="宋体" w:cs="Times New Roman"/>
                <w:color w:val="auto"/>
                <w:sz w:val="21"/>
                <w:szCs w:val="21"/>
              </w:rPr>
              <w:t>职</w:t>
            </w:r>
            <w:r>
              <w:rPr>
                <w:rFonts w:hint="eastAsia" w:ascii="Times New Roman" w:hAnsi="Times New Roman" w:eastAsia="宋体" w:cs="Times New Roman"/>
                <w:color w:val="auto"/>
                <w:sz w:val="21"/>
                <w:szCs w:val="21"/>
              </w:rPr>
              <w:t>的应急救援</w:t>
            </w:r>
            <w:r>
              <w:rPr>
                <w:rFonts w:ascii="Times New Roman" w:hAnsi="Times New Roman" w:eastAsia="宋体" w:cs="Times New Roman"/>
                <w:color w:val="auto"/>
                <w:sz w:val="21"/>
                <w:szCs w:val="21"/>
              </w:rPr>
              <w:t>人员</w:t>
            </w:r>
            <w:r>
              <w:rPr>
                <w:rFonts w:hint="eastAsia" w:ascii="Times New Roman" w:hAnsi="Times New Roman" w:eastAsia="宋体" w:cs="Times New Roman"/>
                <w:color w:val="auto"/>
                <w:sz w:val="21"/>
                <w:szCs w:val="21"/>
              </w:rPr>
              <w:t>。</w:t>
            </w:r>
          </w:p>
        </w:tc>
        <w:tc>
          <w:tcPr>
            <w:tcW w:w="1182" w:type="pct"/>
            <w:vMerge w:val="restart"/>
            <w:noWrap w:val="0"/>
            <w:vAlign w:val="center"/>
          </w:tcPr>
          <w:p w14:paraId="3C5666FE">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ascii="Times New Roman" w:hAnsi="Times New Roman" w:eastAsia="宋体" w:cs="Times New Roman"/>
                <w:color w:val="auto"/>
                <w:kern w:val="0"/>
                <w:sz w:val="21"/>
                <w:szCs w:val="21"/>
                <w:lang w:val="zh-CN"/>
              </w:rPr>
            </w:pPr>
            <w:r>
              <w:rPr>
                <w:rFonts w:ascii="Times New Roman" w:hAnsi="Times New Roman" w:eastAsia="宋体" w:cs="Times New Roman"/>
                <w:color w:val="auto"/>
                <w:sz w:val="21"/>
                <w:szCs w:val="21"/>
              </w:rPr>
              <w:t>《安全生产法》第</w:t>
            </w:r>
            <w:r>
              <w:rPr>
                <w:rFonts w:hint="eastAsia" w:ascii="Times New Roman" w:hAnsi="Times New Roman" w:eastAsia="宋体" w:cs="Times New Roman"/>
                <w:color w:val="auto"/>
                <w:sz w:val="21"/>
                <w:szCs w:val="21"/>
              </w:rPr>
              <w:t>四十</w:t>
            </w:r>
            <w:r>
              <w:rPr>
                <w:rFonts w:ascii="Times New Roman" w:hAnsi="Times New Roman" w:eastAsia="宋体" w:cs="Times New Roman"/>
                <w:color w:val="auto"/>
                <w:sz w:val="21"/>
                <w:szCs w:val="21"/>
              </w:rPr>
              <w:t>条</w:t>
            </w:r>
            <w:r>
              <w:rPr>
                <w:rFonts w:hint="eastAsia" w:ascii="Times New Roman" w:hAnsi="Times New Roman" w:eastAsia="宋体" w:cs="Times New Roman"/>
                <w:color w:val="auto"/>
                <w:sz w:val="21"/>
                <w:szCs w:val="21"/>
              </w:rPr>
              <w:t>、</w:t>
            </w:r>
            <w:r>
              <w:rPr>
                <w:rFonts w:ascii="Times New Roman" w:hAnsi="Times New Roman" w:eastAsia="宋体" w:cs="Times New Roman"/>
                <w:color w:val="auto"/>
                <w:sz w:val="21"/>
                <w:szCs w:val="21"/>
              </w:rPr>
              <w:t>《</w:t>
            </w:r>
            <w:r>
              <w:rPr>
                <w:rFonts w:hint="eastAsia" w:ascii="Times New Roman" w:hAnsi="Times New Roman" w:eastAsia="宋体" w:cs="Times New Roman"/>
                <w:color w:val="auto"/>
                <w:kern w:val="0"/>
                <w:sz w:val="21"/>
                <w:szCs w:val="21"/>
                <w:lang w:val="zh-CN"/>
              </w:rPr>
              <w:t>非煤矿矿山企业</w:t>
            </w:r>
            <w:r>
              <w:rPr>
                <w:rFonts w:ascii="Times New Roman" w:hAnsi="Times New Roman" w:eastAsia="宋体" w:cs="Times New Roman"/>
                <w:color w:val="auto"/>
                <w:kern w:val="0"/>
                <w:sz w:val="21"/>
                <w:szCs w:val="21"/>
                <w:lang w:val="zh-CN"/>
              </w:rPr>
              <w:t>安全生产许可证</w:t>
            </w:r>
            <w:r>
              <w:rPr>
                <w:rFonts w:hint="eastAsia" w:ascii="Times New Roman" w:hAnsi="Times New Roman" w:eastAsia="宋体" w:cs="Times New Roman"/>
                <w:color w:val="auto"/>
                <w:kern w:val="0"/>
                <w:sz w:val="21"/>
                <w:szCs w:val="21"/>
                <w:lang w:val="zh-CN"/>
              </w:rPr>
              <w:t>实施办法</w:t>
            </w:r>
            <w:r>
              <w:rPr>
                <w:rFonts w:ascii="Times New Roman" w:hAnsi="Times New Roman" w:eastAsia="宋体" w:cs="Times New Roman"/>
                <w:color w:val="auto"/>
                <w:kern w:val="0"/>
                <w:sz w:val="21"/>
                <w:szCs w:val="21"/>
                <w:lang w:val="zh-CN"/>
              </w:rPr>
              <w:t>》</w:t>
            </w:r>
            <w:r>
              <w:rPr>
                <w:rFonts w:hint="eastAsia" w:ascii="Times New Roman" w:hAnsi="Times New Roman" w:eastAsia="宋体" w:cs="Times New Roman"/>
                <w:color w:val="auto"/>
                <w:kern w:val="0"/>
                <w:sz w:val="21"/>
                <w:szCs w:val="21"/>
                <w:lang w:val="zh-CN"/>
              </w:rPr>
              <w:t>（安监总局78号令修订）、</w:t>
            </w:r>
            <w:r>
              <w:rPr>
                <w:rFonts w:ascii="Times New Roman" w:hAnsi="Times New Roman" w:eastAsia="宋体" w:cs="Times New Roman"/>
                <w:color w:val="auto"/>
                <w:sz w:val="21"/>
                <w:szCs w:val="21"/>
              </w:rPr>
              <w:t>《尾矿库安全监督管理规定》</w:t>
            </w:r>
            <w:r>
              <w:rPr>
                <w:rFonts w:hint="eastAsia" w:ascii="Times New Roman" w:hAnsi="Times New Roman" w:eastAsia="宋体" w:cs="Times New Roman"/>
                <w:color w:val="auto"/>
                <w:sz w:val="21"/>
                <w:szCs w:val="21"/>
              </w:rPr>
              <w:t>（安监总局令第38号）</w:t>
            </w:r>
            <w:r>
              <w:rPr>
                <w:rFonts w:ascii="Times New Roman" w:hAnsi="Times New Roman" w:eastAsia="宋体" w:cs="Times New Roman"/>
                <w:color w:val="auto"/>
                <w:sz w:val="21"/>
                <w:szCs w:val="21"/>
              </w:rPr>
              <w:t>第二十</w:t>
            </w:r>
            <w:r>
              <w:rPr>
                <w:rFonts w:hint="eastAsia" w:ascii="Times New Roman" w:hAnsi="Times New Roman" w:eastAsia="宋体" w:cs="Times New Roman"/>
                <w:color w:val="auto"/>
                <w:sz w:val="21"/>
                <w:szCs w:val="21"/>
              </w:rPr>
              <w:t>一</w:t>
            </w:r>
            <w:r>
              <w:rPr>
                <w:rFonts w:ascii="Times New Roman" w:hAnsi="Times New Roman" w:eastAsia="宋体" w:cs="Times New Roman"/>
                <w:color w:val="auto"/>
                <w:sz w:val="21"/>
                <w:szCs w:val="21"/>
              </w:rPr>
              <w:t>条</w:t>
            </w:r>
          </w:p>
        </w:tc>
        <w:tc>
          <w:tcPr>
            <w:tcW w:w="945" w:type="pct"/>
            <w:gridSpan w:val="2"/>
            <w:noWrap w:val="0"/>
            <w:vAlign w:val="center"/>
          </w:tcPr>
          <w:p w14:paraId="23B9BA84">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kern w:val="0"/>
                <w:sz w:val="21"/>
                <w:szCs w:val="21"/>
                <w:lang w:val="zh-CN"/>
              </w:rPr>
              <w:t>有应急预案、应急物资和应急救援队伍。</w:t>
            </w:r>
          </w:p>
        </w:tc>
        <w:tc>
          <w:tcPr>
            <w:tcW w:w="294" w:type="pct"/>
            <w:noWrap w:val="0"/>
            <w:vAlign w:val="center"/>
          </w:tcPr>
          <w:p w14:paraId="65135015">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kern w:val="0"/>
                <w:sz w:val="21"/>
                <w:szCs w:val="21"/>
                <w:lang w:val="zh-CN"/>
              </w:rPr>
              <w:t>符合</w:t>
            </w:r>
          </w:p>
        </w:tc>
      </w:tr>
      <w:tr w14:paraId="36FC5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65" w:hRule="atLeast"/>
          <w:jc w:val="center"/>
        </w:trPr>
        <w:tc>
          <w:tcPr>
            <w:tcW w:w="284" w:type="pct"/>
            <w:vMerge w:val="continue"/>
            <w:noWrap w:val="0"/>
            <w:vAlign w:val="center"/>
          </w:tcPr>
          <w:p w14:paraId="2A74E48A">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p>
        </w:tc>
        <w:tc>
          <w:tcPr>
            <w:tcW w:w="560" w:type="pct"/>
            <w:vMerge w:val="continue"/>
            <w:noWrap w:val="0"/>
            <w:vAlign w:val="center"/>
          </w:tcPr>
          <w:p w14:paraId="211F10E6">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p>
        </w:tc>
        <w:tc>
          <w:tcPr>
            <w:tcW w:w="1734" w:type="pct"/>
            <w:noWrap w:val="0"/>
            <w:vAlign w:val="center"/>
          </w:tcPr>
          <w:p w14:paraId="60C758B0">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kern w:val="0"/>
                <w:sz w:val="21"/>
                <w:szCs w:val="21"/>
                <w:lang w:val="zh-CN"/>
              </w:rPr>
              <w:t>与邻近的矿山救护队或者其他应急救援组织签订救护协议。</w:t>
            </w:r>
          </w:p>
        </w:tc>
        <w:tc>
          <w:tcPr>
            <w:tcW w:w="1182" w:type="pct"/>
            <w:vMerge w:val="continue"/>
            <w:noWrap w:val="0"/>
            <w:vAlign w:val="center"/>
          </w:tcPr>
          <w:p w14:paraId="403CB85E">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ascii="Times New Roman" w:hAnsi="Times New Roman" w:eastAsia="宋体" w:cs="Times New Roman"/>
                <w:color w:val="auto"/>
                <w:kern w:val="0"/>
                <w:sz w:val="21"/>
                <w:szCs w:val="21"/>
                <w:lang w:val="zh-CN"/>
              </w:rPr>
            </w:pPr>
          </w:p>
        </w:tc>
        <w:tc>
          <w:tcPr>
            <w:tcW w:w="945" w:type="pct"/>
            <w:gridSpan w:val="2"/>
            <w:noWrap w:val="0"/>
            <w:vAlign w:val="center"/>
          </w:tcPr>
          <w:p w14:paraId="6921D652">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kern w:val="0"/>
                <w:sz w:val="21"/>
                <w:szCs w:val="21"/>
                <w:lang w:val="zh-CN"/>
              </w:rPr>
              <w:t>有救护协议。</w:t>
            </w:r>
          </w:p>
        </w:tc>
        <w:tc>
          <w:tcPr>
            <w:tcW w:w="294" w:type="pct"/>
            <w:noWrap w:val="0"/>
            <w:vAlign w:val="center"/>
          </w:tcPr>
          <w:p w14:paraId="54FCEC66">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kern w:val="0"/>
                <w:sz w:val="21"/>
                <w:szCs w:val="21"/>
                <w:lang w:val="zh-CN"/>
              </w:rPr>
              <w:t>符合</w:t>
            </w:r>
          </w:p>
        </w:tc>
      </w:tr>
      <w:tr w14:paraId="5EF4D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90" w:hRule="atLeast"/>
          <w:jc w:val="center"/>
        </w:trPr>
        <w:tc>
          <w:tcPr>
            <w:tcW w:w="284" w:type="pct"/>
            <w:vMerge w:val="continue"/>
            <w:noWrap w:val="0"/>
            <w:vAlign w:val="center"/>
          </w:tcPr>
          <w:p w14:paraId="7A249512">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p>
        </w:tc>
        <w:tc>
          <w:tcPr>
            <w:tcW w:w="560" w:type="pct"/>
            <w:vMerge w:val="continue"/>
            <w:noWrap w:val="0"/>
            <w:vAlign w:val="center"/>
          </w:tcPr>
          <w:p w14:paraId="232EBBA4">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p>
        </w:tc>
        <w:tc>
          <w:tcPr>
            <w:tcW w:w="1734" w:type="pct"/>
            <w:noWrap w:val="0"/>
            <w:vAlign w:val="center"/>
          </w:tcPr>
          <w:p w14:paraId="139BCD04">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kern w:val="0"/>
                <w:sz w:val="21"/>
                <w:szCs w:val="21"/>
                <w:lang w:val="zh-CN"/>
              </w:rPr>
              <w:t>应急预案应当按照规定报相应的安全生产监督管理部门备案，并每年至少进行一次演练。</w:t>
            </w:r>
          </w:p>
        </w:tc>
        <w:tc>
          <w:tcPr>
            <w:tcW w:w="1182" w:type="pct"/>
            <w:vMerge w:val="continue"/>
            <w:noWrap w:val="0"/>
            <w:vAlign w:val="center"/>
          </w:tcPr>
          <w:p w14:paraId="7890BE9D">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ascii="Times New Roman" w:hAnsi="Times New Roman" w:eastAsia="宋体" w:cs="Times New Roman"/>
                <w:color w:val="auto"/>
                <w:kern w:val="0"/>
                <w:sz w:val="21"/>
                <w:szCs w:val="21"/>
                <w:lang w:val="zh-CN"/>
              </w:rPr>
            </w:pPr>
          </w:p>
        </w:tc>
        <w:tc>
          <w:tcPr>
            <w:tcW w:w="945" w:type="pct"/>
            <w:gridSpan w:val="2"/>
            <w:noWrap w:val="0"/>
            <w:vAlign w:val="center"/>
          </w:tcPr>
          <w:p w14:paraId="4705A48C">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kern w:val="0"/>
                <w:sz w:val="21"/>
                <w:szCs w:val="21"/>
                <w:lang w:val="zh-CN"/>
              </w:rPr>
              <w:t>有备案表，有演练活动影像资料。</w:t>
            </w:r>
          </w:p>
        </w:tc>
        <w:tc>
          <w:tcPr>
            <w:tcW w:w="294" w:type="pct"/>
            <w:noWrap w:val="0"/>
            <w:vAlign w:val="center"/>
          </w:tcPr>
          <w:p w14:paraId="4FBF91AB">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rPr>
            </w:pPr>
            <w:r>
              <w:rPr>
                <w:rFonts w:hint="eastAsia" w:ascii="Times New Roman" w:hAnsi="Times New Roman" w:eastAsia="宋体" w:cs="Times New Roman"/>
                <w:color w:val="auto"/>
                <w:kern w:val="0"/>
                <w:sz w:val="21"/>
                <w:szCs w:val="21"/>
                <w:lang w:val="zh-CN"/>
              </w:rPr>
              <w:t>符合</w:t>
            </w:r>
          </w:p>
        </w:tc>
      </w:tr>
    </w:tbl>
    <w:p w14:paraId="7EA0BEA5">
      <w:pPr>
        <w:pStyle w:val="4"/>
        <w:bidi w:val="0"/>
        <w:rPr>
          <w:rFonts w:hint="default"/>
          <w:color w:val="auto"/>
          <w:lang w:val="en-US" w:eastAsia="zh-CN"/>
        </w:rPr>
      </w:pPr>
      <w:bookmarkStart w:id="114" w:name="_Toc28521"/>
      <w:r>
        <w:rPr>
          <w:rFonts w:hint="default"/>
          <w:color w:val="auto"/>
          <w:lang w:val="en-US" w:eastAsia="zh-CN"/>
        </w:rPr>
        <w:t>4.1.2 评估结果</w:t>
      </w:r>
      <w:bookmarkEnd w:id="114"/>
    </w:p>
    <w:p w14:paraId="3F5554F8">
      <w:pPr>
        <w:rPr>
          <w:rFonts w:hint="default"/>
          <w:color w:val="auto"/>
          <w:lang w:val="en-US" w:eastAsia="zh-CN"/>
        </w:rPr>
      </w:pPr>
      <w:r>
        <w:rPr>
          <w:rFonts w:hint="default"/>
          <w:color w:val="auto"/>
          <w:lang w:val="en-US" w:eastAsia="zh-CN"/>
        </w:rPr>
        <w:t>经检查，江西浒坑钨业有限责任公司取得了江西省安全生产监督管理局颁发的杨家店尾矿库安全生产许可证。公司设有安全管理机构，配备了专职安全管理人员，安全管理体系健全，制定了各种安全生产规章制度、操作规程、岗位安全生产责任制和生产安全事故应急预案，安全管理措施落实较好；主要负责人和安全管理人员经安全培训机构培训、考核合格，持有安全资格证，有尾矿工</w:t>
      </w:r>
      <w:r>
        <w:rPr>
          <w:rFonts w:hint="eastAsia"/>
          <w:color w:val="auto"/>
          <w:lang w:val="en-US" w:eastAsia="zh-CN"/>
        </w:rPr>
        <w:t>2</w:t>
      </w:r>
      <w:r>
        <w:rPr>
          <w:rFonts w:hint="default"/>
          <w:color w:val="auto"/>
          <w:lang w:val="en-US" w:eastAsia="zh-CN"/>
        </w:rPr>
        <w:t>人，全部持证上岗，符合规范要求；公司为作业人员办理了工伤保险和安全生产责任险；公司为从业人员配备了劳动防护用品。配备有应急物资，成立了应急救援组织机构，应急预案已备案。杨家店尾矿库安全管理单元符合安全生产条件。</w:t>
      </w:r>
    </w:p>
    <w:p w14:paraId="64CD567D">
      <w:pPr>
        <w:rPr>
          <w:rFonts w:hint="default"/>
          <w:color w:val="auto"/>
          <w:lang w:val="en-US" w:eastAsia="zh-CN"/>
        </w:rPr>
      </w:pPr>
      <w:r>
        <w:rPr>
          <w:rFonts w:hint="default"/>
          <w:color w:val="auto"/>
          <w:lang w:val="en-US" w:eastAsia="zh-CN"/>
        </w:rPr>
        <w:t>江西浒坑钨业有限责任公司应不断完善安全生产管理规章制度、全员安全生产责任制，强化尾矿库现场安全管理，巩固、持续改进安全生产标准化成果，确保尾矿库安全。</w:t>
      </w:r>
    </w:p>
    <w:p w14:paraId="0B0014FF">
      <w:pPr>
        <w:pStyle w:val="3"/>
        <w:bidi w:val="0"/>
        <w:rPr>
          <w:rFonts w:hint="default"/>
          <w:color w:val="auto"/>
          <w:lang w:val="en-US" w:eastAsia="zh-CN"/>
        </w:rPr>
      </w:pPr>
      <w:bookmarkStart w:id="115" w:name="_Toc19644"/>
      <w:r>
        <w:rPr>
          <w:rFonts w:hint="default"/>
          <w:color w:val="auto"/>
          <w:lang w:val="en-US" w:eastAsia="zh-CN"/>
        </w:rPr>
        <w:t>4.2</w:t>
      </w:r>
      <w:r>
        <w:rPr>
          <w:rFonts w:hint="eastAsia"/>
          <w:color w:val="auto"/>
          <w:lang w:val="en-US" w:eastAsia="zh-CN"/>
        </w:rPr>
        <w:t xml:space="preserve"> </w:t>
      </w:r>
      <w:r>
        <w:rPr>
          <w:rFonts w:hint="default"/>
          <w:color w:val="auto"/>
          <w:lang w:val="en-US" w:eastAsia="zh-CN"/>
        </w:rPr>
        <w:t>尾矿库安全设施单元</w:t>
      </w:r>
      <w:bookmarkEnd w:id="115"/>
    </w:p>
    <w:p w14:paraId="7404F26D">
      <w:pPr>
        <w:pStyle w:val="4"/>
        <w:bidi w:val="0"/>
        <w:rPr>
          <w:rFonts w:hint="default"/>
          <w:color w:val="auto"/>
          <w:lang w:val="en-US" w:eastAsia="zh-CN"/>
        </w:rPr>
      </w:pPr>
      <w:bookmarkStart w:id="116" w:name="_Toc1596"/>
      <w:r>
        <w:rPr>
          <w:rFonts w:hint="default"/>
          <w:color w:val="auto"/>
          <w:lang w:val="en-US" w:eastAsia="zh-CN"/>
        </w:rPr>
        <w:t>4.2.1</w:t>
      </w:r>
      <w:r>
        <w:rPr>
          <w:rFonts w:hint="eastAsia"/>
          <w:color w:val="auto"/>
          <w:lang w:val="en-US" w:eastAsia="zh-CN"/>
        </w:rPr>
        <w:t xml:space="preserve"> </w:t>
      </w:r>
      <w:r>
        <w:rPr>
          <w:rFonts w:hint="default"/>
          <w:color w:val="auto"/>
          <w:lang w:val="en-US" w:eastAsia="zh-CN"/>
        </w:rPr>
        <w:t>安全检查表评估</w:t>
      </w:r>
      <w:bookmarkEnd w:id="116"/>
    </w:p>
    <w:p w14:paraId="6187F3BA">
      <w:pPr>
        <w:bidi w:val="0"/>
        <w:rPr>
          <w:rFonts w:hint="default"/>
          <w:color w:val="auto"/>
          <w:lang w:val="en-US" w:eastAsia="zh-CN"/>
        </w:rPr>
      </w:pPr>
      <w:r>
        <w:rPr>
          <w:rFonts w:hint="default"/>
          <w:color w:val="auto"/>
          <w:lang w:val="en-US" w:eastAsia="zh-CN"/>
        </w:rPr>
        <w:t>运用《尾矿库安全设施评估检查表》，对杨家店尾矿库安全设施符合性进行评判，对其安全性进行评述，具体见表4</w:t>
      </w:r>
      <w:r>
        <w:rPr>
          <w:rFonts w:hint="eastAsia"/>
          <w:color w:val="auto"/>
          <w:lang w:val="en-US" w:eastAsia="zh-CN"/>
        </w:rPr>
        <w:t>.2</w:t>
      </w:r>
      <w:r>
        <w:rPr>
          <w:rFonts w:hint="default"/>
          <w:color w:val="auto"/>
          <w:lang w:val="en-US" w:eastAsia="zh-CN"/>
        </w:rPr>
        <w:t>-</w:t>
      </w:r>
      <w:r>
        <w:rPr>
          <w:rFonts w:hint="eastAsia"/>
          <w:color w:val="auto"/>
          <w:lang w:val="en-US" w:eastAsia="zh-CN"/>
        </w:rPr>
        <w:t>1</w:t>
      </w:r>
      <w:r>
        <w:rPr>
          <w:rFonts w:hint="default"/>
          <w:color w:val="auto"/>
          <w:lang w:val="en-US" w:eastAsia="zh-CN"/>
        </w:rPr>
        <w:t>。</w:t>
      </w:r>
    </w:p>
    <w:p w14:paraId="1D6F219E">
      <w:pPr>
        <w:ind w:left="0" w:leftChars="0" w:firstLine="0" w:firstLineChars="0"/>
        <w:jc w:val="center"/>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表4</w:t>
      </w:r>
      <w:r>
        <w:rPr>
          <w:rFonts w:hint="eastAsia" w:ascii="Times New Roman" w:hAnsi="Times New Roman" w:eastAsia="宋体"/>
          <w:color w:val="auto"/>
          <w:lang w:val="en-US" w:eastAsia="zh-CN"/>
        </w:rPr>
        <w:t>.2</w:t>
      </w:r>
      <w:r>
        <w:rPr>
          <w:rFonts w:hint="default" w:ascii="Times New Roman" w:hAnsi="Times New Roman" w:eastAsia="宋体"/>
          <w:color w:val="auto"/>
          <w:lang w:val="en-US" w:eastAsia="zh-CN"/>
        </w:rPr>
        <w:t>-1 尾矿库安全设施评估检查表</w:t>
      </w:r>
    </w:p>
    <w:tbl>
      <w:tblPr>
        <w:tblStyle w:val="19"/>
        <w:tblW w:w="526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708"/>
        <w:gridCol w:w="3278"/>
        <w:gridCol w:w="1439"/>
        <w:gridCol w:w="2453"/>
        <w:gridCol w:w="1687"/>
      </w:tblGrid>
      <w:tr w14:paraId="7F53E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89" w:hRule="atLeast"/>
          <w:jc w:val="center"/>
        </w:trPr>
        <w:tc>
          <w:tcPr>
            <w:tcW w:w="370" w:type="pct"/>
            <w:noWrap w:val="0"/>
            <w:vAlign w:val="center"/>
          </w:tcPr>
          <w:p w14:paraId="6CEAF95C">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序号</w:t>
            </w:r>
          </w:p>
        </w:tc>
        <w:tc>
          <w:tcPr>
            <w:tcW w:w="1713" w:type="pct"/>
            <w:noWrap w:val="0"/>
            <w:vAlign w:val="center"/>
          </w:tcPr>
          <w:p w14:paraId="02DFEF50">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检查内容</w:t>
            </w:r>
          </w:p>
        </w:tc>
        <w:tc>
          <w:tcPr>
            <w:tcW w:w="752" w:type="pct"/>
            <w:noWrap w:val="0"/>
            <w:vAlign w:val="center"/>
          </w:tcPr>
          <w:p w14:paraId="68B82AF8">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检查依据</w:t>
            </w:r>
          </w:p>
        </w:tc>
        <w:tc>
          <w:tcPr>
            <w:tcW w:w="1282" w:type="pct"/>
            <w:noWrap w:val="0"/>
            <w:vAlign w:val="center"/>
          </w:tcPr>
          <w:p w14:paraId="0525FA3F">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Cs/>
                <w:color w:val="auto"/>
                <w:kern w:val="0"/>
                <w:sz w:val="21"/>
                <w:szCs w:val="21"/>
                <w:lang w:val="zh-CN"/>
              </w:rPr>
            </w:pPr>
            <w:r>
              <w:rPr>
                <w:rFonts w:hint="default" w:ascii="Times New Roman" w:hAnsi="Times New Roman" w:eastAsia="宋体" w:cs="Times New Roman"/>
                <w:bCs/>
                <w:color w:val="auto"/>
                <w:sz w:val="21"/>
                <w:szCs w:val="21"/>
              </w:rPr>
              <w:t>检查结果</w:t>
            </w:r>
          </w:p>
        </w:tc>
        <w:tc>
          <w:tcPr>
            <w:tcW w:w="881" w:type="pct"/>
            <w:noWrap w:val="0"/>
            <w:vAlign w:val="center"/>
          </w:tcPr>
          <w:p w14:paraId="5A444E5B">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Cs/>
                <w:color w:val="auto"/>
                <w:kern w:val="0"/>
                <w:sz w:val="21"/>
                <w:szCs w:val="21"/>
                <w:lang w:val="zh-CN"/>
              </w:rPr>
            </w:pPr>
            <w:r>
              <w:rPr>
                <w:rFonts w:hint="default" w:ascii="Times New Roman" w:hAnsi="Times New Roman" w:eastAsia="宋体" w:cs="Times New Roman"/>
                <w:bCs/>
                <w:color w:val="auto"/>
                <w:sz w:val="21"/>
                <w:szCs w:val="21"/>
              </w:rPr>
              <w:t>结论</w:t>
            </w:r>
          </w:p>
        </w:tc>
      </w:tr>
      <w:tr w14:paraId="0F2CB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61" w:hRule="atLeast"/>
          <w:jc w:val="center"/>
        </w:trPr>
        <w:tc>
          <w:tcPr>
            <w:tcW w:w="370" w:type="pct"/>
            <w:noWrap w:val="0"/>
            <w:vAlign w:val="center"/>
          </w:tcPr>
          <w:p w14:paraId="04B3424F">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rPr>
              <w:t>1</w:t>
            </w:r>
          </w:p>
        </w:tc>
        <w:tc>
          <w:tcPr>
            <w:tcW w:w="1713" w:type="pct"/>
            <w:noWrap w:val="0"/>
            <w:vAlign w:val="center"/>
          </w:tcPr>
          <w:p w14:paraId="669C4CE6">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尾矿库初期坝轮廓尺寸符合设计要求，无明显沉陷、滑坡、裂缝、流土和管涌，运行工况正常。</w:t>
            </w:r>
          </w:p>
        </w:tc>
        <w:tc>
          <w:tcPr>
            <w:tcW w:w="752" w:type="pct"/>
            <w:noWrap w:val="0"/>
            <w:vAlign w:val="center"/>
          </w:tcPr>
          <w:p w14:paraId="4874DCD3">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lang w:val="zh-CN"/>
              </w:rPr>
              <w:t>设计文件</w:t>
            </w:r>
          </w:p>
        </w:tc>
        <w:tc>
          <w:tcPr>
            <w:tcW w:w="1282" w:type="pct"/>
            <w:noWrap w:val="0"/>
            <w:vAlign w:val="center"/>
          </w:tcPr>
          <w:p w14:paraId="324D29B2">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轮廓尺寸符合设计要求，无沉陷、裂缝、滑坡、流土和管涌等现象。运行工况正常</w:t>
            </w:r>
            <w:r>
              <w:rPr>
                <w:rFonts w:hint="eastAsia" w:cs="Times New Roman"/>
                <w:color w:val="auto"/>
                <w:kern w:val="0"/>
                <w:sz w:val="21"/>
                <w:szCs w:val="21"/>
                <w:lang w:val="zh-CN"/>
              </w:rPr>
              <w:t>。</w:t>
            </w:r>
          </w:p>
        </w:tc>
        <w:tc>
          <w:tcPr>
            <w:tcW w:w="881" w:type="pct"/>
            <w:noWrap w:val="0"/>
            <w:vAlign w:val="center"/>
          </w:tcPr>
          <w:p w14:paraId="5BD7B807">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初期坝符合设计要求，运行状况良好，满足正常生产。</w:t>
            </w:r>
          </w:p>
        </w:tc>
      </w:tr>
      <w:tr w14:paraId="2AAAD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343" w:hRule="atLeast"/>
          <w:jc w:val="center"/>
        </w:trPr>
        <w:tc>
          <w:tcPr>
            <w:tcW w:w="370" w:type="pct"/>
            <w:noWrap w:val="0"/>
            <w:vAlign w:val="center"/>
          </w:tcPr>
          <w:p w14:paraId="50661B5B">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2</w:t>
            </w:r>
          </w:p>
        </w:tc>
        <w:tc>
          <w:tcPr>
            <w:tcW w:w="1713" w:type="pct"/>
            <w:noWrap w:val="0"/>
            <w:vAlign w:val="center"/>
          </w:tcPr>
          <w:p w14:paraId="44CEB238">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尾矿堆积坝整体外坡比不得陡于设计规定值，部分高程堆积坝边坡过陡的，不得出现局部失稳，并满足坝体稳定安全系数及渗流控制要求。尾矿堆积坝应无明显沉陷、滑坡、裂缝、流土和管涌，外坡坡面无沼泽化和较多（大）的冲沟，运行工况正常。</w:t>
            </w:r>
          </w:p>
        </w:tc>
        <w:tc>
          <w:tcPr>
            <w:tcW w:w="752" w:type="pct"/>
            <w:noWrap w:val="0"/>
            <w:vAlign w:val="center"/>
          </w:tcPr>
          <w:p w14:paraId="6B924948">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设计文件</w:t>
            </w:r>
          </w:p>
        </w:tc>
        <w:tc>
          <w:tcPr>
            <w:tcW w:w="1282" w:type="pct"/>
            <w:noWrap w:val="0"/>
            <w:vAlign w:val="center"/>
          </w:tcPr>
          <w:p w14:paraId="04694E68">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分区尾矿充填模袋筑坝，坝体外坡比符合设计值，坝体无</w:t>
            </w:r>
            <w:r>
              <w:rPr>
                <w:rFonts w:hint="default" w:ascii="Times New Roman" w:hAnsi="Times New Roman" w:eastAsia="宋体" w:cs="Times New Roman"/>
                <w:color w:val="auto"/>
                <w:kern w:val="0"/>
                <w:sz w:val="21"/>
                <w:szCs w:val="21"/>
              </w:rPr>
              <w:t>沉陷、滑坡、裂缝、流土和管涌，外坡坡面无沼泽化和冲沟，运行工况正常</w:t>
            </w:r>
            <w:r>
              <w:rPr>
                <w:rFonts w:hint="default" w:ascii="Times New Roman" w:hAnsi="Times New Roman" w:eastAsia="宋体" w:cs="Times New Roman"/>
                <w:color w:val="auto"/>
                <w:kern w:val="0"/>
                <w:sz w:val="21"/>
                <w:szCs w:val="21"/>
                <w:lang w:val="zh-CN"/>
              </w:rPr>
              <w:t>。</w:t>
            </w:r>
          </w:p>
        </w:tc>
        <w:tc>
          <w:tcPr>
            <w:tcW w:w="881" w:type="pct"/>
            <w:noWrap w:val="0"/>
            <w:vAlign w:val="center"/>
          </w:tcPr>
          <w:p w14:paraId="32493255">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符合规程规范要求。</w:t>
            </w:r>
          </w:p>
        </w:tc>
      </w:tr>
      <w:tr w14:paraId="5BA2D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49" w:hRule="atLeast"/>
          <w:jc w:val="center"/>
        </w:trPr>
        <w:tc>
          <w:tcPr>
            <w:tcW w:w="370" w:type="pct"/>
            <w:noWrap w:val="0"/>
            <w:vAlign w:val="center"/>
          </w:tcPr>
          <w:p w14:paraId="2DC57329">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sz w:val="21"/>
                <w:szCs w:val="21"/>
              </w:rPr>
              <w:t>3</w:t>
            </w:r>
            <w:r>
              <w:rPr>
                <w:rFonts w:hint="default" w:ascii="Times New Roman" w:hAnsi="Times New Roman" w:eastAsia="宋体" w:cs="Times New Roman"/>
                <w:color w:val="auto"/>
                <w:sz w:val="21"/>
                <w:szCs w:val="21"/>
              </w:rPr>
              <w:br w:type="page"/>
            </w:r>
            <w:r>
              <w:rPr>
                <w:rFonts w:hint="default" w:ascii="Times New Roman" w:hAnsi="Times New Roman" w:eastAsia="宋体" w:cs="Times New Roman"/>
                <w:color w:val="auto"/>
                <w:sz w:val="21"/>
                <w:szCs w:val="21"/>
              </w:rPr>
              <w:br w:type="page"/>
            </w:r>
          </w:p>
        </w:tc>
        <w:tc>
          <w:tcPr>
            <w:tcW w:w="1713" w:type="pct"/>
            <w:noWrap w:val="0"/>
            <w:vAlign w:val="center"/>
          </w:tcPr>
          <w:p w14:paraId="75316E0A">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尾矿库防排洪设施（排水斜</w:t>
            </w:r>
            <w:r>
              <w:rPr>
                <w:rFonts w:hint="default" w:ascii="Times New Roman" w:hAnsi="Times New Roman" w:eastAsia="宋体" w:cs="Times New Roman"/>
                <w:color w:val="auto"/>
                <w:kern w:val="0"/>
                <w:sz w:val="21"/>
                <w:szCs w:val="21"/>
                <w:lang w:val="zh-CN"/>
              </w:rPr>
              <w:t>井</w:t>
            </w:r>
            <w:r>
              <w:rPr>
                <w:rFonts w:hint="default" w:ascii="Times New Roman" w:hAnsi="Times New Roman" w:eastAsia="宋体" w:cs="Times New Roman"/>
                <w:color w:val="auto"/>
                <w:kern w:val="0"/>
                <w:sz w:val="21"/>
                <w:szCs w:val="21"/>
              </w:rPr>
              <w:t>、</w:t>
            </w:r>
            <w:r>
              <w:rPr>
                <w:rFonts w:hint="default" w:ascii="Times New Roman" w:hAnsi="Times New Roman" w:eastAsia="宋体" w:cs="Times New Roman"/>
                <w:color w:val="auto"/>
                <w:kern w:val="0"/>
                <w:sz w:val="21"/>
                <w:szCs w:val="21"/>
                <w:lang w:val="zh-CN"/>
              </w:rPr>
              <w:t>排洪隧洞</w:t>
            </w:r>
            <w:r>
              <w:rPr>
                <w:rFonts w:hint="default" w:ascii="Times New Roman" w:hAnsi="Times New Roman" w:eastAsia="宋体" w:cs="Times New Roman"/>
                <w:color w:val="auto"/>
                <w:kern w:val="0"/>
                <w:sz w:val="21"/>
                <w:szCs w:val="21"/>
              </w:rPr>
              <w:t>）应齐全、畅通，符合设计要求。</w:t>
            </w:r>
          </w:p>
        </w:tc>
        <w:tc>
          <w:tcPr>
            <w:tcW w:w="752" w:type="pct"/>
            <w:noWrap w:val="0"/>
            <w:vAlign w:val="center"/>
          </w:tcPr>
          <w:p w14:paraId="4894ABAF">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设计文件</w:t>
            </w:r>
          </w:p>
        </w:tc>
        <w:tc>
          <w:tcPr>
            <w:tcW w:w="1282" w:type="pct"/>
            <w:noWrap w:val="0"/>
            <w:vAlign w:val="center"/>
          </w:tcPr>
          <w:p w14:paraId="47E9FA37">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杨家店尾矿库采用排水井+排洪隧洞排除库内积水。</w:t>
            </w:r>
          </w:p>
        </w:tc>
        <w:tc>
          <w:tcPr>
            <w:tcW w:w="881" w:type="pct"/>
            <w:noWrap w:val="0"/>
            <w:vAlign w:val="center"/>
          </w:tcPr>
          <w:p w14:paraId="76E6F7E8">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防排洪设施符合设计要求，运行状况良好，满足正常生产。</w:t>
            </w:r>
          </w:p>
        </w:tc>
      </w:tr>
      <w:tr w14:paraId="595BD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90" w:hRule="atLeast"/>
          <w:jc w:val="center"/>
        </w:trPr>
        <w:tc>
          <w:tcPr>
            <w:tcW w:w="370" w:type="pct"/>
            <w:noWrap w:val="0"/>
            <w:vAlign w:val="center"/>
          </w:tcPr>
          <w:p w14:paraId="47C1DE23">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4</w:t>
            </w:r>
          </w:p>
        </w:tc>
        <w:tc>
          <w:tcPr>
            <w:tcW w:w="1713" w:type="pct"/>
            <w:noWrap w:val="0"/>
            <w:vAlign w:val="center"/>
          </w:tcPr>
          <w:p w14:paraId="6E9F4965">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尾矿库的监测设施（坝体位移、沉降、浸润线、库水位）应符合设计要求。</w:t>
            </w:r>
          </w:p>
        </w:tc>
        <w:tc>
          <w:tcPr>
            <w:tcW w:w="752" w:type="pct"/>
            <w:noWrap w:val="0"/>
            <w:vAlign w:val="center"/>
          </w:tcPr>
          <w:p w14:paraId="48111CB3">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设计文件</w:t>
            </w:r>
          </w:p>
        </w:tc>
        <w:tc>
          <w:tcPr>
            <w:tcW w:w="1282" w:type="pct"/>
            <w:noWrap w:val="0"/>
            <w:vAlign w:val="center"/>
          </w:tcPr>
          <w:p w14:paraId="7BE09BE3">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设有</w:t>
            </w:r>
            <w:r>
              <w:rPr>
                <w:rFonts w:hint="default" w:ascii="Times New Roman" w:hAnsi="Times New Roman" w:eastAsia="宋体" w:cs="Times New Roman"/>
                <w:color w:val="auto"/>
                <w:kern w:val="0"/>
                <w:sz w:val="21"/>
                <w:szCs w:val="21"/>
              </w:rPr>
              <w:t>坝体位移沉降、浸润线、库水位标尺等安全监测设施。</w:t>
            </w:r>
          </w:p>
        </w:tc>
        <w:tc>
          <w:tcPr>
            <w:tcW w:w="881" w:type="pct"/>
            <w:noWrap w:val="0"/>
            <w:vAlign w:val="center"/>
          </w:tcPr>
          <w:p w14:paraId="60BD6371">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符合设计、规程规范要求</w:t>
            </w:r>
          </w:p>
        </w:tc>
      </w:tr>
      <w:tr w14:paraId="5140E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07" w:hRule="atLeast"/>
          <w:jc w:val="center"/>
        </w:trPr>
        <w:tc>
          <w:tcPr>
            <w:tcW w:w="370" w:type="pct"/>
            <w:noWrap w:val="0"/>
            <w:vAlign w:val="center"/>
          </w:tcPr>
          <w:p w14:paraId="584DBCD7">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eastAsia="zh-CN"/>
              </w:rPr>
            </w:pPr>
            <w:r>
              <w:rPr>
                <w:rFonts w:hint="eastAsia" w:cs="Times New Roman"/>
                <w:color w:val="auto"/>
                <w:kern w:val="0"/>
                <w:sz w:val="21"/>
                <w:szCs w:val="21"/>
                <w:lang w:val="en-US" w:eastAsia="zh-CN"/>
              </w:rPr>
              <w:t>5</w:t>
            </w:r>
          </w:p>
        </w:tc>
        <w:tc>
          <w:tcPr>
            <w:tcW w:w="1713" w:type="pct"/>
            <w:noWrap w:val="0"/>
            <w:vAlign w:val="center"/>
          </w:tcPr>
          <w:p w14:paraId="458082B5">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尾矿库的坝面坝肩排水沟及其他安全设施应当符合设计要求。</w:t>
            </w:r>
          </w:p>
        </w:tc>
        <w:tc>
          <w:tcPr>
            <w:tcW w:w="752" w:type="pct"/>
            <w:noWrap w:val="0"/>
            <w:vAlign w:val="center"/>
          </w:tcPr>
          <w:p w14:paraId="1D80FD79">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sz w:val="21"/>
                <w:szCs w:val="21"/>
              </w:rPr>
              <w:t>设计文件</w:t>
            </w:r>
          </w:p>
        </w:tc>
        <w:tc>
          <w:tcPr>
            <w:tcW w:w="1282" w:type="pct"/>
            <w:noWrap w:val="0"/>
            <w:vAlign w:val="center"/>
          </w:tcPr>
          <w:p w14:paraId="46C5B8C2">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杨家店尾矿库尾矿坝构筑有坝面坝肩排水沟。</w:t>
            </w:r>
          </w:p>
        </w:tc>
        <w:tc>
          <w:tcPr>
            <w:tcW w:w="881" w:type="pct"/>
            <w:noWrap w:val="0"/>
            <w:vAlign w:val="center"/>
          </w:tcPr>
          <w:p w14:paraId="6388A187">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符合设计要求</w:t>
            </w:r>
          </w:p>
        </w:tc>
      </w:tr>
      <w:tr w14:paraId="07864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785" w:hRule="atLeast"/>
          <w:jc w:val="center"/>
        </w:trPr>
        <w:tc>
          <w:tcPr>
            <w:tcW w:w="370" w:type="pct"/>
            <w:noWrap w:val="0"/>
            <w:vAlign w:val="center"/>
          </w:tcPr>
          <w:p w14:paraId="5F0DAF8C">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zh-CN" w:eastAsia="zh-CN"/>
              </w:rPr>
            </w:pPr>
            <w:r>
              <w:rPr>
                <w:rFonts w:hint="eastAsia" w:cs="Times New Roman"/>
                <w:color w:val="auto"/>
                <w:kern w:val="0"/>
                <w:sz w:val="21"/>
                <w:szCs w:val="21"/>
                <w:lang w:val="en-US" w:eastAsia="zh-CN"/>
              </w:rPr>
              <w:t>6</w:t>
            </w:r>
          </w:p>
        </w:tc>
        <w:tc>
          <w:tcPr>
            <w:tcW w:w="1713" w:type="pct"/>
            <w:noWrap w:val="0"/>
            <w:vAlign w:val="center"/>
          </w:tcPr>
          <w:p w14:paraId="1D3ACE33">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尾矿库的附属设施（值班室、救援器材室、照明设施）</w:t>
            </w:r>
            <w:r>
              <w:rPr>
                <w:rFonts w:hint="default" w:ascii="Times New Roman" w:hAnsi="Times New Roman" w:eastAsia="宋体" w:cs="Times New Roman"/>
                <w:color w:val="auto"/>
                <w:kern w:val="0"/>
                <w:sz w:val="21"/>
                <w:szCs w:val="21"/>
              </w:rPr>
              <w:t>应符合设计要求。</w:t>
            </w:r>
          </w:p>
        </w:tc>
        <w:tc>
          <w:tcPr>
            <w:tcW w:w="752" w:type="pct"/>
            <w:noWrap w:val="0"/>
            <w:vAlign w:val="center"/>
          </w:tcPr>
          <w:p w14:paraId="2B17F238">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设计文件，《尾矿设施设计规范》第3.5.1条</w:t>
            </w:r>
          </w:p>
        </w:tc>
        <w:tc>
          <w:tcPr>
            <w:tcW w:w="1282" w:type="pct"/>
            <w:noWrap w:val="0"/>
            <w:vAlign w:val="center"/>
          </w:tcPr>
          <w:p w14:paraId="41FFB621">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杨家店尾矿库设有值班室、应急物资库，坝顶安设有照明设施。</w:t>
            </w:r>
          </w:p>
        </w:tc>
        <w:tc>
          <w:tcPr>
            <w:tcW w:w="881" w:type="pct"/>
            <w:noWrap w:val="0"/>
            <w:vAlign w:val="center"/>
          </w:tcPr>
          <w:p w14:paraId="774C7B1C">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符合设计要求</w:t>
            </w:r>
          </w:p>
        </w:tc>
      </w:tr>
    </w:tbl>
    <w:p w14:paraId="44E142E1">
      <w:pPr>
        <w:pStyle w:val="4"/>
        <w:bidi w:val="0"/>
        <w:rPr>
          <w:rFonts w:hint="default"/>
          <w:color w:val="auto"/>
          <w:lang w:val="en-US" w:eastAsia="zh-CN"/>
        </w:rPr>
      </w:pPr>
      <w:bookmarkStart w:id="117" w:name="_Toc5702"/>
      <w:r>
        <w:rPr>
          <w:rFonts w:hint="default"/>
          <w:color w:val="auto"/>
          <w:lang w:val="en-US" w:eastAsia="zh-CN"/>
        </w:rPr>
        <w:t>4.2.2</w:t>
      </w:r>
      <w:r>
        <w:rPr>
          <w:rFonts w:hint="eastAsia"/>
          <w:color w:val="auto"/>
          <w:lang w:val="en-US" w:eastAsia="zh-CN"/>
        </w:rPr>
        <w:t xml:space="preserve"> </w:t>
      </w:r>
      <w:r>
        <w:rPr>
          <w:rFonts w:hint="default"/>
          <w:color w:val="auto"/>
          <w:lang w:val="en-US" w:eastAsia="zh-CN"/>
        </w:rPr>
        <w:t>尾矿坝稳定性分析</w:t>
      </w:r>
      <w:bookmarkEnd w:id="117"/>
    </w:p>
    <w:p w14:paraId="31A3BBF0">
      <w:pPr>
        <w:bidi w:val="0"/>
        <w:rPr>
          <w:rFonts w:hint="default"/>
          <w:color w:val="auto"/>
          <w:lang w:val="en-US" w:eastAsia="zh-CN"/>
        </w:rPr>
      </w:pPr>
      <w:r>
        <w:rPr>
          <w:rFonts w:hint="default"/>
          <w:color w:val="auto"/>
          <w:lang w:val="en-US" w:eastAsia="zh-CN"/>
        </w:rPr>
        <w:t>一、坝体抗滑稳定计算基本原理和方法</w:t>
      </w:r>
    </w:p>
    <w:p w14:paraId="238BBE9D">
      <w:pPr>
        <w:bidi w:val="0"/>
        <w:rPr>
          <w:rFonts w:hint="default"/>
          <w:color w:val="auto"/>
          <w:lang w:val="en-US" w:eastAsia="zh-CN"/>
        </w:rPr>
      </w:pPr>
      <w:r>
        <w:rPr>
          <w:rFonts w:hint="default"/>
          <w:color w:val="auto"/>
          <w:lang w:val="en-US" w:eastAsia="zh-CN"/>
        </w:rPr>
        <w:t>坝体的失稳是部分土体沿某滑裂面滑动，通常滑裂面假定为圆弧形的，一般情况采用瑞典圆弧法计算坝坡的抗滑稳定。</w:t>
      </w:r>
    </w:p>
    <w:p w14:paraId="3CCE25B0">
      <w:pPr>
        <w:bidi w:val="0"/>
        <w:rPr>
          <w:rFonts w:hint="default" w:ascii="Times New Roman" w:hAnsi="Times New Roman" w:eastAsia="宋体"/>
          <w:color w:val="auto"/>
          <w:lang w:val="en-US" w:eastAsia="zh-CN"/>
        </w:rPr>
      </w:pPr>
      <w:r>
        <w:rPr>
          <w:rFonts w:hint="default"/>
          <w:color w:val="auto"/>
          <w:lang w:val="en-US" w:eastAsia="zh-CN"/>
        </w:rPr>
        <w:t>根</w:t>
      </w:r>
      <w:r>
        <w:rPr>
          <w:rFonts w:hint="default" w:ascii="Times New Roman" w:hAnsi="Times New Roman" w:eastAsia="宋体"/>
          <w:color w:val="auto"/>
          <w:lang w:val="en-US" w:eastAsia="zh-CN"/>
        </w:rPr>
        <w:t>据考虑孔隙压力影响的方法不同，又分为有效应力法和总应力法两种。本次计算采用总应力法进行稳定分析。</w:t>
      </w:r>
    </w:p>
    <w:p w14:paraId="083B3AE7">
      <w:pPr>
        <w:bidi w:val="0"/>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计算公式为：</w:t>
      </w:r>
    </w:p>
    <w:p w14:paraId="42FD2518">
      <w:pPr>
        <w:bidi w:val="0"/>
        <w:ind w:left="0" w:leftChars="0" w:firstLine="0" w:firstLineChars="0"/>
        <w:jc w:val="center"/>
        <w:rPr>
          <w:rFonts w:hAnsi="宋体"/>
          <w:color w:val="auto"/>
          <w:position w:val="-64"/>
          <w:sz w:val="28"/>
          <w:szCs w:val="28"/>
        </w:rPr>
      </w:pPr>
      <w:r>
        <w:rPr>
          <w:rFonts w:hAnsi="宋体"/>
          <w:color w:val="auto"/>
          <w:position w:val="-64"/>
          <w:sz w:val="28"/>
          <w:szCs w:val="28"/>
        </w:rPr>
        <w:object>
          <v:shape id="_x0000_i1025" o:spt="75" type="#_x0000_t75" style="height:57pt;width:350.25pt;" o:ole="t" filled="f" o:preferrelative="t" stroked="f" coordsize="21600,21600">
            <v:path/>
            <v:fill on="f" focussize="0,0"/>
            <v:stroke on="f" joinstyle="miter"/>
            <v:imagedata r:id="rId20" o:title=""/>
            <o:lock v:ext="edit" aspectratio="t"/>
            <w10:wrap type="none"/>
            <w10:anchorlock/>
          </v:shape>
          <o:OLEObject Type="Embed" ProgID="Equation.3" ShapeID="_x0000_i1025" DrawAspect="Content" ObjectID="_1468075725" r:id="rId19">
            <o:LockedField>false</o:LockedField>
          </o:OLEObject>
        </w:object>
      </w:r>
    </w:p>
    <w:p w14:paraId="1811AFC9">
      <w:pPr>
        <w:bidi w:val="0"/>
        <w:rPr>
          <w:rFonts w:hint="default"/>
          <w:color w:val="auto"/>
          <w:lang w:val="en-US" w:eastAsia="zh-CN"/>
        </w:rPr>
      </w:pPr>
      <w:r>
        <w:rPr>
          <w:rFonts w:hint="default"/>
          <w:color w:val="auto"/>
          <w:lang w:val="en-US" w:eastAsia="zh-CN"/>
        </w:rPr>
        <w:t>式中：k——安全系数；</w:t>
      </w:r>
    </w:p>
    <w:p w14:paraId="782478A7">
      <w:pPr>
        <w:bidi w:val="0"/>
        <w:ind w:firstLine="1400" w:firstLineChars="500"/>
        <w:rPr>
          <w:rFonts w:hint="default"/>
          <w:color w:val="auto"/>
          <w:lang w:val="en-US" w:eastAsia="zh-CN"/>
        </w:rPr>
      </w:pPr>
      <w:r>
        <w:rPr>
          <w:rFonts w:hint="default"/>
          <w:color w:val="auto"/>
          <w:lang w:val="en-US" w:eastAsia="zh-CN"/>
        </w:rPr>
        <w:t>b——滑块土条宽度，m；</w:t>
      </w:r>
    </w:p>
    <w:p w14:paraId="47CE03B1">
      <w:pPr>
        <w:bidi w:val="0"/>
        <w:ind w:firstLine="1400" w:firstLineChars="500"/>
        <w:rPr>
          <w:rFonts w:hint="default"/>
          <w:color w:val="auto"/>
          <w:lang w:val="en-US" w:eastAsia="zh-CN"/>
        </w:rPr>
      </w:pPr>
      <w:r>
        <w:rPr>
          <w:rFonts w:hint="default"/>
          <w:color w:val="auto"/>
          <w:lang w:val="en-US" w:eastAsia="zh-CN"/>
        </w:rPr>
        <w:t>φ——土条底面中心点切线与水平线的夹角，</w:t>
      </w:r>
      <w:r>
        <w:rPr>
          <w:rFonts w:hint="eastAsia" w:ascii="宋体" w:hAnsi="宋体" w:eastAsia="宋体" w:cs="宋体"/>
          <w:color w:val="auto"/>
          <w:lang w:val="en-US" w:eastAsia="zh-CN"/>
        </w:rPr>
        <w:t>°</w:t>
      </w:r>
      <w:r>
        <w:rPr>
          <w:rFonts w:hint="default"/>
          <w:color w:val="auto"/>
          <w:lang w:val="en-US" w:eastAsia="zh-CN"/>
        </w:rPr>
        <w:t>；</w:t>
      </w:r>
    </w:p>
    <w:p w14:paraId="540C4EA6">
      <w:pPr>
        <w:bidi w:val="0"/>
        <w:ind w:firstLine="1400" w:firstLineChars="500"/>
        <w:rPr>
          <w:rFonts w:hint="default"/>
          <w:color w:val="auto"/>
          <w:lang w:val="en-US" w:eastAsia="zh-CN"/>
        </w:rPr>
      </w:pPr>
      <w:r>
        <w:rPr>
          <w:rFonts w:hint="default"/>
          <w:color w:val="auto"/>
          <w:lang w:val="en-US" w:eastAsia="zh-CN"/>
        </w:rPr>
        <w:t>u——土条底面的孔隙水压力，t/m</w:t>
      </w:r>
      <w:r>
        <w:rPr>
          <w:rFonts w:hint="default"/>
          <w:color w:val="auto"/>
          <w:vertAlign w:val="superscript"/>
          <w:lang w:val="en-US" w:eastAsia="zh-CN"/>
        </w:rPr>
        <w:t>2</w:t>
      </w:r>
      <w:r>
        <w:rPr>
          <w:rFonts w:hint="default"/>
          <w:color w:val="auto"/>
          <w:lang w:val="en-US" w:eastAsia="zh-CN"/>
        </w:rPr>
        <w:t>；</w:t>
      </w:r>
    </w:p>
    <w:p w14:paraId="4184F2F1">
      <w:pPr>
        <w:bidi w:val="0"/>
        <w:ind w:firstLine="1400" w:firstLineChars="500"/>
        <w:rPr>
          <w:rFonts w:hint="default"/>
          <w:color w:val="auto"/>
          <w:lang w:val="en-US" w:eastAsia="zh-CN"/>
        </w:rPr>
      </w:pPr>
      <w:r>
        <w:rPr>
          <w:rFonts w:hint="default"/>
          <w:color w:val="auto"/>
          <w:lang w:val="en-US" w:eastAsia="zh-CN"/>
        </w:rPr>
        <w:t>W</w:t>
      </w:r>
      <w:r>
        <w:rPr>
          <w:rFonts w:hint="default"/>
          <w:color w:val="auto"/>
          <w:vertAlign w:val="subscript"/>
          <w:lang w:val="en-US" w:eastAsia="zh-CN"/>
        </w:rPr>
        <w:t>i</w:t>
      </w:r>
      <w:r>
        <w:rPr>
          <w:rFonts w:hint="default"/>
          <w:color w:val="auto"/>
          <w:lang w:val="en-US" w:eastAsia="zh-CN"/>
        </w:rPr>
        <w:t>——计入渗透压力后的土条重量，计算时浸润线以上用湿容重，下游水位以下用浮容重；浸润线以下至下游水位之间，当计算抗滑力时用浮容重，计算滑动力时用饱和容重，t；</w:t>
      </w:r>
    </w:p>
    <w:p w14:paraId="7E1BB764">
      <w:pPr>
        <w:bidi w:val="0"/>
        <w:ind w:firstLine="1400" w:firstLineChars="500"/>
        <w:rPr>
          <w:rFonts w:hint="default"/>
          <w:color w:val="auto"/>
          <w:lang w:val="en-US" w:eastAsia="zh-CN"/>
        </w:rPr>
      </w:pPr>
      <w:r>
        <w:rPr>
          <w:rFonts w:hint="default"/>
          <w:color w:val="auto"/>
          <w:lang w:val="en-US" w:eastAsia="zh-CN"/>
        </w:rPr>
        <w:t>E</w:t>
      </w:r>
      <w:r>
        <w:rPr>
          <w:rFonts w:hint="default"/>
          <w:color w:val="auto"/>
          <w:vertAlign w:val="subscript"/>
          <w:lang w:val="en-US" w:eastAsia="zh-CN"/>
        </w:rPr>
        <w:t>i</w:t>
      </w:r>
      <w:r>
        <w:rPr>
          <w:rFonts w:hint="default"/>
          <w:color w:val="auto"/>
          <w:lang w:val="en-US" w:eastAsia="zh-CN"/>
        </w:rPr>
        <w:t>——作用在土条中心处的水平地震惯性力，t；</w:t>
      </w:r>
    </w:p>
    <w:p w14:paraId="0878884F">
      <w:pPr>
        <w:bidi w:val="0"/>
        <w:ind w:firstLine="1400" w:firstLineChars="500"/>
        <w:rPr>
          <w:rFonts w:hint="default"/>
          <w:color w:val="auto"/>
          <w:lang w:val="en-US" w:eastAsia="zh-CN"/>
        </w:rPr>
      </w:pPr>
      <w:r>
        <w:rPr>
          <w:rFonts w:hint="default"/>
          <w:color w:val="auto"/>
          <w:lang w:val="en-US" w:eastAsia="zh-CN"/>
        </w:rPr>
        <w:t>E</w:t>
      </w:r>
      <w:r>
        <w:rPr>
          <w:rFonts w:hint="default"/>
          <w:color w:val="auto"/>
          <w:vertAlign w:val="superscript"/>
          <w:lang w:val="en-US" w:eastAsia="zh-CN"/>
        </w:rPr>
        <w:t>/</w:t>
      </w:r>
      <w:r>
        <w:rPr>
          <w:rFonts w:hint="default"/>
          <w:color w:val="auto"/>
          <w:vertAlign w:val="subscript"/>
          <w:lang w:val="en-US" w:eastAsia="zh-CN"/>
        </w:rPr>
        <w:t>i</w:t>
      </w:r>
      <w:r>
        <w:rPr>
          <w:rFonts w:hint="default"/>
          <w:color w:val="auto"/>
          <w:lang w:val="en-US" w:eastAsia="zh-CN"/>
        </w:rPr>
        <w:t>——作用在土条中心处的竖向地震惯性力，t，向下为正，向上为负，以采用不利于稳定的方向为准；</w:t>
      </w:r>
    </w:p>
    <w:p w14:paraId="6A6CC4CE">
      <w:pPr>
        <w:bidi w:val="0"/>
        <w:ind w:firstLine="1400" w:firstLineChars="500"/>
        <w:rPr>
          <w:rFonts w:hint="default"/>
          <w:color w:val="auto"/>
          <w:lang w:val="en-US" w:eastAsia="zh-CN"/>
        </w:rPr>
      </w:pPr>
      <w:r>
        <w:rPr>
          <w:rFonts w:hint="default"/>
          <w:color w:val="auto"/>
          <w:lang w:val="en-US" w:eastAsia="zh-CN"/>
        </w:rPr>
        <w:t>M</w:t>
      </w:r>
      <w:r>
        <w:rPr>
          <w:rFonts w:hint="default"/>
          <w:color w:val="auto"/>
          <w:vertAlign w:val="subscript"/>
          <w:lang w:val="en-US" w:eastAsia="zh-CN"/>
        </w:rPr>
        <w:t>i</w:t>
      </w:r>
      <w:r>
        <w:rPr>
          <w:rFonts w:hint="default"/>
          <w:color w:val="auto"/>
          <w:lang w:val="en-US" w:eastAsia="zh-CN"/>
        </w:rPr>
        <w:t>——土条水平地震惯性力对滑动中心的力矩，t</w:t>
      </w:r>
      <w:r>
        <w:rPr>
          <w:rFonts w:hint="eastAsia" w:ascii="宋体" w:hAnsi="宋体" w:eastAsia="宋体" w:cs="宋体"/>
          <w:color w:val="auto"/>
          <w:lang w:val="en-US" w:eastAsia="zh-CN"/>
        </w:rPr>
        <w:t>·</w:t>
      </w:r>
      <w:r>
        <w:rPr>
          <w:rFonts w:hint="default"/>
          <w:color w:val="auto"/>
          <w:lang w:val="en-US" w:eastAsia="zh-CN"/>
        </w:rPr>
        <w:t>m，Mi=E</w:t>
      </w:r>
      <w:r>
        <w:rPr>
          <w:rFonts w:hint="default"/>
          <w:color w:val="auto"/>
          <w:vertAlign w:val="subscript"/>
          <w:lang w:val="en-US" w:eastAsia="zh-CN"/>
        </w:rPr>
        <w:t>i</w:t>
      </w:r>
      <w:r>
        <w:rPr>
          <w:rFonts w:hint="default"/>
          <w:color w:val="auto"/>
          <w:lang w:val="en-US" w:eastAsia="zh-CN"/>
        </w:rPr>
        <w:t>аi，аi为土条的力臂；</w:t>
      </w:r>
    </w:p>
    <w:p w14:paraId="6D7CEC86">
      <w:pPr>
        <w:bidi w:val="0"/>
        <w:ind w:firstLine="1400" w:firstLineChars="500"/>
        <w:rPr>
          <w:rFonts w:hint="default"/>
          <w:color w:val="auto"/>
          <w:lang w:val="en-US" w:eastAsia="zh-CN"/>
        </w:rPr>
      </w:pPr>
      <w:r>
        <w:rPr>
          <w:rFonts w:hint="default"/>
          <w:color w:val="auto"/>
          <w:lang w:val="en-US" w:eastAsia="zh-CN"/>
        </w:rPr>
        <w:t>C，φ——土在地震作用下的总应力抗剪强度指标，t/m</w:t>
      </w:r>
      <w:r>
        <w:rPr>
          <w:rFonts w:hint="default"/>
          <w:color w:val="auto"/>
          <w:vertAlign w:val="superscript"/>
          <w:lang w:val="en-US" w:eastAsia="zh-CN"/>
        </w:rPr>
        <w:t>2</w:t>
      </w:r>
      <w:r>
        <w:rPr>
          <w:rFonts w:hint="default"/>
          <w:color w:val="auto"/>
          <w:lang w:val="en-US" w:eastAsia="zh-CN"/>
        </w:rPr>
        <w:t>和</w:t>
      </w:r>
      <w:r>
        <w:rPr>
          <w:rFonts w:hint="eastAsia" w:ascii="宋体" w:hAnsi="宋体" w:eastAsia="宋体" w:cs="宋体"/>
          <w:color w:val="auto"/>
          <w:lang w:val="en-US" w:eastAsia="zh-CN"/>
        </w:rPr>
        <w:t>°</w:t>
      </w:r>
      <w:r>
        <w:rPr>
          <w:rFonts w:hint="default"/>
          <w:color w:val="auto"/>
          <w:lang w:val="en-US" w:eastAsia="zh-CN"/>
        </w:rPr>
        <w:t>；</w:t>
      </w:r>
    </w:p>
    <w:p w14:paraId="6AD48A94">
      <w:pPr>
        <w:bidi w:val="0"/>
        <w:ind w:firstLine="1400" w:firstLineChars="500"/>
        <w:rPr>
          <w:rFonts w:hint="default"/>
          <w:color w:val="auto"/>
          <w:lang w:val="en-US" w:eastAsia="zh-CN"/>
        </w:rPr>
      </w:pPr>
      <w:r>
        <w:rPr>
          <w:rFonts w:hint="default"/>
          <w:color w:val="auto"/>
          <w:lang w:val="en-US" w:eastAsia="zh-CN"/>
        </w:rPr>
        <w:t>R——滑弧半径，m。</w:t>
      </w:r>
    </w:p>
    <w:p w14:paraId="2EDA2BC4">
      <w:pPr>
        <w:bidi w:val="0"/>
        <w:rPr>
          <w:rFonts w:hint="default"/>
          <w:color w:val="auto"/>
          <w:lang w:val="en-US" w:eastAsia="zh-CN"/>
        </w:rPr>
      </w:pPr>
      <w:r>
        <w:rPr>
          <w:rFonts w:hint="default"/>
          <w:color w:val="auto"/>
          <w:lang w:val="en-US" w:eastAsia="zh-CN"/>
        </w:rPr>
        <w:t>采用理正软件进行坝体抗滑稳定安全计算。</w:t>
      </w:r>
    </w:p>
    <w:p w14:paraId="2224A246">
      <w:pPr>
        <w:numPr>
          <w:ilvl w:val="0"/>
          <w:numId w:val="3"/>
        </w:numPr>
        <w:bidi w:val="0"/>
        <w:rPr>
          <w:rFonts w:hint="default"/>
          <w:color w:val="auto"/>
          <w:lang w:val="en-US" w:eastAsia="zh-CN"/>
        </w:rPr>
      </w:pPr>
      <w:r>
        <w:rPr>
          <w:rFonts w:hint="default"/>
          <w:color w:val="auto"/>
          <w:lang w:val="en-US" w:eastAsia="zh-CN"/>
        </w:rPr>
        <w:t>尾矿坝抗滑稳定最小安全系数</w:t>
      </w:r>
    </w:p>
    <w:p w14:paraId="345AE2CF">
      <w:pPr>
        <w:bidi w:val="0"/>
        <w:rPr>
          <w:rFonts w:hint="default"/>
          <w:color w:val="auto"/>
          <w:lang w:val="en-US" w:eastAsia="zh-CN"/>
        </w:rPr>
      </w:pPr>
      <w:r>
        <w:rPr>
          <w:rFonts w:hint="default"/>
          <w:color w:val="auto"/>
          <w:lang w:val="en-US" w:eastAsia="zh-CN"/>
        </w:rPr>
        <w:t>根据《尾矿库设施设计规范》规定，对于三等库其坝坡抗滑稳定的最小安全系数指标为：正常运行：K</w:t>
      </w:r>
      <w:r>
        <w:rPr>
          <w:rFonts w:hint="eastAsia" w:ascii="宋体" w:hAnsi="宋体" w:eastAsia="宋体" w:cs="宋体"/>
          <w:color w:val="auto"/>
          <w:lang w:val="en-US" w:eastAsia="zh-CN"/>
        </w:rPr>
        <w:t>≥</w:t>
      </w:r>
      <w:r>
        <w:rPr>
          <w:rFonts w:hint="default"/>
          <w:color w:val="auto"/>
          <w:lang w:val="en-US" w:eastAsia="zh-CN"/>
        </w:rPr>
        <w:t>1.20；洪水运行：K</w:t>
      </w:r>
      <w:r>
        <w:rPr>
          <w:rFonts w:hint="eastAsia" w:ascii="宋体" w:hAnsi="宋体" w:eastAsia="宋体" w:cs="宋体"/>
          <w:color w:val="auto"/>
          <w:lang w:val="en-US" w:eastAsia="zh-CN"/>
        </w:rPr>
        <w:t>≥</w:t>
      </w:r>
      <w:r>
        <w:rPr>
          <w:rFonts w:hint="default"/>
          <w:color w:val="auto"/>
          <w:lang w:val="en-US" w:eastAsia="zh-CN"/>
        </w:rPr>
        <w:t>1.10；特殊运行：K</w:t>
      </w:r>
      <w:r>
        <w:rPr>
          <w:rFonts w:hint="eastAsia" w:ascii="宋体" w:hAnsi="宋体" w:eastAsia="宋体" w:cs="宋体"/>
          <w:color w:val="auto"/>
          <w:lang w:val="en-US" w:eastAsia="zh-CN"/>
        </w:rPr>
        <w:t>≥</w:t>
      </w:r>
      <w:r>
        <w:rPr>
          <w:rFonts w:hint="default"/>
          <w:color w:val="auto"/>
          <w:lang w:val="en-US" w:eastAsia="zh-CN"/>
        </w:rPr>
        <w:t>1.05。</w:t>
      </w:r>
    </w:p>
    <w:p w14:paraId="0D5B1FC7">
      <w:pPr>
        <w:bidi w:val="0"/>
        <w:rPr>
          <w:rFonts w:hint="default"/>
          <w:color w:val="auto"/>
          <w:lang w:val="en-US" w:eastAsia="zh-CN"/>
        </w:rPr>
      </w:pPr>
      <w:r>
        <w:rPr>
          <w:rFonts w:hint="default"/>
          <w:color w:val="auto"/>
          <w:lang w:val="en-US" w:eastAsia="zh-CN"/>
        </w:rPr>
        <w:t>其中特殊运行指洪水时在地震效应作用下的工况。</w:t>
      </w:r>
    </w:p>
    <w:p w14:paraId="6DBECB44">
      <w:pPr>
        <w:bidi w:val="0"/>
        <w:rPr>
          <w:rFonts w:hint="default"/>
          <w:color w:val="auto"/>
          <w:lang w:val="en-US" w:eastAsia="zh-CN"/>
        </w:rPr>
      </w:pPr>
      <w:r>
        <w:rPr>
          <w:rFonts w:hint="default"/>
          <w:color w:val="auto"/>
          <w:lang w:val="en-US" w:eastAsia="zh-CN"/>
        </w:rPr>
        <w:t>三、坝体渗流稳定分析</w:t>
      </w:r>
    </w:p>
    <w:p w14:paraId="6FD06568">
      <w:pPr>
        <w:bidi w:val="0"/>
        <w:rPr>
          <w:rFonts w:hint="default"/>
          <w:color w:val="auto"/>
          <w:lang w:val="en-US" w:eastAsia="zh-CN"/>
        </w:rPr>
      </w:pPr>
      <w:r>
        <w:rPr>
          <w:rFonts w:hint="default"/>
          <w:color w:val="auto"/>
          <w:lang w:val="en-US" w:eastAsia="zh-CN"/>
        </w:rPr>
        <w:t>尾矿坝渗流计算的主要任务，是确定坝体浸润线的位置，坝体和坝基的渗流量以及坝体出逸段的水力坡降，作为坝体稳定计算和排渗设施设计的依据。</w:t>
      </w:r>
    </w:p>
    <w:p w14:paraId="2250B284">
      <w:pPr>
        <w:bidi w:val="0"/>
        <w:rPr>
          <w:rFonts w:hint="default"/>
          <w:color w:val="auto"/>
          <w:lang w:val="en-US" w:eastAsia="zh-CN"/>
        </w:rPr>
      </w:pPr>
      <w:r>
        <w:rPr>
          <w:rFonts w:hint="default"/>
          <w:color w:val="auto"/>
          <w:lang w:val="en-US" w:eastAsia="zh-CN"/>
        </w:rPr>
        <w:t>《工勘报告》已提供现状正常工况下尾砂堆积体内浸润线平均降深约25m，坝前浸润线略高于粘土斜墙。对尾砂堆积现状的洪水工况、加高扩容后正常及洪水工况的坝体浸润线进行理论计算时参考以上数据。</w:t>
      </w:r>
    </w:p>
    <w:p w14:paraId="3C4D27F9">
      <w:pPr>
        <w:bidi w:val="0"/>
        <w:rPr>
          <w:rFonts w:hint="default"/>
          <w:color w:val="auto"/>
          <w:lang w:val="en-US" w:eastAsia="zh-CN"/>
        </w:rPr>
      </w:pPr>
      <w:r>
        <w:rPr>
          <w:rFonts w:hint="default"/>
          <w:color w:val="auto"/>
          <w:lang w:val="en-US" w:eastAsia="zh-CN"/>
        </w:rPr>
        <w:t>参考《尾矿库设施设计规范》进行尾矿坝的渗流计算，对于上游式尾矿坝，地下水位的确定比其他任何类型的尾矿坝都复杂，受上游库内水位、沉积滩宽度、所排放尾矿的横向和垂向渗透性变化、尾矿沉积层的各向异性、边界条件和其他因素等的影响。而尾矿沉积滩宽度及库内水位等是影响的最重要因素，次重要因素是所排放的尾矿粒度离析引起的渗透性横向即水平方向变化的程度。而渗透性变化程度又取决于尾矿的级配、排放尾矿浆体浓度、周边排放的严格管理和尾矿库水位控制等。</w:t>
      </w:r>
    </w:p>
    <w:p w14:paraId="051C52EA">
      <w:pPr>
        <w:bidi w:val="0"/>
        <w:rPr>
          <w:rFonts w:hint="default"/>
          <w:color w:val="auto"/>
          <w:lang w:val="en-US" w:eastAsia="zh-CN"/>
        </w:rPr>
      </w:pPr>
      <w:r>
        <w:rPr>
          <w:rFonts w:hint="default"/>
          <w:color w:val="auto"/>
          <w:lang w:val="en-US" w:eastAsia="zh-CN"/>
        </w:rPr>
        <w:t>本工程中初期坝高45.22m，加高后尾矿堆积体高9.78m，透水堆石坝相当于排渗棱体，渗流计算模型简化成按不透水地基上均质坝的平面渗流计算公式进行渗流计算。</w:t>
      </w:r>
    </w:p>
    <w:p w14:paraId="677CA649">
      <w:pPr>
        <w:bidi w:val="0"/>
        <w:rPr>
          <w:rFonts w:hint="default"/>
          <w:color w:val="auto"/>
          <w:lang w:val="en-US" w:eastAsia="zh-CN"/>
        </w:rPr>
      </w:pPr>
      <w:r>
        <w:rPr>
          <w:rFonts w:hint="default"/>
          <w:color w:val="auto"/>
          <w:lang w:val="en-US" w:eastAsia="zh-CN"/>
        </w:rPr>
        <w:t>由于尾矿场内部地形起伏、沟谷曲折，考虑到渗流水流的主流还是沿主河沟方向流动，所以渗流计算断面选取通过初期坝且沿主河沟的断面，从而获得接近实际的浸润线。</w:t>
      </w:r>
    </w:p>
    <w:p w14:paraId="08B26821">
      <w:pPr>
        <w:bidi w:val="0"/>
        <w:rPr>
          <w:rFonts w:hint="default"/>
          <w:color w:val="auto"/>
          <w:lang w:val="en-US" w:eastAsia="zh-CN"/>
        </w:rPr>
      </w:pPr>
      <w:r>
        <w:rPr>
          <w:rFonts w:hint="default"/>
          <w:color w:val="auto"/>
          <w:lang w:val="en-US" w:eastAsia="zh-CN"/>
        </w:rPr>
        <w:t>尾砂平均沉积滩坡度按2.0%计，现状坝体及加高后坝体洪水工况最高洪水位按调洪演算结果计；加高后坝体正常工况死水位距坝顶高程为8.0m，计算简图见图4</w:t>
      </w:r>
      <w:r>
        <w:rPr>
          <w:rFonts w:hint="eastAsia"/>
          <w:color w:val="auto"/>
          <w:lang w:val="en-US" w:eastAsia="zh-CN"/>
        </w:rPr>
        <w:t>.2</w:t>
      </w:r>
      <w:r>
        <w:rPr>
          <w:rFonts w:hint="default"/>
          <w:color w:val="auto"/>
          <w:lang w:val="en-US" w:eastAsia="zh-CN"/>
        </w:rPr>
        <w:t>-1，计算结果见表4</w:t>
      </w:r>
      <w:r>
        <w:rPr>
          <w:rFonts w:hint="eastAsia"/>
          <w:color w:val="auto"/>
          <w:lang w:val="en-US" w:eastAsia="zh-CN"/>
        </w:rPr>
        <w:t>.2-2</w:t>
      </w:r>
      <w:r>
        <w:rPr>
          <w:rFonts w:hint="default"/>
          <w:color w:val="auto"/>
          <w:lang w:val="en-US" w:eastAsia="zh-CN"/>
        </w:rPr>
        <w:t>。</w:t>
      </w:r>
    </w:p>
    <w:p w14:paraId="703DE5FB">
      <w:pPr>
        <w:bidi w:val="0"/>
        <w:ind w:left="0" w:leftChars="0" w:firstLine="0" w:firstLineChars="0"/>
        <w:jc w:val="center"/>
        <w:rPr>
          <w:rFonts w:hint="eastAsia"/>
          <w:color w:val="auto"/>
        </w:rPr>
      </w:pPr>
      <w:r>
        <w:rPr>
          <w:color w:val="auto"/>
        </w:rPr>
        <w:object>
          <v:shape id="_x0000_i1026" o:spt="75" type="#_x0000_t75" style="height:156.75pt;width:459pt;" o:ole="t" filled="f" o:preferrelative="t" stroked="f" coordsize="21600,21600">
            <v:path/>
            <v:fill on="f" focussize="0,0"/>
            <v:stroke on="f" joinstyle="miter"/>
            <v:imagedata r:id="rId22" cropleft="19317f" croptop="19166f" cropright="26032f" cropbottom="33199f" o:title=""/>
            <o:lock v:ext="edit" aspectratio="t"/>
            <w10:wrap type="none"/>
            <w10:anchorlock/>
          </v:shape>
          <o:OLEObject Type="Embed" ProgID="AutoCAD.Drawing.16" ShapeID="_x0000_i1026" DrawAspect="Content" ObjectID="_1468075726" r:id="rId21">
            <o:LockedField>false</o:LockedField>
          </o:OLEObject>
        </w:object>
      </w:r>
      <w:r>
        <w:rPr>
          <w:rFonts w:hint="default"/>
          <w:color w:val="auto"/>
          <w:lang w:val="en-US" w:eastAsia="zh-CN"/>
        </w:rPr>
        <w:t>图4</w:t>
      </w:r>
      <w:r>
        <w:rPr>
          <w:rFonts w:hint="eastAsia"/>
          <w:color w:val="auto"/>
          <w:lang w:val="en-US" w:eastAsia="zh-CN"/>
        </w:rPr>
        <w:t>.2</w:t>
      </w:r>
      <w:r>
        <w:rPr>
          <w:rFonts w:hint="default"/>
          <w:color w:val="auto"/>
          <w:lang w:val="en-US" w:eastAsia="zh-CN"/>
        </w:rPr>
        <w:t>-1</w:t>
      </w:r>
      <w:r>
        <w:rPr>
          <w:rFonts w:hint="eastAsia"/>
          <w:color w:val="auto"/>
        </w:rPr>
        <w:t xml:space="preserve"> 坝体浸润线计算简图</w:t>
      </w:r>
    </w:p>
    <w:p w14:paraId="0454916E">
      <w:p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以尾矿库现状为例，根据《尾矿设施设计规范》的规定，库区内放矿水按覆盖绝大部分滩面考虑，浸润线计算方法和计算结果如下：</w:t>
      </w:r>
    </w:p>
    <w:p w14:paraId="34394DD0">
      <w:pPr>
        <w:spacing w:line="360" w:lineRule="auto"/>
        <w:ind w:firstLine="560" w:firstLineChars="20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化引滩长：</w:t>
      </w:r>
      <w:r>
        <w:rPr>
          <w:rFonts w:hint="default" w:ascii="Times New Roman" w:hAnsi="Times New Roman" w:eastAsia="宋体" w:cs="Times New Roman"/>
          <w:color w:val="auto"/>
          <w:position w:val="-12"/>
          <w:sz w:val="28"/>
          <w:szCs w:val="28"/>
        </w:rPr>
        <w:object>
          <v:shape id="_x0000_i1027" o:spt="75" type="#_x0000_t75" style="height:19.5pt;width:189.75pt;" o:ole="t" filled="f" o:preferrelative="t" stroked="f" coordsize="21600,21600">
            <v:path/>
            <v:fill on="f" focussize="0,0"/>
            <v:stroke on="f" joinstyle="miter"/>
            <v:imagedata r:id="rId24" o:title=""/>
            <o:lock v:ext="edit" aspectratio="t"/>
            <w10:wrap type="none"/>
            <w10:anchorlock/>
          </v:shape>
          <o:OLEObject Type="Embed" ProgID="Equation.3" ShapeID="_x0000_i1027" DrawAspect="Content" ObjectID="_1468075727" r:id="rId23">
            <o:LockedField>false</o:LockedField>
          </o:OLEObject>
        </w:object>
      </w:r>
    </w:p>
    <w:p w14:paraId="6754174A">
      <w:pPr>
        <w:spacing w:line="360" w:lineRule="auto"/>
        <w:ind w:firstLine="560" w:firstLineChars="20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化引库水位：</w:t>
      </w:r>
      <w:r>
        <w:rPr>
          <w:rFonts w:hint="default" w:ascii="Times New Roman" w:hAnsi="Times New Roman" w:eastAsia="宋体" w:cs="Times New Roman"/>
          <w:color w:val="auto"/>
          <w:position w:val="-6"/>
          <w:sz w:val="28"/>
          <w:szCs w:val="28"/>
        </w:rPr>
        <w:object>
          <v:shape id="_x0000_i1028" o:spt="75" type="#_x0000_t75" style="height:14.25pt;width:156.75pt;" o:ole="t" filled="f" o:preferrelative="t" stroked="f" coordsize="21600,21600">
            <v:path/>
            <v:fill on="f" focussize="0,0"/>
            <v:stroke on="f" joinstyle="miter"/>
            <v:imagedata r:id="rId26" o:title=""/>
            <o:lock v:ext="edit" aspectratio="t"/>
            <w10:wrap type="none"/>
            <w10:anchorlock/>
          </v:shape>
          <o:OLEObject Type="Embed" ProgID="Equation.3" ShapeID="_x0000_i1028" DrawAspect="Content" ObjectID="_1468075728" r:id="rId25">
            <o:LockedField>false</o:LockedField>
          </o:OLEObject>
        </w:object>
      </w:r>
    </w:p>
    <w:p w14:paraId="5AC20856">
      <w:pPr>
        <w:spacing w:line="360" w:lineRule="auto"/>
        <w:ind w:firstLine="560" w:firstLineChars="20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计算水头：</w:t>
      </w:r>
      <w:r>
        <w:rPr>
          <w:rFonts w:hint="default" w:ascii="Times New Roman" w:hAnsi="Times New Roman" w:eastAsia="宋体" w:cs="Times New Roman"/>
          <w:color w:val="auto"/>
          <w:position w:val="-6"/>
          <w:sz w:val="28"/>
          <w:szCs w:val="28"/>
        </w:rPr>
        <w:object>
          <v:shape id="_x0000_i1029" o:spt="75" type="#_x0000_t75" style="height:14.25pt;width:150.75pt;" o:ole="t" filled="f" o:preferrelative="t" stroked="f" coordsize="21600,21600">
            <v:path/>
            <v:fill on="f" focussize="0,0"/>
            <v:stroke on="f" joinstyle="miter"/>
            <v:imagedata r:id="rId28" o:title=""/>
            <o:lock v:ext="edit" aspectratio="t"/>
            <w10:wrap type="none"/>
            <w10:anchorlock/>
          </v:shape>
          <o:OLEObject Type="Embed" ProgID="Equation.3" ShapeID="_x0000_i1029" DrawAspect="Content" ObjectID="_1468075729" r:id="rId27">
            <o:LockedField>false</o:LockedField>
          </o:OLEObject>
        </w:object>
      </w:r>
    </w:p>
    <w:p w14:paraId="7D759A30">
      <w:pPr>
        <w:spacing w:line="360" w:lineRule="auto"/>
        <w:ind w:firstLine="560" w:firstLineChars="20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渗透长度：</w:t>
      </w:r>
      <w:r>
        <w:rPr>
          <w:rFonts w:hint="default" w:ascii="Times New Roman" w:hAnsi="Times New Roman" w:eastAsia="宋体" w:cs="Times New Roman"/>
          <w:color w:val="auto"/>
          <w:position w:val="-6"/>
          <w:sz w:val="28"/>
          <w:szCs w:val="28"/>
        </w:rPr>
        <w:object>
          <v:shape id="_x0000_i1030" o:spt="75" type="#_x0000_t75" style="height:14.25pt;width:221.25pt;" o:ole="t" filled="f" o:preferrelative="t" stroked="f" coordsize="21600,21600">
            <v:path/>
            <v:fill on="f" focussize="0,0"/>
            <v:stroke on="f" joinstyle="miter"/>
            <v:imagedata r:id="rId30" o:title=""/>
            <o:lock v:ext="edit" aspectratio="t"/>
            <w10:wrap type="none"/>
            <w10:anchorlock/>
          </v:shape>
          <o:OLEObject Type="Embed" ProgID="Equation.3" ShapeID="_x0000_i1030" DrawAspect="Content" ObjectID="_1468075730" r:id="rId29">
            <o:LockedField>false</o:LockedField>
          </o:OLEObject>
        </w:object>
      </w:r>
    </w:p>
    <w:p w14:paraId="62E169CD">
      <w:pPr>
        <w:spacing w:beforeLines="20" w:line="360" w:lineRule="auto"/>
        <w:ind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坝体单宽流量：</w:t>
      </w:r>
      <w:r>
        <w:rPr>
          <w:rFonts w:hint="default" w:ascii="Times New Roman" w:hAnsi="Times New Roman" w:eastAsia="宋体" w:cs="Times New Roman"/>
          <w:b/>
          <w:color w:val="auto"/>
          <w:position w:val="-10"/>
          <w:sz w:val="28"/>
          <w:szCs w:val="28"/>
        </w:rPr>
        <w:object>
          <v:shape id="_x0000_i1031" o:spt="75" type="#_x0000_t75" style="height:21pt;width:153pt;" o:ole="t" filled="f" o:preferrelative="t" stroked="f" coordsize="21600,21600">
            <v:path/>
            <v:fill on="f" focussize="0,0"/>
            <v:stroke on="f" joinstyle="miter"/>
            <v:imagedata r:id="rId32" o:title=""/>
            <o:lock v:ext="edit" aspectratio="t"/>
            <w10:wrap type="none"/>
            <w10:anchorlock/>
          </v:shape>
          <o:OLEObject Type="Embed" ProgID="Equation.3" ShapeID="_x0000_i1031" DrawAspect="Content" ObjectID="_1468075731" r:id="rId31">
            <o:LockedField>false</o:LockedField>
          </o:OLEObject>
        </w:object>
      </w:r>
    </w:p>
    <w:p w14:paraId="76D51579">
      <w:pPr>
        <w:spacing w:beforeLines="20" w:line="360" w:lineRule="auto"/>
        <w:ind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浸润线在y轴上的截距</w:t>
      </w:r>
      <w:r>
        <w:rPr>
          <w:rFonts w:hint="default" w:ascii="Times New Roman" w:hAnsi="Times New Roman" w:eastAsia="宋体" w:cs="Times New Roman"/>
          <w:b/>
          <w:color w:val="auto"/>
          <w:position w:val="-10"/>
          <w:sz w:val="28"/>
          <w:szCs w:val="28"/>
        </w:rPr>
        <w:object>
          <v:shape id="_x0000_i1032" o:spt="75" type="#_x0000_t75" style="height:16.5pt;width:13.5pt;" o:ole="t" filled="f" o:preferrelative="t" stroked="f" coordsize="21600,21600">
            <v:path/>
            <v:fill on="f" focussize="0,0"/>
            <v:stroke on="f" joinstyle="miter"/>
            <v:imagedata r:id="rId34" o:title=""/>
            <o:lock v:ext="edit" aspectratio="t"/>
            <w10:wrap type="none"/>
            <w10:anchorlock/>
          </v:shape>
          <o:OLEObject Type="Embed" ProgID="Equation.3" ShapeID="_x0000_i1032" DrawAspect="Content" ObjectID="_1468075732" r:id="rId33">
            <o:LockedField>false</o:LockedField>
          </o:OLEObject>
        </w:object>
      </w:r>
      <w:r>
        <w:rPr>
          <w:rFonts w:hint="default" w:ascii="Times New Roman" w:hAnsi="Times New Roman" w:eastAsia="宋体" w:cs="Times New Roman"/>
          <w:color w:val="auto"/>
          <w:sz w:val="28"/>
          <w:szCs w:val="28"/>
        </w:rPr>
        <w:t>：</w:t>
      </w:r>
      <w:r>
        <w:rPr>
          <w:rFonts w:hint="default" w:ascii="Times New Roman" w:hAnsi="Times New Roman" w:eastAsia="宋体" w:cs="Times New Roman"/>
          <w:b/>
          <w:color w:val="auto"/>
          <w:position w:val="-24"/>
          <w:sz w:val="28"/>
          <w:szCs w:val="28"/>
        </w:rPr>
        <w:object>
          <v:shape id="_x0000_i1033" o:spt="75" type="#_x0000_t75" style="height:30.75pt;width:109.5pt;" o:ole="t" filled="f" o:preferrelative="t" stroked="f" coordsize="21600,21600">
            <v:path/>
            <v:fill on="f" focussize="0,0"/>
            <v:stroke on="f" joinstyle="miter"/>
            <v:imagedata r:id="rId36" o:title=""/>
            <o:lock v:ext="edit" aspectratio="t"/>
            <w10:wrap type="none"/>
            <w10:anchorlock/>
          </v:shape>
          <o:OLEObject Type="Embed" ProgID="Equation.3" ShapeID="_x0000_i1033" DrawAspect="Content" ObjectID="_1468075733" r:id="rId35">
            <o:LockedField>false</o:LockedField>
          </o:OLEObject>
        </w:object>
      </w:r>
      <w:r>
        <w:rPr>
          <w:rFonts w:hint="default" w:ascii="Times New Roman" w:hAnsi="Times New Roman" w:eastAsia="宋体" w:cs="Times New Roman"/>
          <w:b/>
          <w:color w:val="auto"/>
          <w:sz w:val="28"/>
          <w:szCs w:val="28"/>
        </w:rPr>
        <w:t>=</w:t>
      </w:r>
      <w:r>
        <w:rPr>
          <w:rFonts w:hint="default" w:ascii="Times New Roman" w:hAnsi="Times New Roman" w:eastAsia="宋体" w:cs="Times New Roman"/>
          <w:color w:val="auto"/>
          <w:sz w:val="28"/>
          <w:szCs w:val="28"/>
        </w:rPr>
        <w:t>4.23</w:t>
      </w:r>
    </w:p>
    <w:p w14:paraId="4FFFD743">
      <w:pPr>
        <w:spacing w:beforeLines="20" w:line="360" w:lineRule="auto"/>
        <w:ind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尾砂堆积边坡处浸润线方程：</w:t>
      </w:r>
      <w:r>
        <w:rPr>
          <w:rFonts w:hint="default" w:ascii="Times New Roman" w:hAnsi="Times New Roman" w:eastAsia="宋体" w:cs="Times New Roman"/>
          <w:b/>
          <w:color w:val="auto"/>
          <w:position w:val="-12"/>
          <w:sz w:val="28"/>
          <w:szCs w:val="28"/>
        </w:rPr>
        <w:object>
          <v:shape id="_x0000_i1034" o:spt="75" type="#_x0000_t75" style="height:22.5pt;width:166.5pt;" o:ole="t" filled="f" o:preferrelative="t" stroked="f" coordsize="21600,21600">
            <v:path/>
            <v:fill on="f" focussize="0,0"/>
            <v:stroke on="f" joinstyle="miter"/>
            <v:imagedata r:id="rId38" o:title=""/>
            <o:lock v:ext="edit" aspectratio="t"/>
            <w10:wrap type="none"/>
            <w10:anchorlock/>
          </v:shape>
          <o:OLEObject Type="Embed" ProgID="Equation.3" ShapeID="_x0000_i1034" DrawAspect="Content" ObjectID="_1468075734" r:id="rId37">
            <o:LockedField>false</o:LockedField>
          </o:OLEObject>
        </w:object>
      </w:r>
    </w:p>
    <w:p w14:paraId="77CE25C3">
      <w:pPr>
        <w:spacing w:beforeLines="50" w:line="360" w:lineRule="auto"/>
        <w:ind w:firstLine="573" w:firstLineChars="0"/>
        <w:jc w:val="left"/>
        <w:rPr>
          <w:rFonts w:hint="default" w:ascii="Times New Roman" w:hAnsi="Times New Roman" w:eastAsia="宋体" w:cs="Times New Roman"/>
          <w:b/>
          <w:color w:val="auto"/>
          <w:sz w:val="28"/>
          <w:szCs w:val="28"/>
        </w:rPr>
      </w:pPr>
      <w:r>
        <w:rPr>
          <w:rFonts w:hint="default" w:ascii="Times New Roman" w:hAnsi="Times New Roman" w:eastAsia="宋体" w:cs="Times New Roman"/>
          <w:color w:val="auto"/>
          <w:sz w:val="28"/>
          <w:szCs w:val="28"/>
        </w:rPr>
        <w:t>干滩面处浸润线方程：</w:t>
      </w:r>
      <w:r>
        <w:rPr>
          <w:rFonts w:hint="default" w:ascii="Times New Roman" w:hAnsi="Times New Roman" w:eastAsia="宋体" w:cs="Times New Roman"/>
          <w:b/>
          <w:color w:val="auto"/>
          <w:position w:val="-28"/>
          <w:sz w:val="28"/>
          <w:szCs w:val="28"/>
        </w:rPr>
        <w:object>
          <v:shape id="_x0000_i1035" o:spt="75" type="#_x0000_t75" style="height:33pt;width:119.25pt;" o:ole="t" filled="f" o:preferrelative="t" stroked="f" coordsize="21600,21600">
            <v:path/>
            <v:fill on="f" focussize="0,0"/>
            <v:stroke on="f" joinstyle="miter"/>
            <v:imagedata r:id="rId40" o:title=""/>
            <o:lock v:ext="edit" aspectratio="t"/>
            <w10:wrap type="none"/>
            <w10:anchorlock/>
          </v:shape>
          <o:OLEObject Type="Embed" ProgID="Equation.3" ShapeID="_x0000_i1035" DrawAspect="Content" ObjectID="_1468075735" r:id="rId39">
            <o:LockedField>false</o:LockedField>
          </o:OLEObject>
        </w:object>
      </w:r>
    </w:p>
    <w:p w14:paraId="2FE9021F">
      <w:pPr>
        <w:spacing w:beforeLines="50" w:line="360" w:lineRule="auto"/>
        <w:ind w:firstLine="573" w:firstLineChars="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当x=1时，y=4.23；当x=656时，y=268.0-261.8-4.23=1.97</w:t>
      </w:r>
    </w:p>
    <w:p w14:paraId="474D6FEE">
      <w:pPr>
        <w:spacing w:beforeLines="50" w:line="360" w:lineRule="auto"/>
        <w:ind w:firstLine="573" w:firstLineChars="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式中：</w:t>
      </w:r>
      <w:r>
        <w:rPr>
          <w:rFonts w:hint="default" w:ascii="Times New Roman" w:hAnsi="Times New Roman" w:eastAsia="宋体" w:cs="Times New Roman"/>
          <w:color w:val="auto"/>
          <w:sz w:val="28"/>
          <w:szCs w:val="28"/>
        </w:rPr>
        <w:object>
          <v:shape id="_x0000_i1036" o:spt="75" type="#_x0000_t75" style="height:14.25pt;width:9.75pt;" o:ole="t" filled="f" o:preferrelative="t" stroked="f" coordsize="21600,21600">
            <v:path/>
            <v:fill on="f" focussize="0,0"/>
            <v:stroke on="f" joinstyle="miter"/>
            <v:imagedata r:id="rId42" o:title=""/>
            <o:lock v:ext="edit" aspectratio="t"/>
            <w10:wrap type="none"/>
            <w10:anchorlock/>
          </v:shape>
          <o:OLEObject Type="Embed" ProgID="Equation.3" ShapeID="_x0000_i1036" DrawAspect="Content" ObjectID="_1468075736" r:id="rId41">
            <o:LockedField>false</o:LockedField>
          </o:OLEObject>
        </w:object>
      </w:r>
      <w:r>
        <w:rPr>
          <w:rFonts w:hint="default" w:ascii="Times New Roman" w:hAnsi="Times New Roman" w:eastAsia="宋体" w:cs="Times New Roman"/>
          <w:color w:val="auto"/>
          <w:sz w:val="28"/>
          <w:szCs w:val="28"/>
        </w:rPr>
        <w:t>——尾矿或土的渗透系数，8.44×10</w:t>
      </w:r>
      <w:r>
        <w:rPr>
          <w:rFonts w:hint="default" w:ascii="Times New Roman" w:hAnsi="Times New Roman" w:eastAsia="宋体" w:cs="Times New Roman"/>
          <w:color w:val="auto"/>
          <w:sz w:val="28"/>
          <w:szCs w:val="28"/>
          <w:vertAlign w:val="superscript"/>
        </w:rPr>
        <w:t>-5</w:t>
      </w:r>
      <w:r>
        <w:rPr>
          <w:rFonts w:hint="default" w:ascii="Times New Roman" w:hAnsi="Times New Roman" w:eastAsia="宋体" w:cs="Times New Roman"/>
          <w:color w:val="auto"/>
          <w:sz w:val="28"/>
          <w:szCs w:val="28"/>
        </w:rPr>
        <w:t>m/s。</w:t>
      </w:r>
    </w:p>
    <w:p w14:paraId="7385DA2C">
      <w:pPr>
        <w:bidi w:val="0"/>
        <w:rPr>
          <w:rFonts w:hint="default"/>
          <w:color w:val="auto"/>
        </w:rPr>
      </w:pPr>
      <w:r>
        <w:rPr>
          <w:rFonts w:hint="default"/>
          <w:color w:val="auto"/>
        </w:rPr>
        <w:t>现状坝体正常工况时，坝前浸润线埋深约19m，与实测浸润线埋深基本吻合；《尾矿设施设计规范》并未规定坝体渗透总量的计算方法，计算时按渗透宽度取库区内干滩面最宽断面250m考虑，可得坝体渗透总量Q=0.36*250=90L/S，与业主在坝脚处实测值约100L/S亦基本接近。</w:t>
      </w:r>
    </w:p>
    <w:p w14:paraId="1BB35A92">
      <w:pPr>
        <w:bidi w:val="0"/>
        <w:ind w:left="0" w:leftChars="0" w:firstLine="0" w:firstLineChars="0"/>
        <w:jc w:val="center"/>
        <w:rPr>
          <w:rFonts w:hint="default"/>
          <w:color w:val="auto"/>
        </w:rPr>
      </w:pPr>
      <w:r>
        <w:rPr>
          <w:rFonts w:hint="default"/>
          <w:color w:val="auto"/>
        </w:rPr>
        <w:t>表4</w:t>
      </w:r>
      <w:r>
        <w:rPr>
          <w:rFonts w:hint="eastAsia"/>
          <w:color w:val="auto"/>
          <w:lang w:val="en-US" w:eastAsia="zh-CN"/>
        </w:rPr>
        <w:t>.2</w:t>
      </w:r>
      <w:r>
        <w:rPr>
          <w:rFonts w:hint="default"/>
          <w:color w:val="auto"/>
        </w:rPr>
        <w:t>-</w:t>
      </w:r>
      <w:r>
        <w:rPr>
          <w:rFonts w:hint="eastAsia"/>
          <w:color w:val="auto"/>
          <w:lang w:val="en-US" w:eastAsia="zh-CN"/>
        </w:rPr>
        <w:t>2</w:t>
      </w:r>
      <w:r>
        <w:rPr>
          <w:rFonts w:hint="default"/>
          <w:color w:val="auto"/>
        </w:rPr>
        <w:t xml:space="preserve"> 浸润线计算结果表</w:t>
      </w:r>
    </w:p>
    <w:tbl>
      <w:tblPr>
        <w:tblStyle w:val="20"/>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00"/>
        <w:gridCol w:w="1113"/>
        <w:gridCol w:w="1073"/>
        <w:gridCol w:w="1084"/>
        <w:gridCol w:w="669"/>
        <w:gridCol w:w="2154"/>
        <w:gridCol w:w="1993"/>
      </w:tblGrid>
      <w:tr w14:paraId="79C66C5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200" w:type="dxa"/>
            <w:noWrap w:val="0"/>
            <w:vAlign w:val="center"/>
          </w:tcPr>
          <w:p w14:paraId="02CEF8B3">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工况</w:t>
            </w:r>
          </w:p>
        </w:tc>
        <w:tc>
          <w:tcPr>
            <w:tcW w:w="1113" w:type="dxa"/>
            <w:noWrap w:val="0"/>
            <w:vAlign w:val="center"/>
          </w:tcPr>
          <w:p w14:paraId="65B67E4D">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化引滩长(m)</w:t>
            </w:r>
          </w:p>
        </w:tc>
        <w:tc>
          <w:tcPr>
            <w:tcW w:w="1073" w:type="dxa"/>
            <w:noWrap w:val="0"/>
            <w:vAlign w:val="center"/>
          </w:tcPr>
          <w:p w14:paraId="04FF753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计算水头(m)</w:t>
            </w:r>
          </w:p>
        </w:tc>
        <w:tc>
          <w:tcPr>
            <w:tcW w:w="1084" w:type="dxa"/>
            <w:noWrap w:val="0"/>
            <w:vAlign w:val="center"/>
          </w:tcPr>
          <w:p w14:paraId="5C8F0C41">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渗透长度(m)</w:t>
            </w:r>
          </w:p>
        </w:tc>
        <w:tc>
          <w:tcPr>
            <w:tcW w:w="669" w:type="dxa"/>
            <w:noWrap w:val="0"/>
            <w:vAlign w:val="center"/>
          </w:tcPr>
          <w:p w14:paraId="7EB95C1E">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截距</w:t>
            </w:r>
          </w:p>
          <w:p w14:paraId="3A0220D6">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(m)</w:t>
            </w:r>
          </w:p>
        </w:tc>
        <w:tc>
          <w:tcPr>
            <w:tcW w:w="2154" w:type="dxa"/>
            <w:noWrap w:val="0"/>
            <w:vAlign w:val="center"/>
          </w:tcPr>
          <w:p w14:paraId="5C189A66">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color w:val="auto"/>
                <w:sz w:val="21"/>
                <w:szCs w:val="21"/>
              </w:rPr>
              <w:t>堆积边坡浸润线</w:t>
            </w:r>
            <w:r>
              <w:rPr>
                <w:rFonts w:hint="default" w:ascii="Times New Roman" w:hAnsi="Times New Roman" w:eastAsia="宋体" w:cs="Times New Roman"/>
                <w:b/>
                <w:color w:val="auto"/>
                <w:position w:val="-12"/>
                <w:sz w:val="21"/>
                <w:szCs w:val="21"/>
              </w:rPr>
              <w:object>
                <v:shape id="_x0000_i1037" o:spt="75" type="#_x0000_t75" style="height:22.5pt;width:81.75pt;" o:ole="t" filled="f" o:preferrelative="t" stroked="f" coordsize="21600,21600">
                  <v:path/>
                  <v:fill on="f" focussize="0,0"/>
                  <v:stroke on="f" joinstyle="miter"/>
                  <v:imagedata r:id="rId44" o:title=""/>
                  <o:lock v:ext="edit" aspectratio="t"/>
                  <w10:wrap type="none"/>
                  <w10:anchorlock/>
                </v:shape>
                <o:OLEObject Type="Embed" ProgID="Equation.3" ShapeID="_x0000_i1037" DrawAspect="Content" ObjectID="_1468075737" r:id="rId43">
                  <o:LockedField>false</o:LockedField>
                </o:OLEObject>
              </w:object>
            </w:r>
          </w:p>
        </w:tc>
        <w:tc>
          <w:tcPr>
            <w:tcW w:w="1993" w:type="dxa"/>
            <w:noWrap w:val="0"/>
            <w:vAlign w:val="center"/>
          </w:tcPr>
          <w:p w14:paraId="5EFD3457">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干滩面浸润线</w:t>
            </w:r>
          </w:p>
          <w:p w14:paraId="3ACDD6C7">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y=lgx/lga</w:t>
            </w:r>
          </w:p>
        </w:tc>
      </w:tr>
      <w:tr w14:paraId="3761184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200" w:type="dxa"/>
            <w:noWrap w:val="0"/>
            <w:vAlign w:val="center"/>
          </w:tcPr>
          <w:p w14:paraId="7FE296E2">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现状正常工况</w:t>
            </w:r>
          </w:p>
        </w:tc>
        <w:tc>
          <w:tcPr>
            <w:tcW w:w="1113" w:type="dxa"/>
            <w:noWrap w:val="0"/>
            <w:vAlign w:val="center"/>
          </w:tcPr>
          <w:p w14:paraId="0C3F8E23">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75.53</w:t>
            </w:r>
          </w:p>
        </w:tc>
        <w:tc>
          <w:tcPr>
            <w:tcW w:w="1073" w:type="dxa"/>
            <w:noWrap w:val="0"/>
            <w:vAlign w:val="center"/>
          </w:tcPr>
          <w:p w14:paraId="5FCAD21E">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21.31</w:t>
            </w:r>
          </w:p>
        </w:tc>
        <w:tc>
          <w:tcPr>
            <w:tcW w:w="1084" w:type="dxa"/>
            <w:noWrap w:val="0"/>
            <w:vAlign w:val="center"/>
          </w:tcPr>
          <w:p w14:paraId="4A12131B">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51.57</w:t>
            </w:r>
          </w:p>
        </w:tc>
        <w:tc>
          <w:tcPr>
            <w:tcW w:w="669" w:type="dxa"/>
            <w:noWrap w:val="0"/>
            <w:vAlign w:val="center"/>
          </w:tcPr>
          <w:p w14:paraId="28774EF3">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4.23</w:t>
            </w:r>
          </w:p>
        </w:tc>
        <w:tc>
          <w:tcPr>
            <w:tcW w:w="2154" w:type="dxa"/>
            <w:noWrap w:val="0"/>
            <w:vAlign w:val="center"/>
          </w:tcPr>
          <w:p w14:paraId="179F4B20">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p>
        </w:tc>
        <w:tc>
          <w:tcPr>
            <w:tcW w:w="1993" w:type="dxa"/>
            <w:noWrap w:val="0"/>
            <w:vAlign w:val="center"/>
          </w:tcPr>
          <w:p w14:paraId="383A3C3E">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y=lgx/1.43</w:t>
            </w:r>
          </w:p>
        </w:tc>
      </w:tr>
      <w:tr w14:paraId="1FCE045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200" w:type="dxa"/>
            <w:noWrap w:val="0"/>
            <w:vAlign w:val="center"/>
          </w:tcPr>
          <w:p w14:paraId="4D781851">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现状洪水工况</w:t>
            </w:r>
          </w:p>
        </w:tc>
        <w:tc>
          <w:tcPr>
            <w:tcW w:w="1113" w:type="dxa"/>
            <w:noWrap w:val="0"/>
            <w:vAlign w:val="center"/>
          </w:tcPr>
          <w:p w14:paraId="14B980D1">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34.14</w:t>
            </w:r>
          </w:p>
        </w:tc>
        <w:tc>
          <w:tcPr>
            <w:tcW w:w="1073" w:type="dxa"/>
            <w:noWrap w:val="0"/>
            <w:vAlign w:val="center"/>
          </w:tcPr>
          <w:p w14:paraId="09506AD1">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22.35</w:t>
            </w:r>
          </w:p>
        </w:tc>
        <w:tc>
          <w:tcPr>
            <w:tcW w:w="1084" w:type="dxa"/>
            <w:noWrap w:val="0"/>
            <w:vAlign w:val="center"/>
          </w:tcPr>
          <w:p w14:paraId="4E60BD35">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10.18</w:t>
            </w:r>
          </w:p>
        </w:tc>
        <w:tc>
          <w:tcPr>
            <w:tcW w:w="669" w:type="dxa"/>
            <w:noWrap w:val="0"/>
            <w:vAlign w:val="center"/>
          </w:tcPr>
          <w:p w14:paraId="49CB48CD">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14.38</w:t>
            </w:r>
          </w:p>
        </w:tc>
        <w:tc>
          <w:tcPr>
            <w:tcW w:w="2154" w:type="dxa"/>
            <w:noWrap w:val="0"/>
            <w:vAlign w:val="center"/>
          </w:tcPr>
          <w:p w14:paraId="12CF6AD9">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p>
        </w:tc>
        <w:tc>
          <w:tcPr>
            <w:tcW w:w="1993" w:type="dxa"/>
            <w:noWrap w:val="0"/>
            <w:vAlign w:val="center"/>
          </w:tcPr>
          <w:p w14:paraId="6DFC0C19">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y=lgx/0.36</w:t>
            </w:r>
          </w:p>
        </w:tc>
      </w:tr>
    </w:tbl>
    <w:p w14:paraId="4CA50269">
      <w:pPr>
        <w:bidi w:val="0"/>
        <w:rPr>
          <w:rFonts w:hint="default"/>
          <w:color w:val="auto"/>
        </w:rPr>
      </w:pPr>
      <w:r>
        <w:rPr>
          <w:rFonts w:hint="default"/>
          <w:color w:val="auto"/>
        </w:rPr>
        <w:t>四、抗滑稳定分析</w:t>
      </w:r>
    </w:p>
    <w:p w14:paraId="7A901F8B">
      <w:pPr>
        <w:bidi w:val="0"/>
        <w:rPr>
          <w:rFonts w:hint="default"/>
          <w:color w:val="auto"/>
        </w:rPr>
      </w:pPr>
      <w:r>
        <w:rPr>
          <w:rFonts w:hint="default"/>
          <w:color w:val="auto"/>
        </w:rPr>
        <w:t>尾矿库各组成层物理力学指标见表4</w:t>
      </w:r>
      <w:r>
        <w:rPr>
          <w:rFonts w:hint="eastAsia"/>
          <w:color w:val="auto"/>
          <w:lang w:val="en-US" w:eastAsia="zh-CN"/>
        </w:rPr>
        <w:t>.2</w:t>
      </w:r>
      <w:r>
        <w:rPr>
          <w:rFonts w:hint="default"/>
          <w:color w:val="auto"/>
        </w:rPr>
        <w:t>-</w:t>
      </w:r>
      <w:r>
        <w:rPr>
          <w:rFonts w:hint="eastAsia"/>
          <w:color w:val="auto"/>
          <w:lang w:val="en-US" w:eastAsia="zh-CN"/>
        </w:rPr>
        <w:t>3</w:t>
      </w:r>
      <w:r>
        <w:rPr>
          <w:rFonts w:hint="default"/>
          <w:color w:val="auto"/>
        </w:rPr>
        <w:t>。</w:t>
      </w:r>
    </w:p>
    <w:p w14:paraId="26E5846B">
      <w:pPr>
        <w:bidi w:val="0"/>
        <w:ind w:left="0" w:leftChars="0" w:firstLine="0" w:firstLineChars="0"/>
        <w:jc w:val="center"/>
        <w:rPr>
          <w:rFonts w:hint="default"/>
          <w:color w:val="auto"/>
        </w:rPr>
      </w:pPr>
      <w:r>
        <w:rPr>
          <w:rFonts w:hint="default"/>
          <w:color w:val="auto"/>
        </w:rPr>
        <w:t>表4</w:t>
      </w:r>
      <w:r>
        <w:rPr>
          <w:rFonts w:hint="eastAsia"/>
          <w:color w:val="auto"/>
          <w:lang w:val="en-US" w:eastAsia="zh-CN"/>
        </w:rPr>
        <w:t>.2</w:t>
      </w:r>
      <w:r>
        <w:rPr>
          <w:rFonts w:hint="default"/>
          <w:color w:val="auto"/>
        </w:rPr>
        <w:t>-</w:t>
      </w:r>
      <w:r>
        <w:rPr>
          <w:rFonts w:hint="eastAsia"/>
          <w:color w:val="auto"/>
          <w:lang w:val="en-US" w:eastAsia="zh-CN"/>
        </w:rPr>
        <w:t>3</w:t>
      </w:r>
      <w:r>
        <w:rPr>
          <w:rFonts w:hint="default"/>
          <w:color w:val="auto"/>
        </w:rPr>
        <w:t xml:space="preserve"> 尾矿坝各组成层主要物理力学指标建议值</w:t>
      </w:r>
    </w:p>
    <w:tbl>
      <w:tblPr>
        <w:tblStyle w:val="19"/>
        <w:tblW w:w="0" w:type="auto"/>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2519"/>
        <w:gridCol w:w="1627"/>
        <w:gridCol w:w="1406"/>
        <w:gridCol w:w="1057"/>
        <w:gridCol w:w="1254"/>
        <w:gridCol w:w="1423"/>
      </w:tblGrid>
      <w:tr w14:paraId="684F90F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00" w:hRule="atLeast"/>
          <w:jc w:val="center"/>
        </w:trPr>
        <w:tc>
          <w:tcPr>
            <w:tcW w:w="2519" w:type="dxa"/>
            <w:vMerge w:val="restart"/>
            <w:noWrap w:val="0"/>
            <w:vAlign w:val="center"/>
          </w:tcPr>
          <w:p w14:paraId="43A01D25">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尾矿类别</w:t>
            </w:r>
          </w:p>
        </w:tc>
        <w:tc>
          <w:tcPr>
            <w:tcW w:w="1627" w:type="dxa"/>
            <w:vMerge w:val="restart"/>
            <w:noWrap w:val="0"/>
            <w:vAlign w:val="center"/>
          </w:tcPr>
          <w:p w14:paraId="6A882DAB">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天然重度γ（KN/m</w:t>
            </w:r>
            <w:r>
              <w:rPr>
                <w:rFonts w:hint="eastAsia" w:ascii="Times New Roman" w:hAnsi="Times New Roman" w:eastAsia="宋体" w:cs="Times New Roman"/>
                <w:color w:val="auto"/>
                <w:sz w:val="21"/>
                <w:szCs w:val="21"/>
                <w:vertAlign w:val="superscript"/>
              </w:rPr>
              <w:t>3</w:t>
            </w:r>
            <w:r>
              <w:rPr>
                <w:rFonts w:hint="eastAsia" w:ascii="Times New Roman" w:hAnsi="Times New Roman" w:eastAsia="宋体" w:cs="Times New Roman"/>
                <w:color w:val="auto"/>
                <w:sz w:val="21"/>
                <w:szCs w:val="21"/>
              </w:rPr>
              <w:t>）</w:t>
            </w:r>
          </w:p>
        </w:tc>
        <w:tc>
          <w:tcPr>
            <w:tcW w:w="1406" w:type="dxa"/>
            <w:vMerge w:val="restart"/>
            <w:noWrap w:val="0"/>
            <w:vAlign w:val="center"/>
          </w:tcPr>
          <w:p w14:paraId="422E52FB">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压缩模量ES(MPa)</w:t>
            </w:r>
          </w:p>
        </w:tc>
        <w:tc>
          <w:tcPr>
            <w:tcW w:w="2311" w:type="dxa"/>
            <w:gridSpan w:val="2"/>
            <w:noWrap w:val="0"/>
            <w:vAlign w:val="center"/>
          </w:tcPr>
          <w:p w14:paraId="6CA3BAB9">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饱和抗剪强度</w:t>
            </w:r>
          </w:p>
        </w:tc>
        <w:tc>
          <w:tcPr>
            <w:tcW w:w="1423" w:type="dxa"/>
            <w:vMerge w:val="restart"/>
            <w:noWrap w:val="0"/>
            <w:vAlign w:val="center"/>
          </w:tcPr>
          <w:p w14:paraId="38B88954">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渗透系数K(cm/s)</w:t>
            </w:r>
          </w:p>
        </w:tc>
      </w:tr>
      <w:tr w14:paraId="02D0295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15" w:hRule="atLeast"/>
          <w:jc w:val="center"/>
        </w:trPr>
        <w:tc>
          <w:tcPr>
            <w:tcW w:w="2519" w:type="dxa"/>
            <w:vMerge w:val="continue"/>
            <w:noWrap w:val="0"/>
            <w:vAlign w:val="center"/>
          </w:tcPr>
          <w:p w14:paraId="24F147D9">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p>
        </w:tc>
        <w:tc>
          <w:tcPr>
            <w:tcW w:w="1627" w:type="dxa"/>
            <w:vMerge w:val="continue"/>
            <w:noWrap w:val="0"/>
            <w:vAlign w:val="center"/>
          </w:tcPr>
          <w:p w14:paraId="309E15D7">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p>
        </w:tc>
        <w:tc>
          <w:tcPr>
            <w:tcW w:w="1406" w:type="dxa"/>
            <w:vMerge w:val="continue"/>
            <w:noWrap w:val="0"/>
            <w:vAlign w:val="center"/>
          </w:tcPr>
          <w:p w14:paraId="7967A1D3">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p>
        </w:tc>
        <w:tc>
          <w:tcPr>
            <w:tcW w:w="1057" w:type="dxa"/>
            <w:noWrap w:val="0"/>
            <w:vAlign w:val="center"/>
          </w:tcPr>
          <w:p w14:paraId="2E93CF4B">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φ（°）</w:t>
            </w:r>
          </w:p>
        </w:tc>
        <w:tc>
          <w:tcPr>
            <w:tcW w:w="1254" w:type="dxa"/>
            <w:noWrap w:val="0"/>
            <w:vAlign w:val="center"/>
          </w:tcPr>
          <w:p w14:paraId="7937F9F7">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C（KPa）</w:t>
            </w:r>
          </w:p>
        </w:tc>
        <w:tc>
          <w:tcPr>
            <w:tcW w:w="1423" w:type="dxa"/>
            <w:vMerge w:val="continue"/>
            <w:noWrap w:val="0"/>
            <w:vAlign w:val="center"/>
          </w:tcPr>
          <w:p w14:paraId="162F3129">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p>
        </w:tc>
      </w:tr>
      <w:tr w14:paraId="789A375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05" w:hRule="atLeast"/>
          <w:jc w:val="center"/>
        </w:trPr>
        <w:tc>
          <w:tcPr>
            <w:tcW w:w="2519" w:type="dxa"/>
            <w:noWrap w:val="0"/>
            <w:vAlign w:val="center"/>
          </w:tcPr>
          <w:p w14:paraId="1CA94F92">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尾中砂</w:t>
            </w:r>
          </w:p>
        </w:tc>
        <w:tc>
          <w:tcPr>
            <w:tcW w:w="1627" w:type="dxa"/>
            <w:noWrap w:val="0"/>
            <w:vAlign w:val="center"/>
          </w:tcPr>
          <w:p w14:paraId="55A209A8">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17.0</w:t>
            </w:r>
          </w:p>
        </w:tc>
        <w:tc>
          <w:tcPr>
            <w:tcW w:w="1406" w:type="dxa"/>
            <w:noWrap w:val="0"/>
            <w:vAlign w:val="center"/>
          </w:tcPr>
          <w:p w14:paraId="67B45DBF">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10.8</w:t>
            </w:r>
          </w:p>
        </w:tc>
        <w:tc>
          <w:tcPr>
            <w:tcW w:w="1057" w:type="dxa"/>
            <w:noWrap w:val="0"/>
            <w:vAlign w:val="center"/>
          </w:tcPr>
          <w:p w14:paraId="0434282C">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22</w:t>
            </w:r>
          </w:p>
        </w:tc>
        <w:tc>
          <w:tcPr>
            <w:tcW w:w="1254" w:type="dxa"/>
            <w:noWrap w:val="0"/>
            <w:vAlign w:val="center"/>
          </w:tcPr>
          <w:p w14:paraId="2F6D0CFB">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9</w:t>
            </w:r>
          </w:p>
        </w:tc>
        <w:tc>
          <w:tcPr>
            <w:tcW w:w="1423" w:type="dxa"/>
            <w:noWrap w:val="0"/>
            <w:vAlign w:val="center"/>
          </w:tcPr>
          <w:p w14:paraId="71C56728">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7.88×10</w:t>
            </w:r>
            <w:r>
              <w:rPr>
                <w:rFonts w:hint="eastAsia" w:ascii="Times New Roman" w:hAnsi="Times New Roman" w:eastAsia="宋体" w:cs="Times New Roman"/>
                <w:color w:val="auto"/>
                <w:sz w:val="21"/>
                <w:szCs w:val="21"/>
                <w:vertAlign w:val="superscript"/>
              </w:rPr>
              <w:t>-3</w:t>
            </w:r>
          </w:p>
        </w:tc>
      </w:tr>
      <w:tr w14:paraId="02E5376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05" w:hRule="atLeast"/>
          <w:jc w:val="center"/>
        </w:trPr>
        <w:tc>
          <w:tcPr>
            <w:tcW w:w="2519" w:type="dxa"/>
            <w:noWrap w:val="0"/>
            <w:vAlign w:val="center"/>
          </w:tcPr>
          <w:p w14:paraId="2098A99B">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均质粘土</w:t>
            </w:r>
          </w:p>
        </w:tc>
        <w:tc>
          <w:tcPr>
            <w:tcW w:w="1627" w:type="dxa"/>
            <w:noWrap w:val="0"/>
            <w:vAlign w:val="center"/>
          </w:tcPr>
          <w:p w14:paraId="7F06956F">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16.0</w:t>
            </w:r>
          </w:p>
        </w:tc>
        <w:tc>
          <w:tcPr>
            <w:tcW w:w="1406" w:type="dxa"/>
            <w:noWrap w:val="0"/>
            <w:vAlign w:val="center"/>
          </w:tcPr>
          <w:p w14:paraId="7D708B91">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4.4</w:t>
            </w:r>
          </w:p>
        </w:tc>
        <w:tc>
          <w:tcPr>
            <w:tcW w:w="1057" w:type="dxa"/>
            <w:noWrap w:val="0"/>
            <w:vAlign w:val="center"/>
          </w:tcPr>
          <w:p w14:paraId="6CED8D32">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18</w:t>
            </w:r>
          </w:p>
        </w:tc>
        <w:tc>
          <w:tcPr>
            <w:tcW w:w="1254" w:type="dxa"/>
            <w:noWrap w:val="0"/>
            <w:vAlign w:val="center"/>
          </w:tcPr>
          <w:p w14:paraId="5D50B9DF">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48</w:t>
            </w:r>
          </w:p>
        </w:tc>
        <w:tc>
          <w:tcPr>
            <w:tcW w:w="1423" w:type="dxa"/>
            <w:noWrap w:val="0"/>
            <w:vAlign w:val="center"/>
          </w:tcPr>
          <w:p w14:paraId="0D1D4BC9">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p>
        </w:tc>
      </w:tr>
      <w:tr w14:paraId="217AF0A2">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05" w:hRule="atLeast"/>
          <w:jc w:val="center"/>
        </w:trPr>
        <w:tc>
          <w:tcPr>
            <w:tcW w:w="2519" w:type="dxa"/>
            <w:noWrap w:val="0"/>
            <w:vAlign w:val="center"/>
          </w:tcPr>
          <w:p w14:paraId="607211A1">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初期坝加高废石体</w:t>
            </w:r>
          </w:p>
        </w:tc>
        <w:tc>
          <w:tcPr>
            <w:tcW w:w="1627" w:type="dxa"/>
            <w:noWrap w:val="0"/>
            <w:vAlign w:val="center"/>
          </w:tcPr>
          <w:p w14:paraId="6D24245B">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20.0</w:t>
            </w:r>
          </w:p>
        </w:tc>
        <w:tc>
          <w:tcPr>
            <w:tcW w:w="1406" w:type="dxa"/>
            <w:noWrap w:val="0"/>
            <w:vAlign w:val="center"/>
          </w:tcPr>
          <w:p w14:paraId="0C11DCFD">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p>
        </w:tc>
        <w:tc>
          <w:tcPr>
            <w:tcW w:w="1057" w:type="dxa"/>
            <w:noWrap w:val="0"/>
            <w:vAlign w:val="center"/>
          </w:tcPr>
          <w:p w14:paraId="0EAFF27F">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38</w:t>
            </w:r>
          </w:p>
        </w:tc>
        <w:tc>
          <w:tcPr>
            <w:tcW w:w="1254" w:type="dxa"/>
            <w:noWrap w:val="0"/>
            <w:vAlign w:val="center"/>
          </w:tcPr>
          <w:p w14:paraId="392FAD31">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0</w:t>
            </w:r>
          </w:p>
        </w:tc>
        <w:tc>
          <w:tcPr>
            <w:tcW w:w="1423" w:type="dxa"/>
            <w:noWrap w:val="0"/>
            <w:vAlign w:val="center"/>
          </w:tcPr>
          <w:p w14:paraId="74D91213">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p>
        </w:tc>
      </w:tr>
      <w:tr w14:paraId="1770A16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05" w:hRule="atLeast"/>
          <w:jc w:val="center"/>
        </w:trPr>
        <w:tc>
          <w:tcPr>
            <w:tcW w:w="2519" w:type="dxa"/>
            <w:noWrap w:val="0"/>
            <w:vAlign w:val="center"/>
          </w:tcPr>
          <w:p w14:paraId="3CEA8CFF">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砾石</w:t>
            </w:r>
          </w:p>
        </w:tc>
        <w:tc>
          <w:tcPr>
            <w:tcW w:w="1627" w:type="dxa"/>
            <w:noWrap w:val="0"/>
            <w:vAlign w:val="center"/>
          </w:tcPr>
          <w:p w14:paraId="4115E762">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17.0</w:t>
            </w:r>
          </w:p>
        </w:tc>
        <w:tc>
          <w:tcPr>
            <w:tcW w:w="1406" w:type="dxa"/>
            <w:noWrap w:val="0"/>
            <w:vAlign w:val="center"/>
          </w:tcPr>
          <w:p w14:paraId="778E36EB">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p>
        </w:tc>
        <w:tc>
          <w:tcPr>
            <w:tcW w:w="1057" w:type="dxa"/>
            <w:noWrap w:val="0"/>
            <w:vAlign w:val="center"/>
          </w:tcPr>
          <w:p w14:paraId="2915E8A0">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24</w:t>
            </w:r>
          </w:p>
        </w:tc>
        <w:tc>
          <w:tcPr>
            <w:tcW w:w="1254" w:type="dxa"/>
            <w:noWrap w:val="0"/>
            <w:vAlign w:val="center"/>
          </w:tcPr>
          <w:p w14:paraId="5642D080">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0</w:t>
            </w:r>
          </w:p>
        </w:tc>
        <w:tc>
          <w:tcPr>
            <w:tcW w:w="1423" w:type="dxa"/>
            <w:noWrap w:val="0"/>
            <w:vAlign w:val="center"/>
          </w:tcPr>
          <w:p w14:paraId="7717B8ED">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p>
        </w:tc>
      </w:tr>
      <w:tr w14:paraId="3D691B4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05" w:hRule="atLeast"/>
          <w:jc w:val="center"/>
        </w:trPr>
        <w:tc>
          <w:tcPr>
            <w:tcW w:w="2519" w:type="dxa"/>
            <w:noWrap w:val="0"/>
            <w:vAlign w:val="center"/>
          </w:tcPr>
          <w:p w14:paraId="23CA9739">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千枚岩</w:t>
            </w:r>
          </w:p>
        </w:tc>
        <w:tc>
          <w:tcPr>
            <w:tcW w:w="1627" w:type="dxa"/>
            <w:noWrap w:val="0"/>
            <w:vAlign w:val="center"/>
          </w:tcPr>
          <w:p w14:paraId="08970BF8">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19.0</w:t>
            </w:r>
          </w:p>
        </w:tc>
        <w:tc>
          <w:tcPr>
            <w:tcW w:w="1406" w:type="dxa"/>
            <w:noWrap w:val="0"/>
            <w:vAlign w:val="center"/>
          </w:tcPr>
          <w:p w14:paraId="2AF90280">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p>
        </w:tc>
        <w:tc>
          <w:tcPr>
            <w:tcW w:w="1057" w:type="dxa"/>
            <w:noWrap w:val="0"/>
            <w:vAlign w:val="center"/>
          </w:tcPr>
          <w:p w14:paraId="10307066">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40</w:t>
            </w:r>
          </w:p>
        </w:tc>
        <w:tc>
          <w:tcPr>
            <w:tcW w:w="1254" w:type="dxa"/>
            <w:noWrap w:val="0"/>
            <w:vAlign w:val="center"/>
          </w:tcPr>
          <w:p w14:paraId="78CAD965">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0</w:t>
            </w:r>
          </w:p>
        </w:tc>
        <w:tc>
          <w:tcPr>
            <w:tcW w:w="1423" w:type="dxa"/>
            <w:noWrap w:val="0"/>
            <w:vAlign w:val="center"/>
          </w:tcPr>
          <w:p w14:paraId="3011E940">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p>
        </w:tc>
      </w:tr>
    </w:tbl>
    <w:p w14:paraId="4401DAAC">
      <w:pPr>
        <w:bidi w:val="0"/>
        <w:rPr>
          <w:rFonts w:hint="default"/>
          <w:color w:val="auto"/>
        </w:rPr>
      </w:pPr>
      <w:r>
        <w:rPr>
          <w:rFonts w:hint="default"/>
          <w:color w:val="auto"/>
        </w:rPr>
        <w:t>尾矿库在正常、洪水及特殊工况坝体抗滑稳定计算结果见表4</w:t>
      </w:r>
      <w:r>
        <w:rPr>
          <w:rFonts w:hint="eastAsia"/>
          <w:color w:val="auto"/>
          <w:lang w:val="en-US" w:eastAsia="zh-CN"/>
        </w:rPr>
        <w:t>.2</w:t>
      </w:r>
      <w:r>
        <w:rPr>
          <w:rFonts w:hint="default"/>
          <w:color w:val="auto"/>
        </w:rPr>
        <w:t>-</w:t>
      </w:r>
      <w:r>
        <w:rPr>
          <w:rFonts w:hint="eastAsia"/>
          <w:color w:val="auto"/>
          <w:lang w:val="en-US" w:eastAsia="zh-CN"/>
        </w:rPr>
        <w:t>4</w:t>
      </w:r>
      <w:r>
        <w:rPr>
          <w:rFonts w:hint="default"/>
          <w:color w:val="auto"/>
        </w:rPr>
        <w:t>。</w:t>
      </w:r>
    </w:p>
    <w:p w14:paraId="4A0A8A44">
      <w:pPr>
        <w:bidi w:val="0"/>
        <w:ind w:left="0" w:leftChars="0" w:firstLine="0" w:firstLineChars="0"/>
        <w:jc w:val="center"/>
        <w:rPr>
          <w:rFonts w:hint="default"/>
          <w:color w:val="auto"/>
        </w:rPr>
      </w:pPr>
      <w:r>
        <w:rPr>
          <w:rFonts w:hint="default"/>
          <w:color w:val="auto"/>
        </w:rPr>
        <w:t>表4</w:t>
      </w:r>
      <w:r>
        <w:rPr>
          <w:rFonts w:hint="eastAsia"/>
          <w:color w:val="auto"/>
          <w:lang w:val="en-US" w:eastAsia="zh-CN"/>
        </w:rPr>
        <w:t>.2</w:t>
      </w:r>
      <w:r>
        <w:rPr>
          <w:rFonts w:hint="default"/>
          <w:color w:val="auto"/>
        </w:rPr>
        <w:t>-</w:t>
      </w:r>
      <w:r>
        <w:rPr>
          <w:rFonts w:hint="eastAsia"/>
          <w:color w:val="auto"/>
          <w:lang w:val="en-US" w:eastAsia="zh-CN"/>
        </w:rPr>
        <w:t>4</w:t>
      </w:r>
      <w:r>
        <w:rPr>
          <w:rFonts w:hint="default"/>
          <w:color w:val="auto"/>
        </w:rPr>
        <w:t xml:space="preserve"> 坝体加固处理后抗滑稳定计算结果表</w:t>
      </w:r>
    </w:p>
    <w:tbl>
      <w:tblPr>
        <w:tblStyle w:val="19"/>
        <w:tblW w:w="0" w:type="auto"/>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2321"/>
        <w:gridCol w:w="2321"/>
        <w:gridCol w:w="2322"/>
        <w:gridCol w:w="2322"/>
      </w:tblGrid>
      <w:tr w14:paraId="6EDDD3F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2321" w:type="dxa"/>
            <w:noWrap w:val="0"/>
            <w:vAlign w:val="center"/>
          </w:tcPr>
          <w:p w14:paraId="4BDDD772">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滑弧位置</w:t>
            </w:r>
          </w:p>
        </w:tc>
        <w:tc>
          <w:tcPr>
            <w:tcW w:w="2321" w:type="dxa"/>
            <w:tcBorders>
              <w:bottom w:val="single" w:color="auto" w:sz="4" w:space="0"/>
              <w:right w:val="single" w:color="auto" w:sz="4" w:space="0"/>
            </w:tcBorders>
            <w:noWrap w:val="0"/>
            <w:vAlign w:val="center"/>
          </w:tcPr>
          <w:p w14:paraId="3957E4CE">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工况</w:t>
            </w:r>
          </w:p>
        </w:tc>
        <w:tc>
          <w:tcPr>
            <w:tcW w:w="2322" w:type="dxa"/>
            <w:tcBorders>
              <w:left w:val="single" w:color="auto" w:sz="4" w:space="0"/>
              <w:bottom w:val="single" w:color="auto" w:sz="4" w:space="0"/>
            </w:tcBorders>
            <w:noWrap w:val="0"/>
            <w:vAlign w:val="center"/>
          </w:tcPr>
          <w:p w14:paraId="6E4E7F68">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最小抗滑稳定</w:t>
            </w:r>
          </w:p>
          <w:p w14:paraId="7B6CD18D">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安全系数K</w:t>
            </w:r>
          </w:p>
        </w:tc>
        <w:tc>
          <w:tcPr>
            <w:tcW w:w="2322" w:type="dxa"/>
            <w:tcBorders>
              <w:bottom w:val="single" w:color="auto" w:sz="4" w:space="0"/>
            </w:tcBorders>
            <w:noWrap w:val="0"/>
            <w:vAlign w:val="center"/>
          </w:tcPr>
          <w:p w14:paraId="4B3CAA99">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规范要求值</w:t>
            </w:r>
          </w:p>
        </w:tc>
      </w:tr>
      <w:tr w14:paraId="11B16EB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20" w:hRule="atLeast"/>
          <w:jc w:val="center"/>
        </w:trPr>
        <w:tc>
          <w:tcPr>
            <w:tcW w:w="2321" w:type="dxa"/>
            <w:vMerge w:val="restart"/>
            <w:noWrap w:val="0"/>
            <w:vAlign w:val="center"/>
          </w:tcPr>
          <w:p w14:paraId="78CF2684">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堆石体平台坝脚</w:t>
            </w:r>
          </w:p>
        </w:tc>
        <w:tc>
          <w:tcPr>
            <w:tcW w:w="2321" w:type="dxa"/>
            <w:tcBorders>
              <w:bottom w:val="single" w:color="auto" w:sz="4" w:space="0"/>
              <w:right w:val="single" w:color="auto" w:sz="4" w:space="0"/>
            </w:tcBorders>
            <w:noWrap w:val="0"/>
            <w:vAlign w:val="center"/>
          </w:tcPr>
          <w:p w14:paraId="4F85BC66">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正常运行</w:t>
            </w:r>
          </w:p>
        </w:tc>
        <w:tc>
          <w:tcPr>
            <w:tcW w:w="2322" w:type="dxa"/>
            <w:tcBorders>
              <w:left w:val="single" w:color="auto" w:sz="4" w:space="0"/>
              <w:bottom w:val="single" w:color="auto" w:sz="4" w:space="0"/>
            </w:tcBorders>
            <w:noWrap w:val="0"/>
            <w:vAlign w:val="center"/>
          </w:tcPr>
          <w:p w14:paraId="3EDBCDC6">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1.24</w:t>
            </w:r>
          </w:p>
        </w:tc>
        <w:tc>
          <w:tcPr>
            <w:tcW w:w="2322" w:type="dxa"/>
            <w:noWrap w:val="0"/>
            <w:vAlign w:val="center"/>
          </w:tcPr>
          <w:p w14:paraId="1154B5AF">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1.20</w:t>
            </w:r>
          </w:p>
        </w:tc>
      </w:tr>
      <w:tr w14:paraId="5C69C8C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20" w:hRule="atLeast"/>
          <w:jc w:val="center"/>
        </w:trPr>
        <w:tc>
          <w:tcPr>
            <w:tcW w:w="2321" w:type="dxa"/>
            <w:vMerge w:val="continue"/>
            <w:noWrap w:val="0"/>
            <w:vAlign w:val="center"/>
          </w:tcPr>
          <w:p w14:paraId="0F03C577">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rPr>
            </w:pPr>
          </w:p>
        </w:tc>
        <w:tc>
          <w:tcPr>
            <w:tcW w:w="2321" w:type="dxa"/>
            <w:tcBorders>
              <w:top w:val="single" w:color="auto" w:sz="4" w:space="0"/>
              <w:bottom w:val="single" w:color="auto" w:sz="4" w:space="0"/>
              <w:right w:val="single" w:color="auto" w:sz="4" w:space="0"/>
            </w:tcBorders>
            <w:noWrap w:val="0"/>
            <w:vAlign w:val="center"/>
          </w:tcPr>
          <w:p w14:paraId="7BF514E8">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洪水运行</w:t>
            </w:r>
          </w:p>
        </w:tc>
        <w:tc>
          <w:tcPr>
            <w:tcW w:w="2322" w:type="dxa"/>
            <w:tcBorders>
              <w:top w:val="single" w:color="auto" w:sz="4" w:space="0"/>
              <w:left w:val="single" w:color="auto" w:sz="4" w:space="0"/>
              <w:bottom w:val="single" w:color="auto" w:sz="4" w:space="0"/>
            </w:tcBorders>
            <w:noWrap w:val="0"/>
            <w:vAlign w:val="center"/>
          </w:tcPr>
          <w:p w14:paraId="6B2DA237">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1.24</w:t>
            </w:r>
          </w:p>
        </w:tc>
        <w:tc>
          <w:tcPr>
            <w:tcW w:w="2322" w:type="dxa"/>
            <w:tcBorders>
              <w:bottom w:val="single" w:color="auto" w:sz="4" w:space="0"/>
            </w:tcBorders>
            <w:noWrap w:val="0"/>
            <w:vAlign w:val="center"/>
          </w:tcPr>
          <w:p w14:paraId="64CEA40D">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1.10</w:t>
            </w:r>
          </w:p>
        </w:tc>
      </w:tr>
      <w:tr w14:paraId="1DD3A5D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20" w:hRule="atLeast"/>
          <w:jc w:val="center"/>
        </w:trPr>
        <w:tc>
          <w:tcPr>
            <w:tcW w:w="2321" w:type="dxa"/>
            <w:vMerge w:val="continue"/>
            <w:tcBorders>
              <w:bottom w:val="single" w:color="auto" w:sz="4" w:space="0"/>
            </w:tcBorders>
            <w:noWrap w:val="0"/>
            <w:vAlign w:val="center"/>
          </w:tcPr>
          <w:p w14:paraId="6DDFA2BD">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rPr>
            </w:pPr>
          </w:p>
        </w:tc>
        <w:tc>
          <w:tcPr>
            <w:tcW w:w="2321" w:type="dxa"/>
            <w:tcBorders>
              <w:top w:val="single" w:color="auto" w:sz="4" w:space="0"/>
              <w:right w:val="single" w:color="auto" w:sz="4" w:space="0"/>
            </w:tcBorders>
            <w:noWrap w:val="0"/>
            <w:vAlign w:val="center"/>
          </w:tcPr>
          <w:p w14:paraId="6FBFB6A2">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特殊运行</w:t>
            </w:r>
          </w:p>
        </w:tc>
        <w:tc>
          <w:tcPr>
            <w:tcW w:w="2322" w:type="dxa"/>
            <w:tcBorders>
              <w:top w:val="single" w:color="auto" w:sz="4" w:space="0"/>
              <w:left w:val="single" w:color="auto" w:sz="4" w:space="0"/>
            </w:tcBorders>
            <w:noWrap w:val="0"/>
            <w:vAlign w:val="center"/>
          </w:tcPr>
          <w:p w14:paraId="510567FC">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1.07</w:t>
            </w:r>
          </w:p>
        </w:tc>
        <w:tc>
          <w:tcPr>
            <w:tcW w:w="2322" w:type="dxa"/>
            <w:tcBorders>
              <w:top w:val="single" w:color="auto" w:sz="4" w:space="0"/>
            </w:tcBorders>
            <w:noWrap w:val="0"/>
            <w:vAlign w:val="center"/>
          </w:tcPr>
          <w:p w14:paraId="6C3BE87E">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1.05</w:t>
            </w:r>
          </w:p>
        </w:tc>
      </w:tr>
      <w:tr w14:paraId="1AFCD2F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20" w:hRule="atLeast"/>
          <w:jc w:val="center"/>
        </w:trPr>
        <w:tc>
          <w:tcPr>
            <w:tcW w:w="2321" w:type="dxa"/>
            <w:vMerge w:val="restart"/>
            <w:tcBorders>
              <w:top w:val="single" w:color="auto" w:sz="4" w:space="0"/>
            </w:tcBorders>
            <w:noWrap w:val="0"/>
            <w:vAlign w:val="center"/>
          </w:tcPr>
          <w:p w14:paraId="2928B717">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堆石体平台与</w:t>
            </w:r>
          </w:p>
          <w:p w14:paraId="2F798839">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尾砂堆积体之间</w:t>
            </w:r>
          </w:p>
        </w:tc>
        <w:tc>
          <w:tcPr>
            <w:tcW w:w="2321" w:type="dxa"/>
            <w:tcBorders>
              <w:right w:val="single" w:color="auto" w:sz="4" w:space="0"/>
            </w:tcBorders>
            <w:noWrap w:val="0"/>
            <w:vAlign w:val="center"/>
          </w:tcPr>
          <w:p w14:paraId="709210A6">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正常运行</w:t>
            </w:r>
          </w:p>
        </w:tc>
        <w:tc>
          <w:tcPr>
            <w:tcW w:w="2322" w:type="dxa"/>
            <w:tcBorders>
              <w:left w:val="single" w:color="auto" w:sz="4" w:space="0"/>
              <w:bottom w:val="single" w:color="auto" w:sz="4" w:space="0"/>
            </w:tcBorders>
            <w:noWrap w:val="0"/>
            <w:vAlign w:val="center"/>
          </w:tcPr>
          <w:p w14:paraId="73246463">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1.24</w:t>
            </w:r>
          </w:p>
        </w:tc>
        <w:tc>
          <w:tcPr>
            <w:tcW w:w="2322" w:type="dxa"/>
            <w:noWrap w:val="0"/>
            <w:vAlign w:val="center"/>
          </w:tcPr>
          <w:p w14:paraId="088434BB">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1.20</w:t>
            </w:r>
          </w:p>
        </w:tc>
      </w:tr>
      <w:tr w14:paraId="1DF4BE0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20" w:hRule="atLeast"/>
          <w:jc w:val="center"/>
        </w:trPr>
        <w:tc>
          <w:tcPr>
            <w:tcW w:w="2321" w:type="dxa"/>
            <w:vMerge w:val="continue"/>
            <w:noWrap w:val="0"/>
            <w:vAlign w:val="center"/>
          </w:tcPr>
          <w:p w14:paraId="3BACB5A6">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rPr>
            </w:pPr>
          </w:p>
        </w:tc>
        <w:tc>
          <w:tcPr>
            <w:tcW w:w="2321" w:type="dxa"/>
            <w:tcBorders>
              <w:right w:val="single" w:color="auto" w:sz="4" w:space="0"/>
            </w:tcBorders>
            <w:noWrap w:val="0"/>
            <w:vAlign w:val="center"/>
          </w:tcPr>
          <w:p w14:paraId="6CA2C983">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洪水运行</w:t>
            </w:r>
          </w:p>
        </w:tc>
        <w:tc>
          <w:tcPr>
            <w:tcW w:w="2322" w:type="dxa"/>
            <w:tcBorders>
              <w:top w:val="single" w:color="auto" w:sz="4" w:space="0"/>
              <w:left w:val="single" w:color="auto" w:sz="4" w:space="0"/>
              <w:bottom w:val="single" w:color="auto" w:sz="4" w:space="0"/>
            </w:tcBorders>
            <w:noWrap w:val="0"/>
            <w:vAlign w:val="center"/>
          </w:tcPr>
          <w:p w14:paraId="23632B5F">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1.24</w:t>
            </w:r>
          </w:p>
        </w:tc>
        <w:tc>
          <w:tcPr>
            <w:tcW w:w="2322" w:type="dxa"/>
            <w:noWrap w:val="0"/>
            <w:vAlign w:val="center"/>
          </w:tcPr>
          <w:p w14:paraId="5050FB86">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1.10</w:t>
            </w:r>
          </w:p>
        </w:tc>
      </w:tr>
      <w:tr w14:paraId="24533902">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20" w:hRule="atLeast"/>
          <w:jc w:val="center"/>
        </w:trPr>
        <w:tc>
          <w:tcPr>
            <w:tcW w:w="2321" w:type="dxa"/>
            <w:vMerge w:val="continue"/>
            <w:noWrap w:val="0"/>
            <w:vAlign w:val="center"/>
          </w:tcPr>
          <w:p w14:paraId="01BF6EAD">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rPr>
            </w:pPr>
          </w:p>
        </w:tc>
        <w:tc>
          <w:tcPr>
            <w:tcW w:w="2321" w:type="dxa"/>
            <w:tcBorders>
              <w:right w:val="single" w:color="auto" w:sz="4" w:space="0"/>
            </w:tcBorders>
            <w:noWrap w:val="0"/>
            <w:vAlign w:val="center"/>
          </w:tcPr>
          <w:p w14:paraId="0DFBCB3C">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特殊运行</w:t>
            </w:r>
          </w:p>
        </w:tc>
        <w:tc>
          <w:tcPr>
            <w:tcW w:w="2322" w:type="dxa"/>
            <w:tcBorders>
              <w:top w:val="single" w:color="auto" w:sz="4" w:space="0"/>
              <w:left w:val="single" w:color="auto" w:sz="4" w:space="0"/>
            </w:tcBorders>
            <w:noWrap w:val="0"/>
            <w:vAlign w:val="center"/>
          </w:tcPr>
          <w:p w14:paraId="3917AFA9">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1.07</w:t>
            </w:r>
          </w:p>
        </w:tc>
        <w:tc>
          <w:tcPr>
            <w:tcW w:w="2322" w:type="dxa"/>
            <w:noWrap w:val="0"/>
            <w:vAlign w:val="center"/>
          </w:tcPr>
          <w:p w14:paraId="04BCAC2D">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1.05</w:t>
            </w:r>
          </w:p>
        </w:tc>
      </w:tr>
    </w:tbl>
    <w:p w14:paraId="1411D8F2">
      <w:pPr>
        <w:bidi w:val="0"/>
        <w:rPr>
          <w:rFonts w:hint="default"/>
          <w:color w:val="auto"/>
          <w:lang w:val="en-US" w:eastAsia="zh-CN"/>
        </w:rPr>
      </w:pPr>
      <w:r>
        <w:rPr>
          <w:rFonts w:hint="default"/>
          <w:color w:val="auto"/>
          <w:lang w:val="en-US" w:eastAsia="zh-CN"/>
        </w:rPr>
        <w:t>由</w:t>
      </w:r>
      <w:r>
        <w:rPr>
          <w:rFonts w:hint="default"/>
          <w:color w:val="auto"/>
        </w:rPr>
        <w:t>表4</w:t>
      </w:r>
      <w:r>
        <w:rPr>
          <w:rFonts w:hint="eastAsia"/>
          <w:color w:val="auto"/>
          <w:lang w:val="en-US" w:eastAsia="zh-CN"/>
        </w:rPr>
        <w:t>.2</w:t>
      </w:r>
      <w:r>
        <w:rPr>
          <w:rFonts w:hint="default"/>
          <w:color w:val="auto"/>
        </w:rPr>
        <w:t>-</w:t>
      </w:r>
      <w:r>
        <w:rPr>
          <w:rFonts w:hint="eastAsia"/>
          <w:color w:val="auto"/>
          <w:lang w:val="en-US" w:eastAsia="zh-CN"/>
        </w:rPr>
        <w:t>4</w:t>
      </w:r>
      <w:r>
        <w:rPr>
          <w:rFonts w:hint="default"/>
          <w:color w:val="auto"/>
          <w:lang w:val="en-US" w:eastAsia="zh-CN"/>
        </w:rPr>
        <w:t>可知，坝体最危险滑弧位于加高堆石体坝脚及堆石体平台与尾砂堆积体之间，最小抗滑稳定安全系数满足规范要求。坝体抗滑稳定分析示意图见图4</w:t>
      </w:r>
      <w:r>
        <w:rPr>
          <w:rFonts w:hint="eastAsia"/>
          <w:color w:val="auto"/>
          <w:lang w:val="en-US" w:eastAsia="zh-CN"/>
        </w:rPr>
        <w:t>.2</w:t>
      </w:r>
      <w:r>
        <w:rPr>
          <w:rFonts w:hint="default"/>
          <w:color w:val="auto"/>
          <w:lang w:val="en-US" w:eastAsia="zh-CN"/>
        </w:rPr>
        <w:t>-2。</w:t>
      </w:r>
    </w:p>
    <w:p w14:paraId="1CF8E850">
      <w:pPr>
        <w:bidi w:val="0"/>
        <w:ind w:left="0" w:leftChars="0" w:firstLine="0" w:firstLineChars="0"/>
        <w:jc w:val="center"/>
        <w:rPr>
          <w:rFonts w:hint="eastAsia" w:eastAsia="宋体"/>
          <w:color w:val="auto"/>
          <w:sz w:val="28"/>
          <w:szCs w:val="28"/>
          <w:lang w:eastAsia="zh-CN"/>
        </w:rPr>
      </w:pPr>
      <w:r>
        <w:rPr>
          <w:rFonts w:hint="eastAsia" w:eastAsia="宋体"/>
          <w:color w:val="auto"/>
          <w:sz w:val="28"/>
          <w:szCs w:val="28"/>
          <w:lang w:eastAsia="zh-CN"/>
        </w:rPr>
        <w:drawing>
          <wp:inline distT="0" distB="0" distL="114300" distR="114300">
            <wp:extent cx="4777740" cy="2522220"/>
            <wp:effectExtent l="0" t="0" r="3810" b="11430"/>
            <wp:docPr id="6" name="图片 5" descr="16503561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1650356134(1)"/>
                    <pic:cNvPicPr>
                      <a:picLocks noChangeAspect="1"/>
                    </pic:cNvPicPr>
                  </pic:nvPicPr>
                  <pic:blipFill>
                    <a:blip r:embed="rId45"/>
                    <a:stretch>
                      <a:fillRect/>
                    </a:stretch>
                  </pic:blipFill>
                  <pic:spPr>
                    <a:xfrm>
                      <a:off x="0" y="0"/>
                      <a:ext cx="4777740" cy="2522220"/>
                    </a:xfrm>
                    <a:prstGeom prst="rect">
                      <a:avLst/>
                    </a:prstGeom>
                    <a:noFill/>
                    <a:ln>
                      <a:noFill/>
                    </a:ln>
                  </pic:spPr>
                </pic:pic>
              </a:graphicData>
            </a:graphic>
          </wp:inline>
        </w:drawing>
      </w:r>
    </w:p>
    <w:p w14:paraId="580FF25F">
      <w:pPr>
        <w:bidi w:val="0"/>
        <w:ind w:left="0" w:leftChars="0" w:firstLine="0" w:firstLineChars="0"/>
        <w:jc w:val="center"/>
        <w:rPr>
          <w:rFonts w:hint="default" w:eastAsia="宋体"/>
          <w:color w:val="auto"/>
          <w:sz w:val="28"/>
          <w:szCs w:val="28"/>
          <w:lang w:val="en-US" w:eastAsia="zh-CN"/>
        </w:rPr>
      </w:pPr>
      <w:r>
        <w:rPr>
          <w:rFonts w:hint="default"/>
          <w:color w:val="auto"/>
          <w:lang w:val="en-US" w:eastAsia="zh-CN"/>
        </w:rPr>
        <w:t>图4</w:t>
      </w:r>
      <w:r>
        <w:rPr>
          <w:rFonts w:hint="eastAsia"/>
          <w:color w:val="auto"/>
          <w:lang w:val="en-US" w:eastAsia="zh-CN"/>
        </w:rPr>
        <w:t>.2</w:t>
      </w:r>
      <w:r>
        <w:rPr>
          <w:rFonts w:hint="default"/>
          <w:color w:val="auto"/>
          <w:lang w:val="en-US" w:eastAsia="zh-CN"/>
        </w:rPr>
        <w:t>-2</w:t>
      </w:r>
      <w:r>
        <w:rPr>
          <w:rFonts w:hint="eastAsia"/>
          <w:color w:val="auto"/>
          <w:lang w:val="en-US" w:eastAsia="zh-CN"/>
        </w:rPr>
        <w:t xml:space="preserve"> </w:t>
      </w:r>
      <w:r>
        <w:rPr>
          <w:rFonts w:hint="default" w:eastAsia="宋体"/>
          <w:color w:val="auto"/>
          <w:sz w:val="28"/>
          <w:szCs w:val="28"/>
          <w:lang w:val="en-US" w:eastAsia="zh-CN"/>
        </w:rPr>
        <w:t>坝体抗滑稳定分析示意图</w:t>
      </w:r>
    </w:p>
    <w:p w14:paraId="769BF483">
      <w:pPr>
        <w:bidi w:val="0"/>
        <w:rPr>
          <w:rFonts w:hint="default"/>
          <w:color w:val="auto"/>
          <w:lang w:val="en-US" w:eastAsia="zh-CN"/>
        </w:rPr>
      </w:pPr>
      <w:r>
        <w:rPr>
          <w:rFonts w:hint="default"/>
          <w:color w:val="auto"/>
          <w:lang w:val="en-US" w:eastAsia="zh-CN"/>
        </w:rPr>
        <w:t>五、尾矿坝坝体稳定性结论</w:t>
      </w:r>
    </w:p>
    <w:p w14:paraId="692EC8B9">
      <w:pPr>
        <w:bidi w:val="0"/>
        <w:rPr>
          <w:rFonts w:hint="default"/>
          <w:color w:val="auto"/>
          <w:lang w:val="en-US" w:eastAsia="zh-CN"/>
        </w:rPr>
      </w:pPr>
      <w:r>
        <w:rPr>
          <w:rFonts w:hint="default"/>
          <w:color w:val="auto"/>
          <w:lang w:val="en-US" w:eastAsia="zh-CN"/>
        </w:rPr>
        <w:t>从上述分析可知：目前尾矿坝滩顶高程为</w:t>
      </w:r>
      <w:r>
        <w:rPr>
          <w:rFonts w:hint="eastAsia"/>
          <w:color w:val="auto"/>
          <w:lang w:val="en-US" w:eastAsia="zh-CN"/>
        </w:rPr>
        <w:t>+</w:t>
      </w:r>
      <w:r>
        <w:rPr>
          <w:rFonts w:hint="default"/>
          <w:color w:val="auto"/>
          <w:lang w:val="en-US" w:eastAsia="zh-CN"/>
        </w:rPr>
        <w:t>285.</w:t>
      </w:r>
      <w:r>
        <w:rPr>
          <w:rFonts w:hint="eastAsia"/>
          <w:color w:val="auto"/>
          <w:lang w:val="en-US" w:eastAsia="zh-CN"/>
        </w:rPr>
        <w:t>.5</w:t>
      </w:r>
      <w:r>
        <w:rPr>
          <w:rFonts w:hint="default"/>
          <w:color w:val="auto"/>
          <w:lang w:val="en-US" w:eastAsia="zh-CN"/>
        </w:rPr>
        <w:t>m，尾矿坝坝顶高程为</w:t>
      </w:r>
      <w:r>
        <w:rPr>
          <w:rFonts w:hint="eastAsia"/>
          <w:color w:val="auto"/>
          <w:lang w:val="en-US" w:eastAsia="zh-CN"/>
        </w:rPr>
        <w:t>+</w:t>
      </w:r>
      <w:r>
        <w:rPr>
          <w:rFonts w:hint="default"/>
          <w:color w:val="auto"/>
          <w:lang w:val="en-US" w:eastAsia="zh-CN"/>
        </w:rPr>
        <w:t>292.0m，目前坝顶高程为</w:t>
      </w:r>
      <w:r>
        <w:rPr>
          <w:rFonts w:hint="eastAsia"/>
          <w:color w:val="auto"/>
          <w:lang w:val="en-US" w:eastAsia="zh-CN"/>
        </w:rPr>
        <w:t>55</w:t>
      </w:r>
      <w:r>
        <w:rPr>
          <w:rFonts w:hint="default"/>
          <w:color w:val="auto"/>
          <w:lang w:val="en-US" w:eastAsia="zh-CN"/>
        </w:rPr>
        <w:t>.0m，经过计算尾矿坝坝体安全稳定最小安全系数满足规范要求，经现场检查尾矿坝未出现纵横裂缝、浸润线溢出、坝面沼泽化等影响坝体安全稳定现象。</w:t>
      </w:r>
    </w:p>
    <w:p w14:paraId="630C65CB">
      <w:pPr>
        <w:pStyle w:val="4"/>
        <w:bidi w:val="0"/>
        <w:rPr>
          <w:rFonts w:hint="default"/>
          <w:color w:val="auto"/>
          <w:lang w:val="en-US" w:eastAsia="zh-CN"/>
        </w:rPr>
      </w:pPr>
      <w:bookmarkStart w:id="118" w:name="_Toc23994"/>
      <w:r>
        <w:rPr>
          <w:rFonts w:hint="default"/>
          <w:color w:val="auto"/>
          <w:lang w:val="en-US" w:eastAsia="zh-CN"/>
        </w:rPr>
        <w:t>4.2.3</w:t>
      </w:r>
      <w:r>
        <w:rPr>
          <w:rFonts w:hint="eastAsia"/>
          <w:color w:val="auto"/>
          <w:lang w:val="en-US" w:eastAsia="zh-CN"/>
        </w:rPr>
        <w:t xml:space="preserve"> </w:t>
      </w:r>
      <w:r>
        <w:rPr>
          <w:rFonts w:hint="default"/>
          <w:color w:val="auto"/>
          <w:lang w:val="en-US" w:eastAsia="zh-CN"/>
        </w:rPr>
        <w:t>尾矿库安全设施单元评估小结</w:t>
      </w:r>
      <w:bookmarkEnd w:id="118"/>
    </w:p>
    <w:p w14:paraId="2444DE5B">
      <w:pPr>
        <w:bidi w:val="0"/>
        <w:rPr>
          <w:rFonts w:hint="default"/>
          <w:color w:val="auto"/>
          <w:lang w:val="en-US" w:eastAsia="zh-CN"/>
        </w:rPr>
      </w:pPr>
      <w:r>
        <w:rPr>
          <w:rFonts w:hint="default"/>
          <w:color w:val="auto"/>
          <w:lang w:val="en-US" w:eastAsia="zh-CN"/>
        </w:rPr>
        <w:t>1.</w:t>
      </w:r>
      <w:r>
        <w:rPr>
          <w:rFonts w:hint="eastAsia"/>
          <w:color w:val="auto"/>
          <w:lang w:val="en-US" w:eastAsia="zh-CN"/>
        </w:rPr>
        <w:t xml:space="preserve"> </w:t>
      </w:r>
      <w:r>
        <w:rPr>
          <w:rFonts w:hint="default"/>
          <w:color w:val="auto"/>
          <w:lang w:val="en-US" w:eastAsia="zh-CN"/>
        </w:rPr>
        <w:t>通过尾矿坝稳定分析计算来看，尾矿坝体及库区整体处在稳定状态。</w:t>
      </w:r>
    </w:p>
    <w:p w14:paraId="63D9DA24">
      <w:pPr>
        <w:bidi w:val="0"/>
        <w:rPr>
          <w:rFonts w:hint="default"/>
          <w:color w:val="auto"/>
          <w:lang w:val="en-US" w:eastAsia="zh-CN"/>
        </w:rPr>
      </w:pPr>
      <w:r>
        <w:rPr>
          <w:rFonts w:hint="default"/>
          <w:color w:val="auto"/>
          <w:lang w:val="en-US" w:eastAsia="zh-CN"/>
        </w:rPr>
        <w:t>2.</w:t>
      </w:r>
      <w:r>
        <w:rPr>
          <w:rFonts w:hint="eastAsia"/>
          <w:color w:val="auto"/>
          <w:lang w:val="en-US" w:eastAsia="zh-CN"/>
        </w:rPr>
        <w:t xml:space="preserve"> </w:t>
      </w:r>
      <w:r>
        <w:rPr>
          <w:rFonts w:hint="default"/>
          <w:color w:val="auto"/>
          <w:lang w:val="en-US" w:eastAsia="zh-CN"/>
        </w:rPr>
        <w:t>经现场检查，杨家店尾矿库尾矿坝外形尺寸符合设计要求，各尾矿坝均无位移、沉陷、滑坡及裂缝、渗透水、沼泽化等现象。</w:t>
      </w:r>
    </w:p>
    <w:p w14:paraId="15124A87">
      <w:pPr>
        <w:bidi w:val="0"/>
        <w:rPr>
          <w:rFonts w:hint="default"/>
          <w:color w:val="auto"/>
          <w:lang w:val="en-US" w:eastAsia="zh-CN"/>
        </w:rPr>
      </w:pPr>
      <w:r>
        <w:rPr>
          <w:rFonts w:hint="default"/>
          <w:color w:val="auto"/>
          <w:lang w:val="en-US" w:eastAsia="zh-CN"/>
        </w:rPr>
        <w:t>3.</w:t>
      </w:r>
      <w:r>
        <w:rPr>
          <w:rFonts w:hint="eastAsia"/>
          <w:color w:val="auto"/>
          <w:lang w:val="en-US" w:eastAsia="zh-CN"/>
        </w:rPr>
        <w:t xml:space="preserve"> </w:t>
      </w:r>
      <w:r>
        <w:rPr>
          <w:rFonts w:hint="default"/>
          <w:color w:val="auto"/>
          <w:lang w:val="en-US" w:eastAsia="zh-CN"/>
        </w:rPr>
        <w:t>经现场检查，杨家店尾矿库排洪设施均符合设计要求，且运行状况良好，排水井+排洪隧洞均无变形、裂缝、损坏、坍塌、断裂、磨损、淤堵、堵塞等现象，进水口杂物得以及时清除。</w:t>
      </w:r>
    </w:p>
    <w:p w14:paraId="6E493A16">
      <w:pPr>
        <w:pStyle w:val="3"/>
        <w:bidi w:val="0"/>
        <w:rPr>
          <w:rFonts w:hint="default"/>
          <w:color w:val="auto"/>
          <w:lang w:val="en-US" w:eastAsia="zh-CN"/>
        </w:rPr>
      </w:pPr>
      <w:bookmarkStart w:id="119" w:name="_Toc22806"/>
      <w:r>
        <w:rPr>
          <w:rFonts w:hint="default"/>
          <w:color w:val="auto"/>
          <w:lang w:val="en-US" w:eastAsia="zh-CN"/>
        </w:rPr>
        <w:t>4.3</w:t>
      </w:r>
      <w:r>
        <w:rPr>
          <w:rFonts w:hint="eastAsia"/>
          <w:color w:val="auto"/>
          <w:lang w:val="en-US" w:eastAsia="zh-CN"/>
        </w:rPr>
        <w:t xml:space="preserve"> </w:t>
      </w:r>
      <w:r>
        <w:rPr>
          <w:rFonts w:hint="default"/>
          <w:color w:val="auto"/>
          <w:lang w:val="en-US" w:eastAsia="zh-CN"/>
        </w:rPr>
        <w:t>尾矿库调洪演算</w:t>
      </w:r>
      <w:bookmarkEnd w:id="119"/>
    </w:p>
    <w:p w14:paraId="4B06E8C2">
      <w:pPr>
        <w:rPr>
          <w:rFonts w:hint="default"/>
          <w:color w:val="auto"/>
          <w:lang w:val="en-US" w:eastAsia="zh-CN"/>
        </w:rPr>
      </w:pPr>
      <w:r>
        <w:rPr>
          <w:rFonts w:hint="default"/>
          <w:color w:val="auto"/>
          <w:lang w:val="en-US" w:eastAsia="zh-CN"/>
        </w:rPr>
        <w:t>企业根据《国家矿山安全监察局关于全面深入开展非煤地下矿山和尾矿库安全生产大排查的通知》的要求，委托金建工程设计有限公司进行了年度洪水复核。202</w:t>
      </w:r>
      <w:r>
        <w:rPr>
          <w:rFonts w:hint="eastAsia"/>
          <w:color w:val="auto"/>
          <w:lang w:val="en-US" w:eastAsia="zh-CN"/>
        </w:rPr>
        <w:t>5</w:t>
      </w:r>
      <w:r>
        <w:rPr>
          <w:rFonts w:hint="default"/>
          <w:color w:val="auto"/>
          <w:lang w:val="en-US" w:eastAsia="zh-CN"/>
        </w:rPr>
        <w:t>年3月，金建工程设计有限公司提交了《江西浒坑钨业有限公司杨家店尾矿库调洪演算报告（</w:t>
      </w:r>
      <w:r>
        <w:rPr>
          <w:rFonts w:hint="eastAsia"/>
          <w:color w:val="auto"/>
          <w:lang w:val="en-US" w:eastAsia="zh-CN"/>
        </w:rPr>
        <w:t>2025</w:t>
      </w:r>
      <w:r>
        <w:rPr>
          <w:rFonts w:hint="default"/>
          <w:color w:val="auto"/>
          <w:lang w:val="en-US" w:eastAsia="zh-CN"/>
        </w:rPr>
        <w:t>）》，本报告直接引用其成果。</w:t>
      </w:r>
    </w:p>
    <w:p w14:paraId="4933821B">
      <w:pPr>
        <w:bidi w:val="0"/>
        <w:rPr>
          <w:rFonts w:hint="default"/>
          <w:color w:val="auto"/>
          <w:lang w:val="en-US" w:eastAsia="zh-CN"/>
        </w:rPr>
      </w:pPr>
      <w:r>
        <w:rPr>
          <w:rFonts w:hint="eastAsia"/>
          <w:color w:val="auto"/>
          <w:lang w:val="en-US" w:eastAsia="zh-CN"/>
        </w:rPr>
        <w:t>1. 尾矿库等级及防洪标准</w:t>
      </w:r>
    </w:p>
    <w:p w14:paraId="1BE544CC">
      <w:pPr>
        <w:rPr>
          <w:rFonts w:hint="default"/>
          <w:color w:val="auto"/>
          <w:lang w:val="en-US" w:eastAsia="zh-CN"/>
        </w:rPr>
      </w:pPr>
      <w:r>
        <w:rPr>
          <w:rFonts w:hint="default"/>
          <w:color w:val="auto"/>
          <w:lang w:val="en-US" w:eastAsia="zh-CN"/>
        </w:rPr>
        <w:t>杨家店尾矿库堆积坝现状标高为</w:t>
      </w:r>
      <w:r>
        <w:rPr>
          <w:rFonts w:hint="eastAsia"/>
          <w:color w:val="auto"/>
          <w:lang w:val="en-US" w:eastAsia="zh-CN"/>
        </w:rPr>
        <w:t>+</w:t>
      </w:r>
      <w:r>
        <w:rPr>
          <w:rFonts w:hint="default"/>
          <w:color w:val="auto"/>
          <w:lang w:val="en-US" w:eastAsia="zh-CN"/>
        </w:rPr>
        <w:t>292.0m，总坝高55.0m，总库容956.68×10</w:t>
      </w:r>
      <w:r>
        <w:rPr>
          <w:rFonts w:hint="default"/>
          <w:color w:val="auto"/>
          <w:vertAlign w:val="superscript"/>
          <w:lang w:val="en-US" w:eastAsia="zh-CN"/>
        </w:rPr>
        <w:t>4</w:t>
      </w:r>
      <w:r>
        <w:rPr>
          <w:rFonts w:hint="default"/>
          <w:color w:val="auto"/>
          <w:lang w:val="en-US" w:eastAsia="zh-CN"/>
        </w:rPr>
        <w:t>m</w:t>
      </w:r>
      <w:r>
        <w:rPr>
          <w:rFonts w:hint="default"/>
          <w:color w:val="auto"/>
          <w:vertAlign w:val="superscript"/>
          <w:lang w:val="en-US" w:eastAsia="zh-CN"/>
        </w:rPr>
        <w:t>3</w:t>
      </w:r>
      <w:r>
        <w:rPr>
          <w:rFonts w:hint="default"/>
          <w:color w:val="auto"/>
          <w:lang w:val="en-US" w:eastAsia="zh-CN"/>
        </w:rPr>
        <w:t>，根据《尾矿设施设计规范》（GB50863-2013）的规定该库属四等库。但尾矿库下游1km范围内，有人口101户，人员289人，若尾矿库一旦失事，将有可能对下游居民造成伤害，因此杨家店尾矿库等级提高一等定为三等。其主要构筑物按3级建筑物考虑、次要构筑物和临时构筑物均按5级建筑物考虑。尾矿库洪水标准取为500年一遇，最小安全超高大于0.7m（按现状沉积滩2.68%的纵坡，最小干滩长度70m计算，最小安全超高则为1.88m）；最小干滩长度70m。</w:t>
      </w:r>
    </w:p>
    <w:p w14:paraId="68CB774D">
      <w:pPr>
        <w:rPr>
          <w:rFonts w:hint="default"/>
          <w:color w:val="auto"/>
          <w:lang w:val="en-US" w:eastAsia="zh-CN"/>
        </w:rPr>
      </w:pPr>
      <w:r>
        <w:rPr>
          <w:rFonts w:hint="eastAsia"/>
          <w:color w:val="auto"/>
          <w:lang w:val="en-US" w:eastAsia="zh-CN"/>
        </w:rPr>
        <w:t>2. 洪水计算</w:t>
      </w:r>
    </w:p>
    <w:p w14:paraId="71F7CF33">
      <w:pPr>
        <w:rPr>
          <w:rFonts w:hint="default"/>
          <w:color w:val="auto"/>
          <w:lang w:val="en-US" w:eastAsia="zh-CN"/>
        </w:rPr>
      </w:pPr>
      <w:r>
        <w:rPr>
          <w:rFonts w:hint="default"/>
          <w:color w:val="auto"/>
          <w:lang w:val="en-US" w:eastAsia="zh-CN"/>
        </w:rPr>
        <w:t>本尾矿库汇水面积较大，F=6.90km</w:t>
      </w:r>
      <w:r>
        <w:rPr>
          <w:rFonts w:hint="default"/>
          <w:color w:val="auto"/>
          <w:vertAlign w:val="superscript"/>
          <w:lang w:val="en-US" w:eastAsia="zh-CN"/>
        </w:rPr>
        <w:t>2</w:t>
      </w:r>
      <w:r>
        <w:rPr>
          <w:rFonts w:hint="default"/>
          <w:color w:val="auto"/>
          <w:lang w:val="en-US" w:eastAsia="zh-CN"/>
        </w:rPr>
        <w:t>。其中库内汇水面积5.57km</w:t>
      </w:r>
      <w:r>
        <w:rPr>
          <w:rFonts w:hint="default"/>
          <w:color w:val="auto"/>
          <w:vertAlign w:val="superscript"/>
          <w:lang w:val="en-US" w:eastAsia="zh-CN"/>
        </w:rPr>
        <w:t>2</w:t>
      </w:r>
      <w:r>
        <w:rPr>
          <w:rFonts w:hint="default"/>
          <w:color w:val="auto"/>
          <w:lang w:val="en-US" w:eastAsia="zh-CN"/>
        </w:rPr>
        <w:t>，</w:t>
      </w:r>
      <w:r>
        <w:rPr>
          <w:rFonts w:hint="eastAsia" w:ascii="宋体" w:hAnsi="宋体" w:eastAsia="宋体" w:cs="宋体"/>
          <w:color w:val="auto"/>
          <w:lang w:val="en-US" w:eastAsia="zh-CN"/>
        </w:rPr>
        <w:t>“</w:t>
      </w:r>
      <w:r>
        <w:rPr>
          <w:rFonts w:hint="default"/>
          <w:color w:val="auto"/>
          <w:lang w:val="en-US" w:eastAsia="zh-CN"/>
        </w:rPr>
        <w:t>石壁溪</w:t>
      </w:r>
      <w:r>
        <w:rPr>
          <w:rFonts w:hint="eastAsia" w:ascii="宋体" w:hAnsi="宋体" w:eastAsia="宋体" w:cs="宋体"/>
          <w:color w:val="auto"/>
          <w:lang w:val="en-US" w:eastAsia="zh-CN"/>
        </w:rPr>
        <w:t>”</w:t>
      </w:r>
      <w:r>
        <w:rPr>
          <w:rFonts w:hint="default"/>
          <w:color w:val="auto"/>
          <w:lang w:val="en-US" w:eastAsia="zh-CN"/>
        </w:rPr>
        <w:t>冲沟汇水面积1.33km</w:t>
      </w:r>
      <w:r>
        <w:rPr>
          <w:rFonts w:hint="default"/>
          <w:color w:val="auto"/>
          <w:vertAlign w:val="superscript"/>
          <w:lang w:val="en-US" w:eastAsia="zh-CN"/>
        </w:rPr>
        <w:t>2</w:t>
      </w:r>
      <w:r>
        <w:rPr>
          <w:rFonts w:hint="default"/>
          <w:color w:val="auto"/>
          <w:lang w:val="en-US" w:eastAsia="zh-CN"/>
        </w:rPr>
        <w:t>。根据1∶10000地形图量测尾矿库和</w:t>
      </w:r>
      <w:r>
        <w:rPr>
          <w:rFonts w:hint="eastAsia" w:ascii="宋体" w:hAnsi="宋体" w:eastAsia="宋体" w:cs="宋体"/>
          <w:color w:val="auto"/>
          <w:lang w:val="en-US" w:eastAsia="zh-CN"/>
        </w:rPr>
        <w:t>“</w:t>
      </w:r>
      <w:r>
        <w:rPr>
          <w:rFonts w:hint="default"/>
          <w:color w:val="auto"/>
          <w:lang w:val="en-US" w:eastAsia="zh-CN"/>
        </w:rPr>
        <w:t>石壁溪</w:t>
      </w:r>
      <w:r>
        <w:rPr>
          <w:rFonts w:hint="eastAsia" w:ascii="宋体" w:hAnsi="宋体" w:eastAsia="宋体" w:cs="宋体"/>
          <w:color w:val="auto"/>
          <w:lang w:val="en-US" w:eastAsia="zh-CN"/>
        </w:rPr>
        <w:t>”</w:t>
      </w:r>
      <w:r>
        <w:rPr>
          <w:rFonts w:hint="default"/>
          <w:color w:val="auto"/>
          <w:lang w:val="en-US" w:eastAsia="zh-CN"/>
        </w:rPr>
        <w:t>冲沟地形特征系数见表4</w:t>
      </w:r>
      <w:r>
        <w:rPr>
          <w:rFonts w:hint="eastAsia"/>
          <w:color w:val="auto"/>
          <w:lang w:val="en-US" w:eastAsia="zh-CN"/>
        </w:rPr>
        <w:t>.3</w:t>
      </w:r>
      <w:r>
        <w:rPr>
          <w:rFonts w:hint="default"/>
          <w:color w:val="auto"/>
          <w:lang w:val="en-US" w:eastAsia="zh-CN"/>
        </w:rPr>
        <w:t>-1。</w:t>
      </w:r>
    </w:p>
    <w:p w14:paraId="698818F9">
      <w:pPr>
        <w:ind w:left="0" w:leftChars="0" w:firstLine="0" w:firstLineChars="0"/>
        <w:jc w:val="center"/>
        <w:rPr>
          <w:rFonts w:hint="default"/>
          <w:color w:val="auto"/>
          <w:lang w:val="en-US" w:eastAsia="zh-CN"/>
        </w:rPr>
      </w:pPr>
      <w:r>
        <w:rPr>
          <w:rFonts w:hint="default"/>
          <w:color w:val="auto"/>
          <w:lang w:val="en-US" w:eastAsia="zh-CN"/>
        </w:rPr>
        <w:t>表4</w:t>
      </w:r>
      <w:r>
        <w:rPr>
          <w:rFonts w:hint="eastAsia"/>
          <w:color w:val="auto"/>
          <w:lang w:val="en-US" w:eastAsia="zh-CN"/>
        </w:rPr>
        <w:t>.3</w:t>
      </w:r>
      <w:r>
        <w:rPr>
          <w:rFonts w:hint="default"/>
          <w:color w:val="auto"/>
          <w:lang w:val="en-US" w:eastAsia="zh-CN"/>
        </w:rPr>
        <w:t>-1 尾矿库地形特征系数表</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203"/>
        <w:gridCol w:w="2117"/>
        <w:gridCol w:w="2160"/>
        <w:gridCol w:w="1483"/>
      </w:tblGrid>
      <w:tr w14:paraId="305866B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jc w:val="center"/>
        </w:trPr>
        <w:tc>
          <w:tcPr>
            <w:tcW w:w="2203" w:type="dxa"/>
            <w:vAlign w:val="center"/>
          </w:tcPr>
          <w:p w14:paraId="10E7EF5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项目</w:t>
            </w:r>
          </w:p>
        </w:tc>
        <w:tc>
          <w:tcPr>
            <w:tcW w:w="2117" w:type="dxa"/>
            <w:vAlign w:val="center"/>
          </w:tcPr>
          <w:p w14:paraId="2CD52C9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汇水面积（km</w:t>
            </w:r>
            <w:r>
              <w:rPr>
                <w:rFonts w:hint="default" w:ascii="Times New Roman" w:hAnsi="Times New Roman" w:cs="Times New Roman"/>
                <w:color w:val="auto"/>
                <w:sz w:val="24"/>
                <w:szCs w:val="24"/>
                <w:vertAlign w:val="superscript"/>
              </w:rPr>
              <w:t>2</w:t>
            </w:r>
            <w:r>
              <w:rPr>
                <w:rFonts w:hint="default" w:ascii="Times New Roman" w:hAnsi="Times New Roman" w:cs="Times New Roman"/>
                <w:color w:val="auto"/>
                <w:sz w:val="24"/>
                <w:szCs w:val="24"/>
              </w:rPr>
              <w:t>）</w:t>
            </w:r>
          </w:p>
        </w:tc>
        <w:tc>
          <w:tcPr>
            <w:tcW w:w="2160" w:type="dxa"/>
            <w:vAlign w:val="center"/>
          </w:tcPr>
          <w:p w14:paraId="091BF30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流域长度（km）</w:t>
            </w:r>
          </w:p>
        </w:tc>
        <w:tc>
          <w:tcPr>
            <w:tcW w:w="1483" w:type="dxa"/>
            <w:vAlign w:val="center"/>
          </w:tcPr>
          <w:p w14:paraId="1047DF9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流域坡降</w:t>
            </w:r>
          </w:p>
        </w:tc>
      </w:tr>
      <w:tr w14:paraId="1251061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2203" w:type="dxa"/>
            <w:vAlign w:val="center"/>
          </w:tcPr>
          <w:p w14:paraId="4A6A28D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尾矿库</w:t>
            </w:r>
          </w:p>
        </w:tc>
        <w:tc>
          <w:tcPr>
            <w:tcW w:w="2117" w:type="dxa"/>
            <w:vAlign w:val="center"/>
          </w:tcPr>
          <w:p w14:paraId="65ACB0B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5.56</w:t>
            </w:r>
          </w:p>
        </w:tc>
        <w:tc>
          <w:tcPr>
            <w:tcW w:w="2160" w:type="dxa"/>
            <w:vAlign w:val="center"/>
          </w:tcPr>
          <w:p w14:paraId="2D035D2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2.53</w:t>
            </w:r>
          </w:p>
        </w:tc>
        <w:tc>
          <w:tcPr>
            <w:tcW w:w="1483" w:type="dxa"/>
            <w:vAlign w:val="center"/>
          </w:tcPr>
          <w:p w14:paraId="751A703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0.023</w:t>
            </w:r>
          </w:p>
        </w:tc>
      </w:tr>
      <w:tr w14:paraId="72393C5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2203" w:type="dxa"/>
            <w:vAlign w:val="center"/>
          </w:tcPr>
          <w:p w14:paraId="49646FA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eastAsia" w:ascii="宋体" w:hAnsi="宋体" w:eastAsia="宋体" w:cs="宋体"/>
                <w:color w:val="auto"/>
                <w:sz w:val="24"/>
                <w:szCs w:val="24"/>
              </w:rPr>
              <w:t>“</w:t>
            </w:r>
            <w:r>
              <w:rPr>
                <w:rFonts w:hint="default" w:ascii="Times New Roman" w:hAnsi="Times New Roman" w:cs="Times New Roman"/>
                <w:color w:val="auto"/>
                <w:sz w:val="24"/>
                <w:szCs w:val="24"/>
              </w:rPr>
              <w:t>石壁溪</w:t>
            </w:r>
            <w:r>
              <w:rPr>
                <w:rFonts w:hint="eastAsia" w:ascii="宋体" w:hAnsi="宋体" w:eastAsia="宋体" w:cs="宋体"/>
                <w:color w:val="auto"/>
                <w:sz w:val="24"/>
                <w:szCs w:val="24"/>
              </w:rPr>
              <w:t>”</w:t>
            </w:r>
            <w:r>
              <w:rPr>
                <w:rFonts w:hint="default" w:ascii="Times New Roman" w:hAnsi="Times New Roman" w:cs="Times New Roman"/>
                <w:color w:val="auto"/>
                <w:sz w:val="24"/>
                <w:szCs w:val="24"/>
              </w:rPr>
              <w:t>冲沟</w:t>
            </w:r>
          </w:p>
        </w:tc>
        <w:tc>
          <w:tcPr>
            <w:tcW w:w="2117" w:type="dxa"/>
            <w:vAlign w:val="center"/>
          </w:tcPr>
          <w:p w14:paraId="2D1C7A2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1.33</w:t>
            </w:r>
          </w:p>
        </w:tc>
        <w:tc>
          <w:tcPr>
            <w:tcW w:w="2160" w:type="dxa"/>
            <w:vAlign w:val="center"/>
          </w:tcPr>
          <w:p w14:paraId="388779F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1.75</w:t>
            </w:r>
          </w:p>
        </w:tc>
        <w:tc>
          <w:tcPr>
            <w:tcW w:w="1483" w:type="dxa"/>
            <w:vAlign w:val="center"/>
          </w:tcPr>
          <w:p w14:paraId="405E06D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0.277</w:t>
            </w:r>
          </w:p>
        </w:tc>
      </w:tr>
    </w:tbl>
    <w:p w14:paraId="218FCF80">
      <w:pPr>
        <w:bidi w:val="0"/>
        <w:rPr>
          <w:rFonts w:hint="default"/>
          <w:color w:val="auto"/>
          <w:lang w:val="en-US" w:eastAsia="zh-CN"/>
        </w:rPr>
      </w:pPr>
      <w:r>
        <w:rPr>
          <w:rFonts w:hint="default"/>
          <w:color w:val="auto"/>
          <w:lang w:val="en-US" w:eastAsia="zh-CN"/>
        </w:rPr>
        <w:t>由《江西省暴雨洪水查算手册》（江西省水文总站2010年）查得历时暴雨资料见表4</w:t>
      </w:r>
      <w:r>
        <w:rPr>
          <w:rFonts w:hint="eastAsia"/>
          <w:color w:val="auto"/>
          <w:lang w:val="en-US" w:eastAsia="zh-CN"/>
        </w:rPr>
        <w:t>.3</w:t>
      </w:r>
      <w:r>
        <w:rPr>
          <w:rFonts w:hint="default"/>
          <w:color w:val="auto"/>
          <w:lang w:val="en-US" w:eastAsia="zh-CN"/>
        </w:rPr>
        <w:t>-2。</w:t>
      </w:r>
    </w:p>
    <w:p w14:paraId="691A65B3">
      <w:pPr>
        <w:ind w:left="0" w:leftChars="0" w:firstLine="0" w:firstLineChars="0"/>
        <w:jc w:val="center"/>
        <w:rPr>
          <w:rFonts w:hint="default"/>
          <w:color w:val="auto"/>
          <w:lang w:val="en-US" w:eastAsia="zh-CN"/>
        </w:rPr>
      </w:pPr>
      <w:r>
        <w:rPr>
          <w:rFonts w:hint="default"/>
          <w:color w:val="auto"/>
          <w:lang w:val="en-US" w:eastAsia="zh-CN"/>
        </w:rPr>
        <w:t>表4.3-2 设计暴雨计算结果表</w:t>
      </w:r>
    </w:p>
    <w:tbl>
      <w:tblPr>
        <w:tblStyle w:val="19"/>
        <w:tblW w:w="826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65"/>
        <w:gridCol w:w="900"/>
        <w:gridCol w:w="1239"/>
        <w:gridCol w:w="1239"/>
        <w:gridCol w:w="1239"/>
        <w:gridCol w:w="1239"/>
        <w:gridCol w:w="1240"/>
      </w:tblGrid>
      <w:tr w14:paraId="694BB92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2065" w:type="dxa"/>
            <w:gridSpan w:val="2"/>
            <w:vAlign w:val="bottom"/>
          </w:tcPr>
          <w:p w14:paraId="396D415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T（h）</w:t>
            </w:r>
          </w:p>
        </w:tc>
        <w:tc>
          <w:tcPr>
            <w:tcW w:w="1239" w:type="dxa"/>
            <w:tcBorders>
              <w:right w:val="single" w:color="auto" w:sz="4" w:space="0"/>
            </w:tcBorders>
            <w:vAlign w:val="bottom"/>
          </w:tcPr>
          <w:p w14:paraId="2F70535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eastAsia" w:ascii="Times New Roman" w:hAnsi="Times New Roman" w:cs="Times New Roman"/>
                <w:color w:val="auto"/>
                <w:sz w:val="24"/>
                <w:szCs w:val="24"/>
              </w:rPr>
              <w:t>1/6</w:t>
            </w:r>
          </w:p>
        </w:tc>
        <w:tc>
          <w:tcPr>
            <w:tcW w:w="1239" w:type="dxa"/>
            <w:tcBorders>
              <w:left w:val="single" w:color="auto" w:sz="4" w:space="0"/>
            </w:tcBorders>
            <w:vAlign w:val="bottom"/>
          </w:tcPr>
          <w:p w14:paraId="0339F4F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w:t>
            </w:r>
          </w:p>
        </w:tc>
        <w:tc>
          <w:tcPr>
            <w:tcW w:w="1239" w:type="dxa"/>
            <w:vAlign w:val="bottom"/>
          </w:tcPr>
          <w:p w14:paraId="61768E3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6</w:t>
            </w:r>
          </w:p>
        </w:tc>
        <w:tc>
          <w:tcPr>
            <w:tcW w:w="1239" w:type="dxa"/>
            <w:tcBorders>
              <w:right w:val="single" w:color="auto" w:sz="4" w:space="0"/>
            </w:tcBorders>
            <w:vAlign w:val="bottom"/>
          </w:tcPr>
          <w:p w14:paraId="1C3A33C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24</w:t>
            </w:r>
          </w:p>
        </w:tc>
        <w:tc>
          <w:tcPr>
            <w:tcW w:w="1240" w:type="dxa"/>
            <w:tcBorders>
              <w:left w:val="single" w:color="auto" w:sz="4" w:space="0"/>
            </w:tcBorders>
            <w:vAlign w:val="bottom"/>
          </w:tcPr>
          <w:p w14:paraId="7FE0ACA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eastAsia" w:ascii="Times New Roman" w:hAnsi="Times New Roman" w:cs="Times New Roman"/>
                <w:color w:val="auto"/>
                <w:sz w:val="24"/>
                <w:szCs w:val="24"/>
              </w:rPr>
              <w:t>72</w:t>
            </w:r>
          </w:p>
        </w:tc>
      </w:tr>
      <w:tr w14:paraId="6A5815D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2065" w:type="dxa"/>
            <w:gridSpan w:val="2"/>
            <w:vAlign w:val="bottom"/>
          </w:tcPr>
          <w:p w14:paraId="190B52E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Ht(mm)</w:t>
            </w:r>
          </w:p>
        </w:tc>
        <w:tc>
          <w:tcPr>
            <w:tcW w:w="1239" w:type="dxa"/>
            <w:tcBorders>
              <w:right w:val="single" w:color="auto" w:sz="4" w:space="0"/>
            </w:tcBorders>
            <w:vAlign w:val="bottom"/>
          </w:tcPr>
          <w:p w14:paraId="62784F2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18</w:t>
            </w:r>
          </w:p>
        </w:tc>
        <w:tc>
          <w:tcPr>
            <w:tcW w:w="1239" w:type="dxa"/>
            <w:tcBorders>
              <w:left w:val="single" w:color="auto" w:sz="4" w:space="0"/>
            </w:tcBorders>
            <w:vAlign w:val="bottom"/>
          </w:tcPr>
          <w:p w14:paraId="3C820A0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45</w:t>
            </w:r>
          </w:p>
        </w:tc>
        <w:tc>
          <w:tcPr>
            <w:tcW w:w="1239" w:type="dxa"/>
            <w:vAlign w:val="bottom"/>
          </w:tcPr>
          <w:p w14:paraId="63C6729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70</w:t>
            </w:r>
          </w:p>
        </w:tc>
        <w:tc>
          <w:tcPr>
            <w:tcW w:w="1239" w:type="dxa"/>
            <w:tcBorders>
              <w:right w:val="single" w:color="auto" w:sz="4" w:space="0"/>
            </w:tcBorders>
            <w:vAlign w:val="bottom"/>
          </w:tcPr>
          <w:p w14:paraId="4F2828A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110</w:t>
            </w:r>
          </w:p>
        </w:tc>
        <w:tc>
          <w:tcPr>
            <w:tcW w:w="1240" w:type="dxa"/>
            <w:tcBorders>
              <w:left w:val="single" w:color="auto" w:sz="4" w:space="0"/>
            </w:tcBorders>
            <w:vAlign w:val="bottom"/>
          </w:tcPr>
          <w:p w14:paraId="52ADA32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140</w:t>
            </w:r>
          </w:p>
        </w:tc>
      </w:tr>
      <w:tr w14:paraId="1A2E07A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2065" w:type="dxa"/>
            <w:gridSpan w:val="2"/>
            <w:vAlign w:val="bottom"/>
          </w:tcPr>
          <w:p w14:paraId="504B6FD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Cv</w:t>
            </w:r>
          </w:p>
        </w:tc>
        <w:tc>
          <w:tcPr>
            <w:tcW w:w="1239" w:type="dxa"/>
            <w:tcBorders>
              <w:right w:val="single" w:color="auto" w:sz="4" w:space="0"/>
            </w:tcBorders>
            <w:vAlign w:val="bottom"/>
          </w:tcPr>
          <w:p w14:paraId="790E598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0.35</w:t>
            </w:r>
          </w:p>
        </w:tc>
        <w:tc>
          <w:tcPr>
            <w:tcW w:w="1239" w:type="dxa"/>
            <w:tcBorders>
              <w:left w:val="single" w:color="auto" w:sz="4" w:space="0"/>
            </w:tcBorders>
            <w:vAlign w:val="bottom"/>
          </w:tcPr>
          <w:p w14:paraId="368E7D3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0.40</w:t>
            </w:r>
          </w:p>
        </w:tc>
        <w:tc>
          <w:tcPr>
            <w:tcW w:w="1239" w:type="dxa"/>
            <w:vAlign w:val="bottom"/>
          </w:tcPr>
          <w:p w14:paraId="136799A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0.42</w:t>
            </w:r>
          </w:p>
        </w:tc>
        <w:tc>
          <w:tcPr>
            <w:tcW w:w="1239" w:type="dxa"/>
            <w:tcBorders>
              <w:right w:val="single" w:color="auto" w:sz="4" w:space="0"/>
            </w:tcBorders>
            <w:vAlign w:val="bottom"/>
          </w:tcPr>
          <w:p w14:paraId="087E654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0.45</w:t>
            </w:r>
          </w:p>
        </w:tc>
        <w:tc>
          <w:tcPr>
            <w:tcW w:w="1240" w:type="dxa"/>
            <w:tcBorders>
              <w:left w:val="single" w:color="auto" w:sz="4" w:space="0"/>
            </w:tcBorders>
            <w:vAlign w:val="bottom"/>
          </w:tcPr>
          <w:p w14:paraId="73FF09F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0.40</w:t>
            </w:r>
          </w:p>
        </w:tc>
      </w:tr>
      <w:tr w14:paraId="1A677FD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2065" w:type="dxa"/>
            <w:gridSpan w:val="2"/>
            <w:vAlign w:val="center"/>
          </w:tcPr>
          <w:p w14:paraId="72E91B2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Cs</w:t>
            </w:r>
          </w:p>
        </w:tc>
        <w:tc>
          <w:tcPr>
            <w:tcW w:w="6196" w:type="dxa"/>
            <w:gridSpan w:val="5"/>
            <w:tcBorders>
              <w:left w:val="single" w:color="auto" w:sz="4" w:space="0"/>
            </w:tcBorders>
            <w:vAlign w:val="center"/>
          </w:tcPr>
          <w:p w14:paraId="73C2FCC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Cs=3.5Cv</w:t>
            </w:r>
          </w:p>
        </w:tc>
      </w:tr>
      <w:tr w14:paraId="4929F7D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165" w:type="dxa"/>
            <w:vMerge w:val="restart"/>
            <w:vAlign w:val="center"/>
          </w:tcPr>
          <w:p w14:paraId="0F9F003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P=0.2%</w:t>
            </w:r>
          </w:p>
        </w:tc>
        <w:tc>
          <w:tcPr>
            <w:tcW w:w="900" w:type="dxa"/>
            <w:vAlign w:val="center"/>
          </w:tcPr>
          <w:p w14:paraId="61D90E6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Kp</w:t>
            </w:r>
          </w:p>
        </w:tc>
        <w:tc>
          <w:tcPr>
            <w:tcW w:w="1239" w:type="dxa"/>
            <w:tcBorders>
              <w:right w:val="single" w:color="auto" w:sz="4" w:space="0"/>
            </w:tcBorders>
            <w:vAlign w:val="bottom"/>
          </w:tcPr>
          <w:p w14:paraId="5F0A9B5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2.52</w:t>
            </w:r>
          </w:p>
        </w:tc>
        <w:tc>
          <w:tcPr>
            <w:tcW w:w="1239" w:type="dxa"/>
            <w:tcBorders>
              <w:left w:val="single" w:color="auto" w:sz="4" w:space="0"/>
            </w:tcBorders>
            <w:vAlign w:val="bottom"/>
          </w:tcPr>
          <w:p w14:paraId="34F690E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2.82</w:t>
            </w:r>
          </w:p>
        </w:tc>
        <w:tc>
          <w:tcPr>
            <w:tcW w:w="1239" w:type="dxa"/>
            <w:vAlign w:val="bottom"/>
          </w:tcPr>
          <w:p w14:paraId="7222CE0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2.95</w:t>
            </w:r>
          </w:p>
        </w:tc>
        <w:tc>
          <w:tcPr>
            <w:tcW w:w="1239" w:type="dxa"/>
            <w:tcBorders>
              <w:right w:val="single" w:color="auto" w:sz="4" w:space="0"/>
            </w:tcBorders>
            <w:vAlign w:val="bottom"/>
          </w:tcPr>
          <w:p w14:paraId="3C45EA8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3.14</w:t>
            </w:r>
          </w:p>
        </w:tc>
        <w:tc>
          <w:tcPr>
            <w:tcW w:w="1240" w:type="dxa"/>
            <w:tcBorders>
              <w:left w:val="single" w:color="auto" w:sz="4" w:space="0"/>
            </w:tcBorders>
            <w:vAlign w:val="bottom"/>
          </w:tcPr>
          <w:p w14:paraId="614257A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2.82</w:t>
            </w:r>
          </w:p>
        </w:tc>
      </w:tr>
      <w:tr w14:paraId="0826F43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1165" w:type="dxa"/>
            <w:vMerge w:val="continue"/>
            <w:vAlign w:val="center"/>
          </w:tcPr>
          <w:p w14:paraId="6A14C558">
            <w:pPr>
              <w:jc w:val="center"/>
              <w:rPr>
                <w:color w:val="auto"/>
                <w:sz w:val="24"/>
              </w:rPr>
            </w:pPr>
          </w:p>
        </w:tc>
        <w:tc>
          <w:tcPr>
            <w:tcW w:w="900" w:type="dxa"/>
            <w:vAlign w:val="center"/>
          </w:tcPr>
          <w:p w14:paraId="39E3B88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Htp</w:t>
            </w:r>
          </w:p>
        </w:tc>
        <w:tc>
          <w:tcPr>
            <w:tcW w:w="1239" w:type="dxa"/>
            <w:tcBorders>
              <w:right w:val="single" w:color="auto" w:sz="4" w:space="0"/>
            </w:tcBorders>
            <w:vAlign w:val="bottom"/>
          </w:tcPr>
          <w:p w14:paraId="702BF58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45.36</w:t>
            </w:r>
          </w:p>
        </w:tc>
        <w:tc>
          <w:tcPr>
            <w:tcW w:w="1239" w:type="dxa"/>
            <w:tcBorders>
              <w:left w:val="single" w:color="auto" w:sz="4" w:space="0"/>
            </w:tcBorders>
            <w:vAlign w:val="bottom"/>
          </w:tcPr>
          <w:p w14:paraId="617722F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126.90</w:t>
            </w:r>
          </w:p>
        </w:tc>
        <w:tc>
          <w:tcPr>
            <w:tcW w:w="1239" w:type="dxa"/>
            <w:vAlign w:val="bottom"/>
          </w:tcPr>
          <w:p w14:paraId="32865A4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206.50</w:t>
            </w:r>
          </w:p>
        </w:tc>
        <w:tc>
          <w:tcPr>
            <w:tcW w:w="1239" w:type="dxa"/>
            <w:tcBorders>
              <w:right w:val="single" w:color="auto" w:sz="4" w:space="0"/>
            </w:tcBorders>
            <w:vAlign w:val="bottom"/>
          </w:tcPr>
          <w:p w14:paraId="6742B7E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345.40</w:t>
            </w:r>
          </w:p>
        </w:tc>
        <w:tc>
          <w:tcPr>
            <w:tcW w:w="1240" w:type="dxa"/>
            <w:tcBorders>
              <w:left w:val="single" w:color="auto" w:sz="4" w:space="0"/>
            </w:tcBorders>
            <w:vAlign w:val="bottom"/>
          </w:tcPr>
          <w:p w14:paraId="0596E04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394.80</w:t>
            </w:r>
          </w:p>
        </w:tc>
      </w:tr>
      <w:tr w14:paraId="6EAB258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165" w:type="dxa"/>
            <w:vMerge w:val="continue"/>
            <w:vAlign w:val="center"/>
          </w:tcPr>
          <w:p w14:paraId="59729A98">
            <w:pPr>
              <w:jc w:val="center"/>
              <w:rPr>
                <w:color w:val="auto"/>
                <w:sz w:val="24"/>
              </w:rPr>
            </w:pPr>
          </w:p>
        </w:tc>
        <w:tc>
          <w:tcPr>
            <w:tcW w:w="900" w:type="dxa"/>
            <w:vAlign w:val="center"/>
          </w:tcPr>
          <w:p w14:paraId="1CA1AC2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eastAsia" w:ascii="Times New Roman" w:hAnsi="Times New Roman" w:cs="Times New Roman"/>
                <w:color w:val="auto"/>
                <w:sz w:val="24"/>
                <w:szCs w:val="24"/>
              </w:rPr>
              <w:t>n</w:t>
            </w:r>
          </w:p>
        </w:tc>
        <w:tc>
          <w:tcPr>
            <w:tcW w:w="1239" w:type="dxa"/>
            <w:tcBorders>
              <w:right w:val="single" w:color="auto" w:sz="4" w:space="0"/>
            </w:tcBorders>
            <w:vAlign w:val="bottom"/>
          </w:tcPr>
          <w:p w14:paraId="01566CC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c>
          <w:tcPr>
            <w:tcW w:w="1239" w:type="dxa"/>
            <w:tcBorders>
              <w:left w:val="single" w:color="auto" w:sz="4" w:space="0"/>
            </w:tcBorders>
            <w:vAlign w:val="bottom"/>
          </w:tcPr>
          <w:p w14:paraId="6B98A80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0.426</w:t>
            </w:r>
          </w:p>
        </w:tc>
        <w:tc>
          <w:tcPr>
            <w:tcW w:w="1239" w:type="dxa"/>
            <w:vAlign w:val="bottom"/>
          </w:tcPr>
          <w:p w14:paraId="5A72C6D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0.728</w:t>
            </w:r>
          </w:p>
        </w:tc>
        <w:tc>
          <w:tcPr>
            <w:tcW w:w="1239" w:type="dxa"/>
            <w:tcBorders>
              <w:right w:val="single" w:color="auto" w:sz="4" w:space="0"/>
            </w:tcBorders>
            <w:vAlign w:val="bottom"/>
          </w:tcPr>
          <w:p w14:paraId="0042472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0.629</w:t>
            </w:r>
          </w:p>
        </w:tc>
        <w:tc>
          <w:tcPr>
            <w:tcW w:w="1240" w:type="dxa"/>
            <w:tcBorders>
              <w:left w:val="single" w:color="auto" w:sz="4" w:space="0"/>
            </w:tcBorders>
            <w:vAlign w:val="bottom"/>
          </w:tcPr>
          <w:p w14:paraId="09B1378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0.878</w:t>
            </w:r>
          </w:p>
        </w:tc>
      </w:tr>
    </w:tbl>
    <w:p w14:paraId="4573CA4C">
      <w:pPr>
        <w:bidi w:val="0"/>
        <w:rPr>
          <w:rFonts w:hint="default"/>
          <w:color w:val="auto"/>
          <w:lang w:val="en-US" w:eastAsia="zh-CN"/>
        </w:rPr>
      </w:pPr>
      <w:r>
        <w:rPr>
          <w:rFonts w:hint="default"/>
          <w:color w:val="auto"/>
          <w:lang w:val="en-US" w:eastAsia="zh-CN"/>
        </w:rPr>
        <w:t>根据《江西省暴雨洪水查算手册》（江西省水文局，2010年），按推理公式法推求洪峰流量及洪水过程线。推理公式为：</w:t>
      </w:r>
    </w:p>
    <w:p w14:paraId="2EA4C333">
      <w:pPr>
        <w:bidi w:val="0"/>
        <w:rPr>
          <w:rFonts w:hAnsi="宋体"/>
          <w:color w:val="auto"/>
          <w:position w:val="-10"/>
          <w:sz w:val="28"/>
          <w:szCs w:val="28"/>
        </w:rPr>
      </w:pPr>
      <w:r>
        <w:rPr>
          <w:rFonts w:hAnsi="宋体"/>
          <w:color w:val="auto"/>
          <w:position w:val="-10"/>
          <w:sz w:val="28"/>
          <w:szCs w:val="28"/>
        </w:rPr>
        <w:object>
          <v:shape id="_x0000_i1038" o:spt="75" type="#_x0000_t75" style="height:20pt;width:122.05pt;" o:ole="t" filled="f" o:preferrelative="t" stroked="f" coordsize="21600,21600">
            <v:path/>
            <v:fill on="f" focussize="0,0"/>
            <v:stroke on="f" joinstyle="miter"/>
            <v:imagedata r:id="rId47" o:title=""/>
            <o:lock v:ext="edit" aspectratio="t"/>
            <w10:wrap type="none"/>
            <w10:anchorlock/>
          </v:shape>
          <o:OLEObject Type="Embed" ProgID="Equation.3" ShapeID="_x0000_i1038" DrawAspect="Content" ObjectID="_1468075738" r:id="rId46">
            <o:LockedField>false</o:LockedField>
          </o:OLEObject>
        </w:object>
      </w:r>
    </w:p>
    <w:p w14:paraId="00C80236">
      <w:pPr>
        <w:bidi w:val="0"/>
        <w:rPr>
          <w:rFonts w:hAnsi="宋体"/>
          <w:color w:val="auto"/>
          <w:position w:val="-34"/>
          <w:sz w:val="28"/>
          <w:szCs w:val="28"/>
        </w:rPr>
      </w:pPr>
      <w:r>
        <w:rPr>
          <w:rFonts w:hAnsi="宋体"/>
          <w:color w:val="auto"/>
          <w:position w:val="-34"/>
          <w:sz w:val="28"/>
          <w:szCs w:val="28"/>
        </w:rPr>
        <w:object>
          <v:shape id="_x0000_i1039" o:spt="75" type="#_x0000_t75" style="height:38.9pt;width:136.7pt;" o:ole="t" filled="f" o:preferrelative="t" stroked="f" coordsize="21600,21600">
            <v:path/>
            <v:fill on="f" focussize="0,0"/>
            <v:stroke on="f" joinstyle="miter"/>
            <v:imagedata r:id="rId49" o:title=""/>
            <o:lock v:ext="edit" aspectratio="t"/>
            <w10:wrap type="none"/>
            <w10:anchorlock/>
          </v:shape>
          <o:OLEObject Type="Embed" ProgID="Equation.3" ShapeID="_x0000_i1039" DrawAspect="Content" ObjectID="_1468075739" r:id="rId48">
            <o:LockedField>false</o:LockedField>
          </o:OLEObject>
        </w:object>
      </w:r>
    </w:p>
    <w:p w14:paraId="0BAE2D59">
      <w:pPr>
        <w:bidi w:val="0"/>
        <w:rPr>
          <w:rFonts w:hAnsi="宋体"/>
          <w:color w:val="auto"/>
          <w:position w:val="-34"/>
          <w:sz w:val="28"/>
          <w:szCs w:val="28"/>
        </w:rPr>
      </w:pPr>
      <w:r>
        <w:rPr>
          <w:rFonts w:hAnsi="宋体"/>
          <w:color w:val="auto"/>
          <w:position w:val="-6"/>
          <w:sz w:val="28"/>
          <w:szCs w:val="28"/>
        </w:rPr>
        <w:object>
          <v:shape id="_x0000_i1040" o:spt="75" type="#_x0000_t75" style="height:20pt;width:88.15pt;" o:ole="t" filled="f" o:preferrelative="t" stroked="f" coordsize="21600,21600">
            <v:path/>
            <v:fill on="f" focussize="0,0"/>
            <v:stroke on="f" joinstyle="miter"/>
            <v:imagedata r:id="rId51" o:title=""/>
            <o:lock v:ext="edit" aspectratio="t"/>
            <w10:wrap type="none"/>
            <w10:anchorlock/>
          </v:shape>
          <o:OLEObject Type="Embed" ProgID="Equation.3" ShapeID="_x0000_i1040" DrawAspect="Content" ObjectID="_1468075740" r:id="rId50">
            <o:LockedField>false</o:LockedField>
          </o:OLEObject>
        </w:object>
      </w:r>
    </w:p>
    <w:p w14:paraId="35CF0F56">
      <w:pPr>
        <w:bidi w:val="0"/>
        <w:rPr>
          <w:rFonts w:hAnsi="宋体"/>
          <w:color w:val="auto"/>
          <w:position w:val="-34"/>
          <w:sz w:val="28"/>
          <w:szCs w:val="28"/>
        </w:rPr>
      </w:pPr>
      <w:r>
        <w:rPr>
          <w:rFonts w:hAnsi="宋体"/>
          <w:color w:val="auto"/>
          <w:position w:val="-28"/>
          <w:sz w:val="28"/>
          <w:szCs w:val="28"/>
        </w:rPr>
        <w:object>
          <v:shape id="_x0000_i1041" o:spt="75" type="#_x0000_t75" style="height:35.4pt;width:65.45pt;" o:ole="t" filled="f" o:preferrelative="t" stroked="f" coordsize="21600,21600">
            <v:path/>
            <v:fill on="f" focussize="0,0"/>
            <v:stroke on="f" joinstyle="miter"/>
            <v:imagedata r:id="rId53" o:title=""/>
            <o:lock v:ext="edit" aspectratio="t"/>
            <w10:wrap type="none"/>
            <w10:anchorlock/>
          </v:shape>
          <o:OLEObject Type="Embed" ProgID="Equation.3" ShapeID="_x0000_i1041" DrawAspect="Content" ObjectID="_1468075741" r:id="rId52">
            <o:LockedField>false</o:LockedField>
          </o:OLEObject>
        </w:object>
      </w:r>
    </w:p>
    <w:p w14:paraId="3E9EBFC6">
      <w:pPr>
        <w:bidi w:val="0"/>
        <w:rPr>
          <w:rFonts w:hAnsi="宋体"/>
          <w:color w:val="auto"/>
          <w:position w:val="-34"/>
          <w:sz w:val="28"/>
          <w:szCs w:val="28"/>
        </w:rPr>
      </w:pPr>
      <w:r>
        <w:rPr>
          <w:rFonts w:hAnsi="宋体"/>
          <w:color w:val="auto"/>
          <w:position w:val="-10"/>
          <w:sz w:val="28"/>
          <w:szCs w:val="28"/>
        </w:rPr>
        <w:object>
          <v:shape id="_x0000_i1042" o:spt="75" type="#_x0000_t75" style="height:21.55pt;width:102.05pt;" o:ole="t" filled="f" o:preferrelative="t" stroked="f" coordsize="21600,21600">
            <v:path/>
            <v:fill on="f" focussize="0,0"/>
            <v:stroke on="f" joinstyle="miter"/>
            <v:imagedata r:id="rId55" o:title=""/>
            <o:lock v:ext="edit" aspectratio="t"/>
            <w10:wrap type="none"/>
            <w10:anchorlock/>
          </v:shape>
          <o:OLEObject Type="Embed" ProgID="Equation.3" ShapeID="_x0000_i1042" DrawAspect="Content" ObjectID="_1468075742" r:id="rId54">
            <o:LockedField>false</o:LockedField>
          </o:OLEObject>
        </w:object>
      </w:r>
    </w:p>
    <w:p w14:paraId="06856DBB">
      <w:pPr>
        <w:bidi w:val="0"/>
        <w:rPr>
          <w:color w:val="auto"/>
        </w:rPr>
      </w:pPr>
      <w:r>
        <w:rPr>
          <w:rFonts w:hint="eastAsia"/>
          <w:color w:val="auto"/>
        </w:rPr>
        <w:t>式中：Q—洪峰流量，m</w:t>
      </w:r>
      <w:r>
        <w:rPr>
          <w:rFonts w:hint="eastAsia"/>
          <w:color w:val="auto"/>
          <w:vertAlign w:val="superscript"/>
        </w:rPr>
        <w:t>3</w:t>
      </w:r>
      <w:r>
        <w:rPr>
          <w:rFonts w:hint="eastAsia"/>
          <w:color w:val="auto"/>
        </w:rPr>
        <w:t>/s；</w:t>
      </w:r>
    </w:p>
    <w:p w14:paraId="47CF5E06">
      <w:pPr>
        <w:bidi w:val="0"/>
        <w:rPr>
          <w:color w:val="auto"/>
        </w:rPr>
      </w:pPr>
      <w:r>
        <w:rPr>
          <w:rFonts w:hint="eastAsia"/>
          <w:color w:val="auto"/>
        </w:rPr>
        <w:t>h—某设计频率时τ时间内的降雨量【当10分钟≤τ≤60分钟，H</w:t>
      </w:r>
      <w:r>
        <w:rPr>
          <w:rFonts w:hint="eastAsia"/>
          <w:color w:val="auto"/>
          <w:vertAlign w:val="subscript"/>
        </w:rPr>
        <w:t>tp</w:t>
      </w:r>
      <w:r>
        <w:rPr>
          <w:rFonts w:hint="eastAsia"/>
          <w:color w:val="auto"/>
        </w:rPr>
        <w:t>=H</w:t>
      </w:r>
      <w:r>
        <w:rPr>
          <w:rFonts w:hint="eastAsia"/>
          <w:color w:val="auto"/>
          <w:vertAlign w:val="subscript"/>
        </w:rPr>
        <w:t>10</w:t>
      </w:r>
      <w:r>
        <w:rPr>
          <w:rFonts w:hint="eastAsia"/>
          <w:color w:val="auto"/>
        </w:rPr>
        <w:t>/</w:t>
      </w:r>
      <w:r>
        <w:rPr>
          <w:rFonts w:hint="eastAsia" w:ascii="宋体" w:hAnsi="宋体" w:eastAsia="宋体" w:cs="宋体"/>
          <w:color w:val="auto"/>
        </w:rPr>
        <w:t>(</w:t>
      </w:r>
      <w:r>
        <w:rPr>
          <w:rFonts w:hint="eastAsia"/>
          <w:color w:val="auto"/>
        </w:rPr>
        <w:t>t/10</w:t>
      </w:r>
      <w:r>
        <w:rPr>
          <w:rFonts w:hint="eastAsia" w:ascii="宋体" w:hAnsi="宋体" w:eastAsia="宋体" w:cs="宋体"/>
          <w:color w:val="auto"/>
        </w:rPr>
        <w:t>)(</w:t>
      </w:r>
      <w:r>
        <w:rPr>
          <w:rFonts w:hint="eastAsia"/>
          <w:color w:val="auto"/>
        </w:rPr>
        <w:t>1-n1</w:t>
      </w:r>
      <w:r>
        <w:rPr>
          <w:rFonts w:hint="eastAsia" w:ascii="宋体" w:hAnsi="宋体" w:eastAsia="宋体" w:cs="宋体"/>
          <w:color w:val="auto"/>
        </w:rPr>
        <w:t>)</w:t>
      </w:r>
      <w:r>
        <w:rPr>
          <w:rFonts w:hint="eastAsia"/>
          <w:color w:val="auto"/>
        </w:rPr>
        <w:t>；1小时≤τ≤6小时，H</w:t>
      </w:r>
      <w:r>
        <w:rPr>
          <w:rFonts w:hint="eastAsia"/>
          <w:color w:val="auto"/>
          <w:vertAlign w:val="subscript"/>
        </w:rPr>
        <w:t>tp</w:t>
      </w:r>
      <w:r>
        <w:rPr>
          <w:rFonts w:hint="eastAsia"/>
          <w:color w:val="auto"/>
        </w:rPr>
        <w:t>=H</w:t>
      </w:r>
      <w:r>
        <w:rPr>
          <w:rFonts w:hint="eastAsia"/>
          <w:color w:val="auto"/>
          <w:vertAlign w:val="subscript"/>
        </w:rPr>
        <w:t>10</w:t>
      </w:r>
      <w:r>
        <w:rPr>
          <w:rFonts w:hint="eastAsia"/>
          <w:color w:val="auto"/>
        </w:rPr>
        <w:t>/</w:t>
      </w:r>
      <w:r>
        <w:rPr>
          <w:rFonts w:hint="eastAsia" w:ascii="宋体" w:hAnsi="宋体" w:eastAsia="宋体" w:cs="宋体"/>
          <w:color w:val="auto"/>
        </w:rPr>
        <w:t>(</w:t>
      </w:r>
      <w:r>
        <w:rPr>
          <w:rFonts w:hint="eastAsia"/>
          <w:color w:val="auto"/>
        </w:rPr>
        <w:t>t/10</w:t>
      </w:r>
      <w:r>
        <w:rPr>
          <w:rFonts w:hint="eastAsia" w:ascii="宋体" w:hAnsi="宋体" w:eastAsia="宋体" w:cs="宋体"/>
          <w:color w:val="auto"/>
        </w:rPr>
        <w:t>)(</w:t>
      </w:r>
      <w:r>
        <w:rPr>
          <w:rFonts w:hint="eastAsia"/>
          <w:color w:val="auto"/>
        </w:rPr>
        <w:t>1-n1</w:t>
      </w:r>
      <w:r>
        <w:rPr>
          <w:rFonts w:hint="eastAsia" w:ascii="宋体" w:hAnsi="宋体" w:eastAsia="宋体" w:cs="宋体"/>
          <w:color w:val="auto"/>
          <w:lang w:val="en-US" w:eastAsia="zh-CN"/>
        </w:rPr>
        <w:t>)</w:t>
      </w:r>
      <w:r>
        <w:rPr>
          <w:rFonts w:hint="eastAsia"/>
          <w:color w:val="auto"/>
        </w:rPr>
        <w:t>】，mm；</w:t>
      </w:r>
    </w:p>
    <w:p w14:paraId="7956E3C5">
      <w:pPr>
        <w:bidi w:val="0"/>
        <w:rPr>
          <w:color w:val="auto"/>
        </w:rPr>
      </w:pPr>
      <w:r>
        <w:rPr>
          <w:rFonts w:hint="eastAsia"/>
          <w:color w:val="auto"/>
        </w:rPr>
        <w:t>F—汇水面积，km</w:t>
      </w:r>
      <w:r>
        <w:rPr>
          <w:rFonts w:hint="eastAsia"/>
          <w:color w:val="auto"/>
          <w:vertAlign w:val="superscript"/>
        </w:rPr>
        <w:t>2</w:t>
      </w:r>
      <w:r>
        <w:rPr>
          <w:rFonts w:hint="eastAsia"/>
          <w:color w:val="auto"/>
        </w:rPr>
        <w:t>；</w:t>
      </w:r>
    </w:p>
    <w:p w14:paraId="156CE35F">
      <w:pPr>
        <w:bidi w:val="0"/>
        <w:rPr>
          <w:color w:val="auto"/>
        </w:rPr>
      </w:pPr>
      <w:r>
        <w:rPr>
          <w:rFonts w:hint="eastAsia"/>
          <w:color w:val="auto"/>
        </w:rPr>
        <w:t>τ—汇流时间，h；</w:t>
      </w:r>
    </w:p>
    <w:p w14:paraId="0D5B6F15">
      <w:pPr>
        <w:bidi w:val="0"/>
        <w:rPr>
          <w:color w:val="auto"/>
        </w:rPr>
      </w:pPr>
      <w:r>
        <w:rPr>
          <w:rFonts w:hint="eastAsia"/>
          <w:color w:val="auto"/>
        </w:rPr>
        <w:t>L—流域长度，km；</w:t>
      </w:r>
    </w:p>
    <w:p w14:paraId="07C13B9E">
      <w:pPr>
        <w:bidi w:val="0"/>
        <w:rPr>
          <w:color w:val="auto"/>
        </w:rPr>
      </w:pPr>
      <w:r>
        <w:rPr>
          <w:rFonts w:hint="eastAsia"/>
          <w:color w:val="auto"/>
        </w:rPr>
        <w:t>J—流域坡降；</w:t>
      </w:r>
    </w:p>
    <w:p w14:paraId="1B18DEB6">
      <w:pPr>
        <w:bidi w:val="0"/>
        <w:rPr>
          <w:color w:val="auto"/>
        </w:rPr>
      </w:pPr>
      <w:r>
        <w:rPr>
          <w:rFonts w:hint="eastAsia"/>
          <w:color w:val="auto"/>
        </w:rPr>
        <w:t>m—汇流参数；</w:t>
      </w:r>
    </w:p>
    <w:p w14:paraId="2424BC71">
      <w:pPr>
        <w:bidi w:val="0"/>
        <w:rPr>
          <w:rFonts w:hint="eastAsia" w:eastAsia="宋体"/>
          <w:color w:val="auto"/>
          <w:lang w:eastAsia="zh-CN"/>
        </w:rPr>
      </w:pPr>
      <w:r>
        <w:rPr>
          <w:rFonts w:hint="eastAsia"/>
          <w:color w:val="auto"/>
        </w:rPr>
        <w:t>W—洪水总量，10</w:t>
      </w:r>
      <w:r>
        <w:rPr>
          <w:rFonts w:hint="eastAsia"/>
          <w:color w:val="auto"/>
          <w:vertAlign w:val="superscript"/>
        </w:rPr>
        <w:t>4</w:t>
      </w:r>
      <w:r>
        <w:rPr>
          <w:color w:val="auto"/>
        </w:rPr>
        <w:t>m</w:t>
      </w:r>
      <w:r>
        <w:rPr>
          <w:rFonts w:hint="eastAsia"/>
          <w:color w:val="auto"/>
          <w:vertAlign w:val="superscript"/>
          <w:lang w:val="en-US" w:eastAsia="zh-CN"/>
        </w:rPr>
        <w:t>3</w:t>
      </w:r>
      <w:r>
        <w:rPr>
          <w:rFonts w:hint="eastAsia"/>
          <w:color w:val="auto"/>
        </w:rPr>
        <w:t>。</w:t>
      </w:r>
    </w:p>
    <w:p w14:paraId="305E0A1A">
      <w:pPr>
        <w:bidi w:val="0"/>
        <w:rPr>
          <w:rFonts w:hint="eastAsia"/>
          <w:color w:val="auto"/>
        </w:rPr>
      </w:pPr>
      <w:r>
        <w:rPr>
          <w:rFonts w:hint="eastAsia"/>
          <w:color w:val="auto"/>
        </w:rPr>
        <w:t>根据以上公式及</w:t>
      </w:r>
      <w:r>
        <w:rPr>
          <w:color w:val="auto"/>
        </w:rPr>
        <w:t>表4</w:t>
      </w:r>
      <w:r>
        <w:rPr>
          <w:rFonts w:hint="eastAsia"/>
          <w:color w:val="auto"/>
          <w:lang w:val="en-US" w:eastAsia="zh-CN"/>
        </w:rPr>
        <w:t>.3</w:t>
      </w:r>
      <w:r>
        <w:rPr>
          <w:rFonts w:hint="eastAsia"/>
          <w:color w:val="auto"/>
        </w:rPr>
        <w:t>-</w:t>
      </w:r>
      <w:r>
        <w:rPr>
          <w:color w:val="auto"/>
        </w:rPr>
        <w:t>1</w:t>
      </w:r>
      <w:r>
        <w:rPr>
          <w:rFonts w:hint="eastAsia"/>
          <w:color w:val="auto"/>
        </w:rPr>
        <w:t>与表</w:t>
      </w:r>
      <w:r>
        <w:rPr>
          <w:color w:val="auto"/>
        </w:rPr>
        <w:t>4</w:t>
      </w:r>
      <w:r>
        <w:rPr>
          <w:rFonts w:hint="eastAsia"/>
          <w:color w:val="auto"/>
          <w:lang w:val="en-US" w:eastAsia="zh-CN"/>
        </w:rPr>
        <w:t>.3</w:t>
      </w:r>
      <w:r>
        <w:rPr>
          <w:rFonts w:hint="eastAsia"/>
          <w:color w:val="auto"/>
        </w:rPr>
        <w:t>-</w:t>
      </w:r>
      <w:r>
        <w:rPr>
          <w:color w:val="auto"/>
        </w:rPr>
        <w:t>2</w:t>
      </w:r>
      <w:r>
        <w:rPr>
          <w:rFonts w:hint="eastAsia"/>
          <w:color w:val="auto"/>
        </w:rPr>
        <w:t>的</w:t>
      </w:r>
      <w:r>
        <w:rPr>
          <w:color w:val="auto"/>
        </w:rPr>
        <w:t>数据，</w:t>
      </w:r>
      <w:r>
        <w:rPr>
          <w:rFonts w:hint="eastAsia"/>
          <w:color w:val="auto"/>
        </w:rPr>
        <w:t>推求洪峰</w:t>
      </w:r>
      <w:r>
        <w:rPr>
          <w:color w:val="auto"/>
        </w:rPr>
        <w:t>计算结果见表4</w:t>
      </w:r>
      <w:r>
        <w:rPr>
          <w:rFonts w:hint="eastAsia"/>
          <w:color w:val="auto"/>
          <w:lang w:val="en-US" w:eastAsia="zh-CN"/>
        </w:rPr>
        <w:t>.3</w:t>
      </w:r>
      <w:r>
        <w:rPr>
          <w:rFonts w:hint="eastAsia"/>
          <w:color w:val="auto"/>
        </w:rPr>
        <w:t>-</w:t>
      </w:r>
      <w:r>
        <w:rPr>
          <w:color w:val="auto"/>
        </w:rPr>
        <w:t>3</w:t>
      </w:r>
      <w:r>
        <w:rPr>
          <w:rFonts w:hint="eastAsia"/>
          <w:color w:val="auto"/>
        </w:rPr>
        <w:t>。</w:t>
      </w:r>
    </w:p>
    <w:p w14:paraId="62D0ED0B">
      <w:pPr>
        <w:bidi w:val="0"/>
        <w:ind w:left="0" w:leftChars="0" w:firstLine="0" w:firstLineChars="0"/>
        <w:jc w:val="center"/>
        <w:rPr>
          <w:rFonts w:hint="eastAsia"/>
          <w:color w:val="auto"/>
        </w:rPr>
      </w:pPr>
      <w:r>
        <w:rPr>
          <w:color w:val="auto"/>
        </w:rPr>
        <w:t>表4</w:t>
      </w:r>
      <w:r>
        <w:rPr>
          <w:rFonts w:hint="eastAsia"/>
          <w:color w:val="auto"/>
          <w:lang w:val="en-US" w:eastAsia="zh-CN"/>
        </w:rPr>
        <w:t>.3</w:t>
      </w:r>
      <w:r>
        <w:rPr>
          <w:rFonts w:hint="eastAsia"/>
          <w:color w:val="auto"/>
        </w:rPr>
        <w:t>-</w:t>
      </w:r>
      <w:r>
        <w:rPr>
          <w:color w:val="auto"/>
        </w:rPr>
        <w:t>3</w:t>
      </w:r>
      <w:r>
        <w:rPr>
          <w:rFonts w:hint="eastAsia"/>
          <w:color w:val="auto"/>
        </w:rPr>
        <w:t xml:space="preserve"> 洪峰计算结果表</w:t>
      </w:r>
    </w:p>
    <w:tbl>
      <w:tblPr>
        <w:tblStyle w:val="19"/>
        <w:tblW w:w="867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35"/>
        <w:gridCol w:w="1009"/>
        <w:gridCol w:w="851"/>
        <w:gridCol w:w="1276"/>
        <w:gridCol w:w="1275"/>
        <w:gridCol w:w="1323"/>
        <w:gridCol w:w="1604"/>
      </w:tblGrid>
      <w:tr w14:paraId="3938C69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5" w:hRule="atLeast"/>
          <w:jc w:val="center"/>
        </w:trPr>
        <w:tc>
          <w:tcPr>
            <w:tcW w:w="2344" w:type="dxa"/>
            <w:gridSpan w:val="2"/>
            <w:vAlign w:val="center"/>
          </w:tcPr>
          <w:p w14:paraId="479FB7A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项目</w:t>
            </w:r>
          </w:p>
        </w:tc>
        <w:tc>
          <w:tcPr>
            <w:tcW w:w="851" w:type="dxa"/>
            <w:vAlign w:val="center"/>
          </w:tcPr>
          <w:p w14:paraId="5554A6D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eastAsia" w:ascii="Times New Roman" w:hAnsi="Times New Roman" w:cs="Times New Roman"/>
                <w:color w:val="auto"/>
                <w:sz w:val="24"/>
                <w:szCs w:val="24"/>
              </w:rPr>
              <w:t>频率</w:t>
            </w:r>
            <w:r>
              <w:rPr>
                <w:rFonts w:hint="default" w:ascii="Times New Roman" w:hAnsi="Times New Roman" w:cs="Times New Roman"/>
                <w:color w:val="auto"/>
                <w:sz w:val="24"/>
                <w:szCs w:val="24"/>
              </w:rPr>
              <w:t>P</w:t>
            </w:r>
            <w:r>
              <w:rPr>
                <w:rFonts w:hint="eastAsia" w:ascii="Times New Roman" w:hAnsi="Times New Roman" w:cs="Times New Roman"/>
                <w:color w:val="auto"/>
                <w:sz w:val="24"/>
                <w:szCs w:val="24"/>
              </w:rPr>
              <w:t>（</w:t>
            </w:r>
            <w:r>
              <w:rPr>
                <w:rFonts w:hint="default" w:ascii="Times New Roman" w:hAnsi="Times New Roman" w:cs="Times New Roman"/>
                <w:color w:val="auto"/>
                <w:sz w:val="24"/>
                <w:szCs w:val="24"/>
              </w:rPr>
              <w:t>%</w:t>
            </w:r>
            <w:r>
              <w:rPr>
                <w:rFonts w:hint="eastAsia" w:ascii="Times New Roman" w:hAnsi="Times New Roman" w:cs="Times New Roman"/>
                <w:color w:val="auto"/>
                <w:sz w:val="24"/>
                <w:szCs w:val="24"/>
              </w:rPr>
              <w:t>）</w:t>
            </w:r>
          </w:p>
        </w:tc>
        <w:tc>
          <w:tcPr>
            <w:tcW w:w="1276" w:type="dxa"/>
            <w:vAlign w:val="center"/>
          </w:tcPr>
          <w:p w14:paraId="2B91F3B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汇水面积</w:t>
            </w:r>
          </w:p>
          <w:p w14:paraId="193F198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（km</w:t>
            </w:r>
            <w:r>
              <w:rPr>
                <w:rFonts w:hint="default" w:ascii="Times New Roman" w:hAnsi="Times New Roman" w:cs="Times New Roman"/>
                <w:color w:val="auto"/>
                <w:sz w:val="24"/>
                <w:szCs w:val="24"/>
                <w:vertAlign w:val="superscript"/>
              </w:rPr>
              <w:t>2</w:t>
            </w:r>
            <w:r>
              <w:rPr>
                <w:rFonts w:hint="default" w:ascii="Times New Roman" w:hAnsi="Times New Roman" w:cs="Times New Roman"/>
                <w:color w:val="auto"/>
                <w:sz w:val="24"/>
                <w:szCs w:val="24"/>
              </w:rPr>
              <w:t>）</w:t>
            </w:r>
          </w:p>
        </w:tc>
        <w:tc>
          <w:tcPr>
            <w:tcW w:w="1275" w:type="dxa"/>
            <w:vAlign w:val="center"/>
          </w:tcPr>
          <w:p w14:paraId="24C43C4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汇流时间</w:t>
            </w:r>
          </w:p>
          <w:p w14:paraId="1748FB2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（h）</w:t>
            </w:r>
          </w:p>
        </w:tc>
        <w:tc>
          <w:tcPr>
            <w:tcW w:w="1323" w:type="dxa"/>
            <w:vAlign w:val="center"/>
          </w:tcPr>
          <w:p w14:paraId="65D904E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洪峰流量（m</w:t>
            </w:r>
            <w:r>
              <w:rPr>
                <w:rFonts w:hint="default" w:ascii="Times New Roman" w:hAnsi="Times New Roman" w:cs="Times New Roman"/>
                <w:color w:val="auto"/>
                <w:sz w:val="24"/>
                <w:szCs w:val="24"/>
                <w:vertAlign w:val="superscript"/>
              </w:rPr>
              <w:t>3</w:t>
            </w:r>
            <w:r>
              <w:rPr>
                <w:rFonts w:hint="default" w:ascii="Times New Roman" w:hAnsi="Times New Roman" w:cs="Times New Roman"/>
                <w:color w:val="auto"/>
                <w:sz w:val="24"/>
                <w:szCs w:val="24"/>
              </w:rPr>
              <w:t>/s）</w:t>
            </w:r>
          </w:p>
        </w:tc>
        <w:tc>
          <w:tcPr>
            <w:tcW w:w="1604" w:type="dxa"/>
            <w:vAlign w:val="center"/>
          </w:tcPr>
          <w:p w14:paraId="519EE38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24h洪水总量</w:t>
            </w:r>
          </w:p>
          <w:p w14:paraId="578C377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w:t>
            </w:r>
            <w:r>
              <w:rPr>
                <w:rFonts w:hint="eastAsia" w:ascii="Times New Roman" w:hAnsi="Times New Roman" w:cs="Times New Roman"/>
                <w:color w:val="auto"/>
                <w:sz w:val="24"/>
                <w:szCs w:val="24"/>
              </w:rPr>
              <w:t>104</w:t>
            </w:r>
            <w:r>
              <w:rPr>
                <w:rFonts w:hint="default" w:ascii="Times New Roman" w:hAnsi="Times New Roman" w:cs="Times New Roman"/>
                <w:color w:val="auto"/>
                <w:sz w:val="24"/>
                <w:szCs w:val="24"/>
              </w:rPr>
              <w:t>m</w:t>
            </w:r>
            <w:r>
              <w:rPr>
                <w:rFonts w:hint="default" w:ascii="Times New Roman" w:hAnsi="Times New Roman" w:cs="Times New Roman"/>
                <w:color w:val="auto"/>
                <w:sz w:val="24"/>
                <w:szCs w:val="24"/>
                <w:vertAlign w:val="superscript"/>
              </w:rPr>
              <w:t>3</w:t>
            </w:r>
            <w:r>
              <w:rPr>
                <w:rFonts w:hint="default" w:ascii="Times New Roman" w:hAnsi="Times New Roman" w:cs="Times New Roman"/>
                <w:color w:val="auto"/>
                <w:sz w:val="24"/>
                <w:szCs w:val="24"/>
              </w:rPr>
              <w:t>）</w:t>
            </w:r>
          </w:p>
        </w:tc>
      </w:tr>
      <w:tr w14:paraId="5151C2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3" w:hRule="atLeast"/>
          <w:jc w:val="center"/>
        </w:trPr>
        <w:tc>
          <w:tcPr>
            <w:tcW w:w="1335" w:type="dxa"/>
            <w:tcBorders>
              <w:right w:val="single" w:color="auto" w:sz="4" w:space="0"/>
            </w:tcBorders>
            <w:vAlign w:val="center"/>
          </w:tcPr>
          <w:p w14:paraId="522874F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eastAsia" w:ascii="Times New Roman" w:hAnsi="Times New Roman" w:cs="Times New Roman"/>
                <w:color w:val="auto"/>
                <w:sz w:val="24"/>
                <w:szCs w:val="24"/>
              </w:rPr>
              <w:t>尾矿库</w:t>
            </w:r>
          </w:p>
        </w:tc>
        <w:tc>
          <w:tcPr>
            <w:tcW w:w="1009" w:type="dxa"/>
            <w:tcBorders>
              <w:left w:val="single" w:color="auto" w:sz="4" w:space="0"/>
            </w:tcBorders>
            <w:vAlign w:val="center"/>
          </w:tcPr>
          <w:p w14:paraId="751AF75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eastAsia" w:ascii="Times New Roman" w:hAnsi="Times New Roman" w:cs="Times New Roman"/>
                <w:color w:val="auto"/>
                <w:sz w:val="24"/>
                <w:szCs w:val="24"/>
              </w:rPr>
              <w:t>292.0m</w:t>
            </w:r>
          </w:p>
        </w:tc>
        <w:tc>
          <w:tcPr>
            <w:tcW w:w="851" w:type="dxa"/>
            <w:vAlign w:val="center"/>
          </w:tcPr>
          <w:p w14:paraId="268FFB3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eastAsia" w:ascii="Times New Roman" w:hAnsi="Times New Roman" w:cs="Times New Roman"/>
                <w:color w:val="auto"/>
                <w:sz w:val="24"/>
                <w:szCs w:val="24"/>
              </w:rPr>
              <w:t>0.2</w:t>
            </w:r>
          </w:p>
        </w:tc>
        <w:tc>
          <w:tcPr>
            <w:tcW w:w="1276" w:type="dxa"/>
            <w:vAlign w:val="center"/>
          </w:tcPr>
          <w:p w14:paraId="7CA4ED0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eastAsia" w:ascii="Times New Roman" w:hAnsi="Times New Roman" w:cs="Times New Roman"/>
                <w:color w:val="auto"/>
                <w:sz w:val="24"/>
                <w:szCs w:val="24"/>
              </w:rPr>
              <w:t>5.56</w:t>
            </w:r>
          </w:p>
        </w:tc>
        <w:tc>
          <w:tcPr>
            <w:tcW w:w="1275" w:type="dxa"/>
            <w:vAlign w:val="center"/>
          </w:tcPr>
          <w:p w14:paraId="5E2712E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w:t>
            </w:r>
            <w:r>
              <w:rPr>
                <w:rFonts w:hint="eastAsia" w:ascii="Times New Roman" w:hAnsi="Times New Roman" w:cs="Times New Roman"/>
                <w:color w:val="auto"/>
                <w:sz w:val="24"/>
                <w:szCs w:val="24"/>
              </w:rPr>
              <w:t>.</w:t>
            </w:r>
            <w:r>
              <w:rPr>
                <w:rFonts w:hint="default" w:ascii="Times New Roman" w:hAnsi="Times New Roman" w:cs="Times New Roman"/>
                <w:color w:val="auto"/>
                <w:sz w:val="24"/>
                <w:szCs w:val="24"/>
              </w:rPr>
              <w:t>47</w:t>
            </w:r>
          </w:p>
        </w:tc>
        <w:tc>
          <w:tcPr>
            <w:tcW w:w="1323" w:type="dxa"/>
            <w:vAlign w:val="center"/>
          </w:tcPr>
          <w:p w14:paraId="1C0CA8B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eastAsia" w:ascii="Times New Roman" w:hAnsi="Times New Roman" w:cs="Times New Roman"/>
                <w:color w:val="auto"/>
                <w:sz w:val="24"/>
                <w:szCs w:val="24"/>
              </w:rPr>
              <w:t>22</w:t>
            </w:r>
            <w:r>
              <w:rPr>
                <w:rFonts w:hint="default" w:ascii="Times New Roman" w:hAnsi="Times New Roman" w:cs="Times New Roman"/>
                <w:color w:val="auto"/>
                <w:sz w:val="24"/>
                <w:szCs w:val="24"/>
              </w:rPr>
              <w:t>6</w:t>
            </w:r>
            <w:r>
              <w:rPr>
                <w:rFonts w:hint="eastAsia" w:ascii="Times New Roman" w:hAnsi="Times New Roman" w:cs="Times New Roman"/>
                <w:color w:val="auto"/>
                <w:sz w:val="24"/>
                <w:szCs w:val="24"/>
              </w:rPr>
              <w:t>.09</w:t>
            </w:r>
          </w:p>
        </w:tc>
        <w:tc>
          <w:tcPr>
            <w:tcW w:w="1604" w:type="dxa"/>
            <w:vAlign w:val="center"/>
          </w:tcPr>
          <w:p w14:paraId="2CB25AC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eastAsia" w:ascii="Times New Roman" w:hAnsi="Times New Roman" w:cs="Times New Roman"/>
                <w:color w:val="auto"/>
                <w:sz w:val="24"/>
                <w:szCs w:val="24"/>
              </w:rPr>
              <w:t>192.04</w:t>
            </w:r>
          </w:p>
        </w:tc>
      </w:tr>
      <w:tr w14:paraId="48587B9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5" w:hRule="atLeast"/>
          <w:jc w:val="center"/>
        </w:trPr>
        <w:tc>
          <w:tcPr>
            <w:tcW w:w="2344" w:type="dxa"/>
            <w:gridSpan w:val="2"/>
            <w:vAlign w:val="center"/>
          </w:tcPr>
          <w:p w14:paraId="488FA38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eastAsia" w:ascii="Times New Roman" w:hAnsi="Times New Roman" w:cs="Times New Roman"/>
                <w:color w:val="auto"/>
                <w:sz w:val="24"/>
                <w:szCs w:val="24"/>
              </w:rPr>
              <w:t>“石壁溪”冲沟</w:t>
            </w:r>
          </w:p>
        </w:tc>
        <w:tc>
          <w:tcPr>
            <w:tcW w:w="851" w:type="dxa"/>
            <w:vAlign w:val="center"/>
          </w:tcPr>
          <w:p w14:paraId="498059B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eastAsia" w:ascii="Times New Roman" w:hAnsi="Times New Roman" w:cs="Times New Roman"/>
                <w:color w:val="auto"/>
                <w:sz w:val="24"/>
                <w:szCs w:val="24"/>
              </w:rPr>
              <w:t>0.2</w:t>
            </w:r>
          </w:p>
        </w:tc>
        <w:tc>
          <w:tcPr>
            <w:tcW w:w="1276" w:type="dxa"/>
            <w:vAlign w:val="center"/>
          </w:tcPr>
          <w:p w14:paraId="5BFE90C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eastAsia" w:ascii="Times New Roman" w:hAnsi="Times New Roman" w:cs="Times New Roman"/>
                <w:color w:val="auto"/>
                <w:sz w:val="24"/>
                <w:szCs w:val="24"/>
              </w:rPr>
              <w:t>1.33</w:t>
            </w:r>
          </w:p>
        </w:tc>
        <w:tc>
          <w:tcPr>
            <w:tcW w:w="1275" w:type="dxa"/>
            <w:vAlign w:val="center"/>
          </w:tcPr>
          <w:p w14:paraId="50041CB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eastAsia" w:ascii="Times New Roman" w:hAnsi="Times New Roman" w:cs="Times New Roman"/>
                <w:color w:val="auto"/>
                <w:sz w:val="24"/>
                <w:szCs w:val="24"/>
              </w:rPr>
              <w:t>1.23</w:t>
            </w:r>
          </w:p>
        </w:tc>
        <w:tc>
          <w:tcPr>
            <w:tcW w:w="1323" w:type="dxa"/>
            <w:vAlign w:val="center"/>
          </w:tcPr>
          <w:p w14:paraId="48CDB7A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eastAsia" w:ascii="Times New Roman" w:hAnsi="Times New Roman" w:cs="Times New Roman"/>
                <w:color w:val="auto"/>
                <w:sz w:val="24"/>
                <w:szCs w:val="24"/>
              </w:rPr>
              <w:t>40.40</w:t>
            </w:r>
          </w:p>
        </w:tc>
        <w:tc>
          <w:tcPr>
            <w:tcW w:w="1604" w:type="dxa"/>
            <w:vAlign w:val="center"/>
          </w:tcPr>
          <w:p w14:paraId="170C279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eastAsia" w:ascii="Times New Roman" w:hAnsi="Times New Roman" w:cs="Times New Roman"/>
                <w:color w:val="auto"/>
                <w:sz w:val="24"/>
                <w:szCs w:val="24"/>
              </w:rPr>
              <w:t>52.51</w:t>
            </w:r>
          </w:p>
        </w:tc>
      </w:tr>
    </w:tbl>
    <w:p w14:paraId="46EA8CD3">
      <w:pPr>
        <w:bidi w:val="0"/>
        <w:rPr>
          <w:rFonts w:hint="eastAsia"/>
          <w:color w:val="auto"/>
        </w:rPr>
      </w:pPr>
      <w:r>
        <w:rPr>
          <w:rFonts w:hint="eastAsia"/>
          <w:color w:val="auto"/>
        </w:rPr>
        <w:t>据此可求得500年一遇洪水情况下尾矿库洪水过程线分别见表4</w:t>
      </w:r>
      <w:r>
        <w:rPr>
          <w:rFonts w:hint="eastAsia"/>
          <w:color w:val="auto"/>
          <w:lang w:val="en-US" w:eastAsia="zh-CN"/>
        </w:rPr>
        <w:t>.3</w:t>
      </w:r>
      <w:r>
        <w:rPr>
          <w:rFonts w:hint="eastAsia"/>
          <w:color w:val="auto"/>
        </w:rPr>
        <w:t>-4。</w:t>
      </w:r>
    </w:p>
    <w:p w14:paraId="5F9AA8FF">
      <w:pPr>
        <w:bidi w:val="0"/>
        <w:ind w:left="0" w:leftChars="0" w:firstLine="0" w:firstLineChars="0"/>
        <w:jc w:val="center"/>
        <w:rPr>
          <w:rFonts w:hint="eastAsia"/>
          <w:color w:val="auto"/>
        </w:rPr>
      </w:pPr>
      <w:r>
        <w:rPr>
          <w:rFonts w:hint="eastAsia"/>
          <w:color w:val="auto"/>
        </w:rPr>
        <w:t>表4</w:t>
      </w:r>
      <w:r>
        <w:rPr>
          <w:rFonts w:hint="eastAsia"/>
          <w:color w:val="auto"/>
          <w:lang w:val="en-US" w:eastAsia="zh-CN"/>
        </w:rPr>
        <w:t>.3</w:t>
      </w:r>
      <w:r>
        <w:rPr>
          <w:rFonts w:hint="eastAsia"/>
          <w:color w:val="auto"/>
        </w:rPr>
        <w:t>-4 洪水过程线</w:t>
      </w:r>
    </w:p>
    <w:tbl>
      <w:tblPr>
        <w:tblStyle w:val="19"/>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384"/>
        <w:gridCol w:w="1441"/>
        <w:gridCol w:w="1755"/>
        <w:gridCol w:w="1616"/>
        <w:gridCol w:w="1616"/>
        <w:gridCol w:w="1476"/>
      </w:tblGrid>
      <w:tr w14:paraId="4B45ABE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6" w:hRule="atLeast"/>
          <w:jc w:val="center"/>
        </w:trPr>
        <w:tc>
          <w:tcPr>
            <w:tcW w:w="745" w:type="pct"/>
            <w:vMerge w:val="restart"/>
            <w:tcBorders>
              <w:right w:val="single" w:color="auto" w:sz="4" w:space="0"/>
            </w:tcBorders>
            <w:vAlign w:val="center"/>
          </w:tcPr>
          <w:p w14:paraId="6B1EFAF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eastAsia" w:ascii="Times New Roman" w:hAnsi="Times New Roman" w:cs="Times New Roman"/>
                <w:color w:val="auto"/>
                <w:sz w:val="24"/>
                <w:szCs w:val="24"/>
              </w:rPr>
              <w:t>序号</w:t>
            </w:r>
          </w:p>
        </w:tc>
        <w:tc>
          <w:tcPr>
            <w:tcW w:w="1721" w:type="pct"/>
            <w:gridSpan w:val="2"/>
            <w:tcBorders>
              <w:left w:val="single" w:color="auto" w:sz="4" w:space="0"/>
            </w:tcBorders>
            <w:vAlign w:val="center"/>
          </w:tcPr>
          <w:p w14:paraId="1E8F118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eastAsia" w:ascii="Times New Roman" w:hAnsi="Times New Roman" w:cs="Times New Roman"/>
                <w:color w:val="auto"/>
                <w:sz w:val="24"/>
                <w:szCs w:val="24"/>
              </w:rPr>
              <w:t>时间</w:t>
            </w:r>
          </w:p>
        </w:tc>
        <w:tc>
          <w:tcPr>
            <w:tcW w:w="870" w:type="pct"/>
            <w:vMerge w:val="restart"/>
            <w:vAlign w:val="center"/>
          </w:tcPr>
          <w:p w14:paraId="719F3CD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eastAsia" w:ascii="Times New Roman" w:hAnsi="Times New Roman" w:cs="Times New Roman"/>
                <w:color w:val="auto"/>
                <w:sz w:val="24"/>
                <w:szCs w:val="24"/>
              </w:rPr>
              <w:t>Q</w:t>
            </w:r>
            <w:r>
              <w:rPr>
                <w:rFonts w:hint="eastAsia" w:ascii="Times New Roman" w:hAnsi="Times New Roman" w:cs="Times New Roman"/>
                <w:color w:val="auto"/>
                <w:sz w:val="24"/>
                <w:szCs w:val="24"/>
                <w:vertAlign w:val="subscript"/>
              </w:rPr>
              <w:t>地面</w:t>
            </w:r>
          </w:p>
          <w:p w14:paraId="04ED8F5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eastAsia" w:ascii="宋体" w:hAnsi="宋体" w:eastAsia="宋体" w:cs="宋体"/>
                <w:color w:val="auto"/>
                <w:sz w:val="24"/>
                <w:szCs w:val="24"/>
              </w:rPr>
              <w:t>(</w:t>
            </w:r>
            <w:r>
              <w:rPr>
                <w:rFonts w:hint="eastAsia" w:ascii="Times New Roman" w:hAnsi="Times New Roman" w:cs="Times New Roman"/>
                <w:color w:val="auto"/>
                <w:sz w:val="24"/>
                <w:szCs w:val="24"/>
              </w:rPr>
              <w:t>m</w:t>
            </w:r>
            <w:r>
              <w:rPr>
                <w:rFonts w:hint="eastAsia" w:ascii="Times New Roman" w:hAnsi="Times New Roman" w:cs="Times New Roman"/>
                <w:color w:val="auto"/>
                <w:sz w:val="24"/>
                <w:szCs w:val="24"/>
                <w:vertAlign w:val="superscript"/>
              </w:rPr>
              <w:t>3</w:t>
            </w:r>
            <w:r>
              <w:rPr>
                <w:rFonts w:hint="eastAsia" w:ascii="Times New Roman" w:hAnsi="Times New Roman" w:cs="Times New Roman"/>
                <w:color w:val="auto"/>
                <w:sz w:val="24"/>
                <w:szCs w:val="24"/>
              </w:rPr>
              <w:t>/s</w:t>
            </w:r>
            <w:r>
              <w:rPr>
                <w:rFonts w:hint="eastAsia" w:ascii="宋体" w:hAnsi="宋体" w:eastAsia="宋体" w:cs="宋体"/>
                <w:color w:val="auto"/>
                <w:sz w:val="24"/>
                <w:szCs w:val="24"/>
              </w:rPr>
              <w:t>)</w:t>
            </w:r>
          </w:p>
        </w:tc>
        <w:tc>
          <w:tcPr>
            <w:tcW w:w="870" w:type="pct"/>
            <w:vMerge w:val="restart"/>
            <w:vAlign w:val="center"/>
          </w:tcPr>
          <w:p w14:paraId="28A1066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4"/>
                <w:szCs w:val="24"/>
              </w:rPr>
            </w:pPr>
            <w:r>
              <w:rPr>
                <w:rFonts w:hint="eastAsia" w:ascii="Times New Roman" w:hAnsi="Times New Roman" w:cs="Times New Roman"/>
                <w:color w:val="auto"/>
                <w:sz w:val="24"/>
                <w:szCs w:val="24"/>
              </w:rPr>
              <w:t>Q</w:t>
            </w:r>
            <w:r>
              <w:rPr>
                <w:rFonts w:hint="eastAsia" w:ascii="宋体" w:hAnsi="宋体" w:eastAsia="宋体" w:cs="宋体"/>
                <w:color w:val="auto"/>
                <w:sz w:val="24"/>
                <w:szCs w:val="24"/>
                <w:vertAlign w:val="subscript"/>
              </w:rPr>
              <w:t>地下</w:t>
            </w:r>
          </w:p>
          <w:p w14:paraId="447F525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eastAsia" w:ascii="宋体" w:hAnsi="宋体" w:eastAsia="宋体" w:cs="宋体"/>
                <w:color w:val="auto"/>
                <w:sz w:val="24"/>
                <w:szCs w:val="24"/>
              </w:rPr>
              <w:t>(</w:t>
            </w:r>
            <w:r>
              <w:rPr>
                <w:rFonts w:hint="eastAsia" w:ascii="Times New Roman" w:hAnsi="Times New Roman" w:cs="Times New Roman"/>
                <w:color w:val="auto"/>
                <w:sz w:val="24"/>
                <w:szCs w:val="24"/>
              </w:rPr>
              <w:t>m</w:t>
            </w:r>
            <w:r>
              <w:rPr>
                <w:rFonts w:hint="eastAsia" w:ascii="Times New Roman" w:hAnsi="Times New Roman" w:cs="Times New Roman"/>
                <w:color w:val="auto"/>
                <w:sz w:val="24"/>
                <w:szCs w:val="24"/>
                <w:vertAlign w:val="superscript"/>
              </w:rPr>
              <w:t>3</w:t>
            </w:r>
            <w:r>
              <w:rPr>
                <w:rFonts w:hint="eastAsia" w:ascii="Times New Roman" w:hAnsi="Times New Roman" w:cs="Times New Roman"/>
                <w:color w:val="auto"/>
                <w:sz w:val="24"/>
                <w:szCs w:val="24"/>
              </w:rPr>
              <w:t>/s</w:t>
            </w:r>
            <w:r>
              <w:rPr>
                <w:rFonts w:hint="eastAsia" w:ascii="宋体" w:hAnsi="宋体" w:eastAsia="宋体" w:cs="宋体"/>
                <w:color w:val="auto"/>
                <w:sz w:val="24"/>
                <w:szCs w:val="24"/>
              </w:rPr>
              <w:t>)</w:t>
            </w:r>
          </w:p>
        </w:tc>
        <w:tc>
          <w:tcPr>
            <w:tcW w:w="794" w:type="pct"/>
            <w:vMerge w:val="restart"/>
            <w:vAlign w:val="center"/>
          </w:tcPr>
          <w:p w14:paraId="6385D06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eastAsia" w:ascii="Times New Roman" w:hAnsi="Times New Roman" w:cs="Times New Roman"/>
                <w:color w:val="auto"/>
                <w:sz w:val="24"/>
                <w:szCs w:val="24"/>
              </w:rPr>
              <w:t>Q</w:t>
            </w:r>
            <w:r>
              <w:rPr>
                <w:rFonts w:hint="eastAsia" w:ascii="Times New Roman" w:hAnsi="Times New Roman" w:cs="Times New Roman"/>
                <w:color w:val="auto"/>
                <w:sz w:val="24"/>
                <w:szCs w:val="24"/>
                <w:vertAlign w:val="subscript"/>
              </w:rPr>
              <w:t>t</w:t>
            </w:r>
          </w:p>
          <w:p w14:paraId="1F98FD9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eastAsia" w:ascii="宋体" w:hAnsi="宋体" w:eastAsia="宋体" w:cs="宋体"/>
                <w:color w:val="auto"/>
                <w:sz w:val="24"/>
                <w:szCs w:val="24"/>
              </w:rPr>
              <w:t>(</w:t>
            </w:r>
            <w:r>
              <w:rPr>
                <w:rFonts w:hint="eastAsia" w:ascii="Times New Roman" w:hAnsi="Times New Roman" w:cs="Times New Roman"/>
                <w:color w:val="auto"/>
                <w:sz w:val="24"/>
                <w:szCs w:val="24"/>
              </w:rPr>
              <w:t>m</w:t>
            </w:r>
            <w:r>
              <w:rPr>
                <w:rFonts w:hint="eastAsia" w:ascii="Times New Roman" w:hAnsi="Times New Roman" w:cs="Times New Roman"/>
                <w:color w:val="auto"/>
                <w:sz w:val="24"/>
                <w:szCs w:val="24"/>
                <w:vertAlign w:val="superscript"/>
              </w:rPr>
              <w:t>3</w:t>
            </w:r>
            <w:r>
              <w:rPr>
                <w:rFonts w:hint="eastAsia" w:ascii="Times New Roman" w:hAnsi="Times New Roman" w:cs="Times New Roman"/>
                <w:color w:val="auto"/>
                <w:sz w:val="24"/>
                <w:szCs w:val="24"/>
              </w:rPr>
              <w:t>/s</w:t>
            </w:r>
            <w:r>
              <w:rPr>
                <w:rFonts w:hint="eastAsia" w:ascii="宋体" w:hAnsi="宋体" w:eastAsia="宋体" w:cs="宋体"/>
                <w:color w:val="auto"/>
                <w:sz w:val="24"/>
                <w:szCs w:val="24"/>
              </w:rPr>
              <w:t>)</w:t>
            </w:r>
          </w:p>
        </w:tc>
      </w:tr>
      <w:tr w14:paraId="60B5BCA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24" w:hRule="atLeast"/>
          <w:jc w:val="center"/>
        </w:trPr>
        <w:tc>
          <w:tcPr>
            <w:tcW w:w="745" w:type="pct"/>
            <w:vMerge w:val="continue"/>
            <w:tcBorders>
              <w:bottom w:val="single" w:color="auto" w:sz="4" w:space="0"/>
              <w:right w:val="single" w:color="auto" w:sz="4" w:space="0"/>
            </w:tcBorders>
            <w:vAlign w:val="center"/>
          </w:tcPr>
          <w:p w14:paraId="4AE178A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p>
        </w:tc>
        <w:tc>
          <w:tcPr>
            <w:tcW w:w="776" w:type="pct"/>
            <w:tcBorders>
              <w:left w:val="single" w:color="auto" w:sz="4" w:space="0"/>
            </w:tcBorders>
            <w:vAlign w:val="center"/>
          </w:tcPr>
          <w:p w14:paraId="46DEFC3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eastAsia" w:ascii="Times New Roman" w:hAnsi="Times New Roman" w:cs="Times New Roman"/>
                <w:color w:val="auto"/>
                <w:sz w:val="24"/>
                <w:szCs w:val="24"/>
              </w:rPr>
              <w:t>t</w:t>
            </w:r>
            <w:r>
              <w:rPr>
                <w:rFonts w:hint="eastAsia" w:ascii="宋体" w:hAnsi="宋体" w:eastAsia="宋体" w:cs="宋体"/>
                <w:color w:val="auto"/>
                <w:sz w:val="24"/>
                <w:szCs w:val="24"/>
              </w:rPr>
              <w:t>(</w:t>
            </w:r>
            <w:r>
              <w:rPr>
                <w:rFonts w:hint="eastAsia" w:ascii="Times New Roman" w:hAnsi="Times New Roman" w:cs="Times New Roman"/>
                <w:color w:val="auto"/>
                <w:sz w:val="24"/>
                <w:szCs w:val="24"/>
              </w:rPr>
              <w:t>小时</w:t>
            </w:r>
            <w:r>
              <w:rPr>
                <w:rFonts w:hint="eastAsia" w:ascii="宋体" w:hAnsi="宋体" w:eastAsia="宋体" w:cs="宋体"/>
                <w:color w:val="auto"/>
                <w:sz w:val="24"/>
                <w:szCs w:val="24"/>
              </w:rPr>
              <w:t>)</w:t>
            </w:r>
          </w:p>
        </w:tc>
        <w:tc>
          <w:tcPr>
            <w:tcW w:w="945" w:type="pct"/>
            <w:vAlign w:val="center"/>
          </w:tcPr>
          <w:p w14:paraId="737F418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eastAsia" w:ascii="Times New Roman" w:hAnsi="Times New Roman" w:cs="Times New Roman"/>
                <w:color w:val="auto"/>
                <w:sz w:val="24"/>
                <w:szCs w:val="24"/>
              </w:rPr>
              <w:t>△t</w:t>
            </w:r>
            <w:r>
              <w:rPr>
                <w:rFonts w:hint="eastAsia" w:ascii="宋体" w:hAnsi="宋体" w:eastAsia="宋体" w:cs="宋体"/>
                <w:color w:val="auto"/>
                <w:sz w:val="24"/>
                <w:szCs w:val="24"/>
              </w:rPr>
              <w:t>(</w:t>
            </w:r>
            <w:r>
              <w:rPr>
                <w:rFonts w:hint="eastAsia" w:ascii="Times New Roman" w:hAnsi="Times New Roman" w:cs="Times New Roman"/>
                <w:color w:val="auto"/>
                <w:sz w:val="24"/>
                <w:szCs w:val="24"/>
              </w:rPr>
              <w:t>小时</w:t>
            </w:r>
            <w:r>
              <w:rPr>
                <w:rFonts w:hint="eastAsia" w:ascii="宋体" w:hAnsi="宋体" w:eastAsia="宋体" w:cs="宋体"/>
                <w:color w:val="auto"/>
                <w:sz w:val="24"/>
                <w:szCs w:val="24"/>
              </w:rPr>
              <w:t>)</w:t>
            </w:r>
          </w:p>
        </w:tc>
        <w:tc>
          <w:tcPr>
            <w:tcW w:w="870" w:type="pct"/>
            <w:vMerge w:val="continue"/>
            <w:vAlign w:val="center"/>
          </w:tcPr>
          <w:p w14:paraId="740250B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p>
        </w:tc>
        <w:tc>
          <w:tcPr>
            <w:tcW w:w="870" w:type="pct"/>
            <w:vMerge w:val="continue"/>
            <w:vAlign w:val="center"/>
          </w:tcPr>
          <w:p w14:paraId="17DFEAA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p>
        </w:tc>
        <w:tc>
          <w:tcPr>
            <w:tcW w:w="794" w:type="pct"/>
            <w:vMerge w:val="continue"/>
            <w:vAlign w:val="center"/>
          </w:tcPr>
          <w:p w14:paraId="043AD97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p>
        </w:tc>
      </w:tr>
      <w:tr w14:paraId="735D619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3" w:hRule="atLeast"/>
          <w:jc w:val="center"/>
        </w:trPr>
        <w:tc>
          <w:tcPr>
            <w:tcW w:w="745" w:type="pct"/>
            <w:tcBorders>
              <w:top w:val="single" w:color="auto" w:sz="4" w:space="0"/>
              <w:right w:val="single" w:color="auto" w:sz="4" w:space="0"/>
            </w:tcBorders>
            <w:vAlign w:val="center"/>
          </w:tcPr>
          <w:p w14:paraId="3712B69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1</w:t>
            </w:r>
          </w:p>
        </w:tc>
        <w:tc>
          <w:tcPr>
            <w:tcW w:w="776" w:type="pct"/>
            <w:tcBorders>
              <w:left w:val="single" w:color="auto" w:sz="4" w:space="0"/>
            </w:tcBorders>
            <w:vAlign w:val="center"/>
          </w:tcPr>
          <w:p w14:paraId="63F2D47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0.00</w:t>
            </w:r>
          </w:p>
        </w:tc>
        <w:tc>
          <w:tcPr>
            <w:tcW w:w="945" w:type="pct"/>
            <w:vAlign w:val="center"/>
          </w:tcPr>
          <w:p w14:paraId="75CD690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0.00</w:t>
            </w:r>
          </w:p>
        </w:tc>
        <w:tc>
          <w:tcPr>
            <w:tcW w:w="870" w:type="pct"/>
            <w:vAlign w:val="center"/>
          </w:tcPr>
          <w:p w14:paraId="64438AF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0.00</w:t>
            </w:r>
          </w:p>
        </w:tc>
        <w:tc>
          <w:tcPr>
            <w:tcW w:w="870" w:type="pct"/>
            <w:vAlign w:val="center"/>
          </w:tcPr>
          <w:p w14:paraId="0E37C42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0.00</w:t>
            </w:r>
          </w:p>
        </w:tc>
        <w:tc>
          <w:tcPr>
            <w:tcW w:w="794" w:type="pct"/>
            <w:vAlign w:val="center"/>
          </w:tcPr>
          <w:p w14:paraId="0C6E025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0.00</w:t>
            </w:r>
          </w:p>
        </w:tc>
      </w:tr>
      <w:tr w14:paraId="7E6DAE7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5" w:hRule="atLeast"/>
          <w:jc w:val="center"/>
        </w:trPr>
        <w:tc>
          <w:tcPr>
            <w:tcW w:w="745" w:type="pct"/>
            <w:tcBorders>
              <w:right w:val="single" w:color="auto" w:sz="4" w:space="0"/>
            </w:tcBorders>
            <w:vAlign w:val="center"/>
          </w:tcPr>
          <w:p w14:paraId="60765D8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w:t>
            </w:r>
          </w:p>
        </w:tc>
        <w:tc>
          <w:tcPr>
            <w:tcW w:w="776" w:type="pct"/>
            <w:tcBorders>
              <w:left w:val="single" w:color="auto" w:sz="4" w:space="0"/>
            </w:tcBorders>
            <w:vAlign w:val="center"/>
          </w:tcPr>
          <w:p w14:paraId="37EE3B2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0.83</w:t>
            </w:r>
          </w:p>
        </w:tc>
        <w:tc>
          <w:tcPr>
            <w:tcW w:w="945" w:type="pct"/>
            <w:vAlign w:val="center"/>
          </w:tcPr>
          <w:p w14:paraId="495F91A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0.83</w:t>
            </w:r>
          </w:p>
        </w:tc>
        <w:tc>
          <w:tcPr>
            <w:tcW w:w="870" w:type="pct"/>
            <w:vAlign w:val="center"/>
          </w:tcPr>
          <w:p w14:paraId="726432C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22.41</w:t>
            </w:r>
          </w:p>
        </w:tc>
        <w:tc>
          <w:tcPr>
            <w:tcW w:w="870" w:type="pct"/>
            <w:vAlign w:val="center"/>
          </w:tcPr>
          <w:p w14:paraId="08FDA89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0.80</w:t>
            </w:r>
          </w:p>
        </w:tc>
        <w:tc>
          <w:tcPr>
            <w:tcW w:w="794" w:type="pct"/>
            <w:vAlign w:val="center"/>
          </w:tcPr>
          <w:p w14:paraId="063A1CC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23.21</w:t>
            </w:r>
          </w:p>
        </w:tc>
      </w:tr>
      <w:tr w14:paraId="3D20638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5" w:hRule="atLeast"/>
          <w:jc w:val="center"/>
        </w:trPr>
        <w:tc>
          <w:tcPr>
            <w:tcW w:w="745" w:type="pct"/>
            <w:tcBorders>
              <w:right w:val="single" w:color="auto" w:sz="4" w:space="0"/>
            </w:tcBorders>
            <w:vAlign w:val="center"/>
          </w:tcPr>
          <w:p w14:paraId="50CA03D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3</w:t>
            </w:r>
          </w:p>
        </w:tc>
        <w:tc>
          <w:tcPr>
            <w:tcW w:w="776" w:type="pct"/>
            <w:tcBorders>
              <w:left w:val="single" w:color="auto" w:sz="4" w:space="0"/>
            </w:tcBorders>
            <w:vAlign w:val="center"/>
          </w:tcPr>
          <w:p w14:paraId="7101FA0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2.07</w:t>
            </w:r>
          </w:p>
        </w:tc>
        <w:tc>
          <w:tcPr>
            <w:tcW w:w="945" w:type="pct"/>
            <w:vAlign w:val="center"/>
          </w:tcPr>
          <w:p w14:paraId="73E22E8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1.24</w:t>
            </w:r>
          </w:p>
        </w:tc>
        <w:tc>
          <w:tcPr>
            <w:tcW w:w="870" w:type="pct"/>
            <w:vAlign w:val="center"/>
          </w:tcPr>
          <w:p w14:paraId="47206D5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224.09</w:t>
            </w:r>
          </w:p>
        </w:tc>
        <w:tc>
          <w:tcPr>
            <w:tcW w:w="870" w:type="pct"/>
            <w:vAlign w:val="center"/>
          </w:tcPr>
          <w:p w14:paraId="420EF97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2.00</w:t>
            </w:r>
          </w:p>
        </w:tc>
        <w:tc>
          <w:tcPr>
            <w:tcW w:w="794" w:type="pct"/>
            <w:vAlign w:val="center"/>
          </w:tcPr>
          <w:p w14:paraId="5385552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226.09</w:t>
            </w:r>
          </w:p>
        </w:tc>
      </w:tr>
      <w:tr w14:paraId="5FC039B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5" w:hRule="atLeast"/>
          <w:jc w:val="center"/>
        </w:trPr>
        <w:tc>
          <w:tcPr>
            <w:tcW w:w="745" w:type="pct"/>
            <w:tcBorders>
              <w:right w:val="single" w:color="auto" w:sz="4" w:space="0"/>
            </w:tcBorders>
            <w:vAlign w:val="center"/>
          </w:tcPr>
          <w:p w14:paraId="1E96176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4</w:t>
            </w:r>
          </w:p>
        </w:tc>
        <w:tc>
          <w:tcPr>
            <w:tcW w:w="776" w:type="pct"/>
            <w:tcBorders>
              <w:left w:val="single" w:color="auto" w:sz="4" w:space="0"/>
            </w:tcBorders>
            <w:vAlign w:val="center"/>
          </w:tcPr>
          <w:p w14:paraId="7F0C34C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4.14</w:t>
            </w:r>
          </w:p>
        </w:tc>
        <w:tc>
          <w:tcPr>
            <w:tcW w:w="945" w:type="pct"/>
            <w:vAlign w:val="center"/>
          </w:tcPr>
          <w:p w14:paraId="12510A1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2.07</w:t>
            </w:r>
          </w:p>
        </w:tc>
        <w:tc>
          <w:tcPr>
            <w:tcW w:w="870" w:type="pct"/>
            <w:vAlign w:val="center"/>
          </w:tcPr>
          <w:p w14:paraId="49FCC18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44.82</w:t>
            </w:r>
          </w:p>
        </w:tc>
        <w:tc>
          <w:tcPr>
            <w:tcW w:w="870" w:type="pct"/>
            <w:vAlign w:val="center"/>
          </w:tcPr>
          <w:p w14:paraId="009992E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4.00</w:t>
            </w:r>
          </w:p>
        </w:tc>
        <w:tc>
          <w:tcPr>
            <w:tcW w:w="794" w:type="pct"/>
            <w:vAlign w:val="center"/>
          </w:tcPr>
          <w:p w14:paraId="1EA5F54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48.81</w:t>
            </w:r>
          </w:p>
        </w:tc>
      </w:tr>
      <w:tr w14:paraId="3205439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5" w:hRule="atLeast"/>
          <w:jc w:val="center"/>
        </w:trPr>
        <w:tc>
          <w:tcPr>
            <w:tcW w:w="745" w:type="pct"/>
            <w:tcBorders>
              <w:right w:val="single" w:color="auto" w:sz="4" w:space="0"/>
            </w:tcBorders>
            <w:vAlign w:val="center"/>
          </w:tcPr>
          <w:p w14:paraId="6C73871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5</w:t>
            </w:r>
          </w:p>
        </w:tc>
        <w:tc>
          <w:tcPr>
            <w:tcW w:w="776" w:type="pct"/>
            <w:tcBorders>
              <w:left w:val="single" w:color="auto" w:sz="4" w:space="0"/>
            </w:tcBorders>
            <w:vAlign w:val="center"/>
          </w:tcPr>
          <w:p w14:paraId="2712A93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8.29</w:t>
            </w:r>
          </w:p>
        </w:tc>
        <w:tc>
          <w:tcPr>
            <w:tcW w:w="945" w:type="pct"/>
            <w:vAlign w:val="center"/>
          </w:tcPr>
          <w:p w14:paraId="11F37D6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4.14</w:t>
            </w:r>
          </w:p>
        </w:tc>
        <w:tc>
          <w:tcPr>
            <w:tcW w:w="870" w:type="pct"/>
            <w:vAlign w:val="center"/>
          </w:tcPr>
          <w:p w14:paraId="451D9B2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0.00</w:t>
            </w:r>
          </w:p>
        </w:tc>
        <w:tc>
          <w:tcPr>
            <w:tcW w:w="870" w:type="pct"/>
            <w:vAlign w:val="center"/>
          </w:tcPr>
          <w:p w14:paraId="1BD5E16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7.98</w:t>
            </w:r>
          </w:p>
        </w:tc>
        <w:tc>
          <w:tcPr>
            <w:tcW w:w="794" w:type="pct"/>
            <w:vAlign w:val="center"/>
          </w:tcPr>
          <w:p w14:paraId="773471F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7.98</w:t>
            </w:r>
          </w:p>
        </w:tc>
      </w:tr>
      <w:tr w14:paraId="738DC92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5" w:hRule="atLeast"/>
          <w:jc w:val="center"/>
        </w:trPr>
        <w:tc>
          <w:tcPr>
            <w:tcW w:w="745" w:type="pct"/>
            <w:tcBorders>
              <w:right w:val="single" w:color="auto" w:sz="4" w:space="0"/>
            </w:tcBorders>
            <w:vAlign w:val="center"/>
          </w:tcPr>
          <w:p w14:paraId="0EFE9B2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6</w:t>
            </w:r>
          </w:p>
        </w:tc>
        <w:tc>
          <w:tcPr>
            <w:tcW w:w="776" w:type="pct"/>
            <w:tcBorders>
              <w:left w:val="single" w:color="auto" w:sz="4" w:space="0"/>
            </w:tcBorders>
            <w:vAlign w:val="center"/>
          </w:tcPr>
          <w:p w14:paraId="5892C97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9.29</w:t>
            </w:r>
          </w:p>
        </w:tc>
        <w:tc>
          <w:tcPr>
            <w:tcW w:w="945" w:type="pct"/>
            <w:vAlign w:val="center"/>
          </w:tcPr>
          <w:p w14:paraId="12487B3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1.00</w:t>
            </w:r>
          </w:p>
        </w:tc>
        <w:tc>
          <w:tcPr>
            <w:tcW w:w="870" w:type="pct"/>
            <w:vAlign w:val="center"/>
          </w:tcPr>
          <w:p w14:paraId="01AC507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c>
          <w:tcPr>
            <w:tcW w:w="870" w:type="pct"/>
            <w:vAlign w:val="center"/>
          </w:tcPr>
          <w:p w14:paraId="4A97AA6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7.02</w:t>
            </w:r>
          </w:p>
        </w:tc>
        <w:tc>
          <w:tcPr>
            <w:tcW w:w="794" w:type="pct"/>
            <w:vAlign w:val="center"/>
          </w:tcPr>
          <w:p w14:paraId="37708AE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7.02</w:t>
            </w:r>
          </w:p>
        </w:tc>
      </w:tr>
      <w:tr w14:paraId="5C297F8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195" w:hRule="atLeast"/>
          <w:jc w:val="center"/>
        </w:trPr>
        <w:tc>
          <w:tcPr>
            <w:tcW w:w="745" w:type="pct"/>
            <w:tcBorders>
              <w:right w:val="single" w:color="auto" w:sz="4" w:space="0"/>
            </w:tcBorders>
            <w:vAlign w:val="center"/>
          </w:tcPr>
          <w:p w14:paraId="216C074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7</w:t>
            </w:r>
          </w:p>
        </w:tc>
        <w:tc>
          <w:tcPr>
            <w:tcW w:w="776" w:type="pct"/>
            <w:tcBorders>
              <w:left w:val="single" w:color="auto" w:sz="4" w:space="0"/>
            </w:tcBorders>
            <w:vAlign w:val="center"/>
          </w:tcPr>
          <w:p w14:paraId="4860550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10.29</w:t>
            </w:r>
          </w:p>
        </w:tc>
        <w:tc>
          <w:tcPr>
            <w:tcW w:w="945" w:type="pct"/>
            <w:vAlign w:val="center"/>
          </w:tcPr>
          <w:p w14:paraId="32ABFC9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1.00</w:t>
            </w:r>
          </w:p>
        </w:tc>
        <w:tc>
          <w:tcPr>
            <w:tcW w:w="870" w:type="pct"/>
            <w:vAlign w:val="center"/>
          </w:tcPr>
          <w:p w14:paraId="0B06D68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c>
          <w:tcPr>
            <w:tcW w:w="870" w:type="pct"/>
            <w:vAlign w:val="center"/>
          </w:tcPr>
          <w:p w14:paraId="2061859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6.06</w:t>
            </w:r>
          </w:p>
        </w:tc>
        <w:tc>
          <w:tcPr>
            <w:tcW w:w="794" w:type="pct"/>
            <w:vAlign w:val="center"/>
          </w:tcPr>
          <w:p w14:paraId="584EA55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6.06</w:t>
            </w:r>
          </w:p>
        </w:tc>
      </w:tr>
      <w:tr w14:paraId="188D76E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5" w:hRule="atLeast"/>
          <w:jc w:val="center"/>
        </w:trPr>
        <w:tc>
          <w:tcPr>
            <w:tcW w:w="745" w:type="pct"/>
            <w:tcBorders>
              <w:right w:val="single" w:color="auto" w:sz="4" w:space="0"/>
            </w:tcBorders>
            <w:vAlign w:val="center"/>
          </w:tcPr>
          <w:p w14:paraId="3F0F1D9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8</w:t>
            </w:r>
          </w:p>
        </w:tc>
        <w:tc>
          <w:tcPr>
            <w:tcW w:w="776" w:type="pct"/>
            <w:tcBorders>
              <w:left w:val="single" w:color="auto" w:sz="4" w:space="0"/>
            </w:tcBorders>
            <w:vAlign w:val="center"/>
          </w:tcPr>
          <w:p w14:paraId="41EFDE4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11.29</w:t>
            </w:r>
          </w:p>
        </w:tc>
        <w:tc>
          <w:tcPr>
            <w:tcW w:w="945" w:type="pct"/>
            <w:vAlign w:val="center"/>
          </w:tcPr>
          <w:p w14:paraId="2A2E7C1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1.00</w:t>
            </w:r>
          </w:p>
        </w:tc>
        <w:tc>
          <w:tcPr>
            <w:tcW w:w="870" w:type="pct"/>
            <w:vAlign w:val="center"/>
          </w:tcPr>
          <w:p w14:paraId="545B70B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c>
          <w:tcPr>
            <w:tcW w:w="870" w:type="pct"/>
            <w:vAlign w:val="center"/>
          </w:tcPr>
          <w:p w14:paraId="52FF3D8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5.10</w:t>
            </w:r>
          </w:p>
        </w:tc>
        <w:tc>
          <w:tcPr>
            <w:tcW w:w="794" w:type="pct"/>
            <w:vAlign w:val="center"/>
          </w:tcPr>
          <w:p w14:paraId="24E8F86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5.10</w:t>
            </w:r>
          </w:p>
        </w:tc>
      </w:tr>
      <w:tr w14:paraId="5C8DF68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5" w:hRule="atLeast"/>
          <w:jc w:val="center"/>
        </w:trPr>
        <w:tc>
          <w:tcPr>
            <w:tcW w:w="745" w:type="pct"/>
            <w:tcBorders>
              <w:right w:val="single" w:color="auto" w:sz="4" w:space="0"/>
            </w:tcBorders>
            <w:vAlign w:val="center"/>
          </w:tcPr>
          <w:p w14:paraId="0616872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9</w:t>
            </w:r>
          </w:p>
        </w:tc>
        <w:tc>
          <w:tcPr>
            <w:tcW w:w="776" w:type="pct"/>
            <w:tcBorders>
              <w:left w:val="single" w:color="auto" w:sz="4" w:space="0"/>
            </w:tcBorders>
            <w:vAlign w:val="center"/>
          </w:tcPr>
          <w:p w14:paraId="294CC9B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12.29</w:t>
            </w:r>
          </w:p>
        </w:tc>
        <w:tc>
          <w:tcPr>
            <w:tcW w:w="945" w:type="pct"/>
            <w:vAlign w:val="center"/>
          </w:tcPr>
          <w:p w14:paraId="01E2B7A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1.00</w:t>
            </w:r>
          </w:p>
        </w:tc>
        <w:tc>
          <w:tcPr>
            <w:tcW w:w="870" w:type="pct"/>
            <w:vAlign w:val="center"/>
          </w:tcPr>
          <w:p w14:paraId="71ABB95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c>
          <w:tcPr>
            <w:tcW w:w="870" w:type="pct"/>
            <w:vAlign w:val="center"/>
          </w:tcPr>
          <w:p w14:paraId="63F2F3C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4.13</w:t>
            </w:r>
          </w:p>
        </w:tc>
        <w:tc>
          <w:tcPr>
            <w:tcW w:w="794" w:type="pct"/>
            <w:vAlign w:val="center"/>
          </w:tcPr>
          <w:p w14:paraId="7A7E5BA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4.13</w:t>
            </w:r>
          </w:p>
        </w:tc>
      </w:tr>
      <w:tr w14:paraId="4DD28DB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5" w:hRule="atLeast"/>
          <w:jc w:val="center"/>
        </w:trPr>
        <w:tc>
          <w:tcPr>
            <w:tcW w:w="745" w:type="pct"/>
            <w:tcBorders>
              <w:right w:val="single" w:color="auto" w:sz="4" w:space="0"/>
            </w:tcBorders>
            <w:vAlign w:val="center"/>
          </w:tcPr>
          <w:p w14:paraId="4D372DA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10</w:t>
            </w:r>
          </w:p>
        </w:tc>
        <w:tc>
          <w:tcPr>
            <w:tcW w:w="776" w:type="pct"/>
            <w:tcBorders>
              <w:left w:val="single" w:color="auto" w:sz="4" w:space="0"/>
            </w:tcBorders>
            <w:vAlign w:val="center"/>
          </w:tcPr>
          <w:p w14:paraId="58DF114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13.29</w:t>
            </w:r>
          </w:p>
        </w:tc>
        <w:tc>
          <w:tcPr>
            <w:tcW w:w="945" w:type="pct"/>
            <w:vAlign w:val="center"/>
          </w:tcPr>
          <w:p w14:paraId="00A6675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1.00</w:t>
            </w:r>
          </w:p>
        </w:tc>
        <w:tc>
          <w:tcPr>
            <w:tcW w:w="870" w:type="pct"/>
            <w:vAlign w:val="center"/>
          </w:tcPr>
          <w:p w14:paraId="0AD78EA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c>
          <w:tcPr>
            <w:tcW w:w="870" w:type="pct"/>
            <w:vAlign w:val="center"/>
          </w:tcPr>
          <w:p w14:paraId="0A88AE4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3.17</w:t>
            </w:r>
          </w:p>
        </w:tc>
        <w:tc>
          <w:tcPr>
            <w:tcW w:w="794" w:type="pct"/>
            <w:vAlign w:val="center"/>
          </w:tcPr>
          <w:p w14:paraId="3891D62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3.17</w:t>
            </w:r>
          </w:p>
        </w:tc>
      </w:tr>
      <w:tr w14:paraId="428237C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5" w:hRule="atLeast"/>
          <w:jc w:val="center"/>
        </w:trPr>
        <w:tc>
          <w:tcPr>
            <w:tcW w:w="745" w:type="pct"/>
            <w:tcBorders>
              <w:right w:val="single" w:color="auto" w:sz="4" w:space="0"/>
            </w:tcBorders>
            <w:vAlign w:val="center"/>
          </w:tcPr>
          <w:p w14:paraId="2194B14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11</w:t>
            </w:r>
          </w:p>
        </w:tc>
        <w:tc>
          <w:tcPr>
            <w:tcW w:w="776" w:type="pct"/>
            <w:tcBorders>
              <w:left w:val="single" w:color="auto" w:sz="4" w:space="0"/>
            </w:tcBorders>
            <w:vAlign w:val="center"/>
          </w:tcPr>
          <w:p w14:paraId="6060CE6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14.29</w:t>
            </w:r>
          </w:p>
        </w:tc>
        <w:tc>
          <w:tcPr>
            <w:tcW w:w="945" w:type="pct"/>
            <w:vAlign w:val="center"/>
          </w:tcPr>
          <w:p w14:paraId="7CDBEDD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1.00</w:t>
            </w:r>
          </w:p>
        </w:tc>
        <w:tc>
          <w:tcPr>
            <w:tcW w:w="870" w:type="pct"/>
            <w:vAlign w:val="center"/>
          </w:tcPr>
          <w:p w14:paraId="1C3FF41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c>
          <w:tcPr>
            <w:tcW w:w="870" w:type="pct"/>
            <w:vAlign w:val="center"/>
          </w:tcPr>
          <w:p w14:paraId="5C84365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2.21</w:t>
            </w:r>
          </w:p>
        </w:tc>
        <w:tc>
          <w:tcPr>
            <w:tcW w:w="794" w:type="pct"/>
            <w:vAlign w:val="center"/>
          </w:tcPr>
          <w:p w14:paraId="572506C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2.21</w:t>
            </w:r>
          </w:p>
        </w:tc>
      </w:tr>
      <w:tr w14:paraId="6671EA1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5" w:hRule="atLeast"/>
          <w:jc w:val="center"/>
        </w:trPr>
        <w:tc>
          <w:tcPr>
            <w:tcW w:w="745" w:type="pct"/>
            <w:tcBorders>
              <w:right w:val="single" w:color="auto" w:sz="4" w:space="0"/>
            </w:tcBorders>
            <w:vAlign w:val="center"/>
          </w:tcPr>
          <w:p w14:paraId="18A33A5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12</w:t>
            </w:r>
          </w:p>
        </w:tc>
        <w:tc>
          <w:tcPr>
            <w:tcW w:w="776" w:type="pct"/>
            <w:tcBorders>
              <w:left w:val="single" w:color="auto" w:sz="4" w:space="0"/>
            </w:tcBorders>
            <w:vAlign w:val="center"/>
          </w:tcPr>
          <w:p w14:paraId="4902F6E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15.29</w:t>
            </w:r>
          </w:p>
        </w:tc>
        <w:tc>
          <w:tcPr>
            <w:tcW w:w="945" w:type="pct"/>
            <w:vAlign w:val="center"/>
          </w:tcPr>
          <w:p w14:paraId="11C6ABB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1.00</w:t>
            </w:r>
          </w:p>
        </w:tc>
        <w:tc>
          <w:tcPr>
            <w:tcW w:w="870" w:type="pct"/>
            <w:vAlign w:val="center"/>
          </w:tcPr>
          <w:p w14:paraId="0DB6ADB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c>
          <w:tcPr>
            <w:tcW w:w="870" w:type="pct"/>
            <w:vAlign w:val="center"/>
          </w:tcPr>
          <w:p w14:paraId="34328F8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1.25</w:t>
            </w:r>
          </w:p>
        </w:tc>
        <w:tc>
          <w:tcPr>
            <w:tcW w:w="794" w:type="pct"/>
            <w:vAlign w:val="center"/>
          </w:tcPr>
          <w:p w14:paraId="12B936A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1.25</w:t>
            </w:r>
          </w:p>
        </w:tc>
      </w:tr>
      <w:tr w14:paraId="51118B6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5" w:hRule="atLeast"/>
          <w:jc w:val="center"/>
        </w:trPr>
        <w:tc>
          <w:tcPr>
            <w:tcW w:w="745" w:type="pct"/>
            <w:tcBorders>
              <w:right w:val="single" w:color="auto" w:sz="4" w:space="0"/>
            </w:tcBorders>
            <w:vAlign w:val="center"/>
          </w:tcPr>
          <w:p w14:paraId="3B2DB31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13</w:t>
            </w:r>
          </w:p>
        </w:tc>
        <w:tc>
          <w:tcPr>
            <w:tcW w:w="776" w:type="pct"/>
            <w:tcBorders>
              <w:left w:val="single" w:color="auto" w:sz="4" w:space="0"/>
            </w:tcBorders>
            <w:vAlign w:val="center"/>
          </w:tcPr>
          <w:p w14:paraId="633C718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16.29</w:t>
            </w:r>
          </w:p>
        </w:tc>
        <w:tc>
          <w:tcPr>
            <w:tcW w:w="945" w:type="pct"/>
            <w:vAlign w:val="center"/>
          </w:tcPr>
          <w:p w14:paraId="20DCA27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1.00</w:t>
            </w:r>
          </w:p>
        </w:tc>
        <w:tc>
          <w:tcPr>
            <w:tcW w:w="870" w:type="pct"/>
            <w:vAlign w:val="center"/>
          </w:tcPr>
          <w:p w14:paraId="4B514ED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c>
          <w:tcPr>
            <w:tcW w:w="870" w:type="pct"/>
            <w:vAlign w:val="center"/>
          </w:tcPr>
          <w:p w14:paraId="094ACDB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0.28</w:t>
            </w:r>
          </w:p>
        </w:tc>
        <w:tc>
          <w:tcPr>
            <w:tcW w:w="794" w:type="pct"/>
            <w:vAlign w:val="center"/>
          </w:tcPr>
          <w:p w14:paraId="15C210F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0.28</w:t>
            </w:r>
          </w:p>
        </w:tc>
      </w:tr>
    </w:tbl>
    <w:p w14:paraId="3068EFE2">
      <w:pPr>
        <w:bidi w:val="0"/>
        <w:ind w:left="0" w:leftChars="0" w:firstLine="0" w:firstLineChars="0"/>
        <w:jc w:val="center"/>
        <w:rPr>
          <w:color w:val="auto"/>
        </w:rPr>
      </w:pPr>
      <w:r>
        <w:rPr>
          <w:color w:val="auto"/>
        </w:rPr>
        <w:drawing>
          <wp:inline distT="0" distB="0" distL="0" distR="0">
            <wp:extent cx="4572000" cy="2743200"/>
            <wp:effectExtent l="4445" t="4445" r="14605" b="14605"/>
            <wp:docPr id="20"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56"/>
              </a:graphicData>
            </a:graphic>
          </wp:inline>
        </w:drawing>
      </w:r>
    </w:p>
    <w:p w14:paraId="765C005C">
      <w:pPr>
        <w:bidi w:val="0"/>
        <w:ind w:left="0" w:leftChars="0" w:firstLine="0" w:firstLineChars="0"/>
        <w:jc w:val="center"/>
        <w:rPr>
          <w:rFonts w:hint="eastAsia"/>
          <w:color w:val="auto"/>
        </w:rPr>
      </w:pPr>
      <w:r>
        <w:rPr>
          <w:rFonts w:hint="eastAsia"/>
          <w:color w:val="auto"/>
          <w:lang w:val="en-US" w:eastAsia="zh-CN"/>
        </w:rPr>
        <w:t xml:space="preserve">图4.3-1   </w:t>
      </w:r>
      <w:r>
        <w:rPr>
          <w:rFonts w:hint="eastAsia"/>
          <w:color w:val="auto"/>
        </w:rPr>
        <w:t>500年一遇洪水过程线</w:t>
      </w:r>
    </w:p>
    <w:p w14:paraId="4E505E18">
      <w:pPr>
        <w:bidi w:val="0"/>
        <w:rPr>
          <w:rFonts w:hint="eastAsia"/>
          <w:color w:val="auto"/>
        </w:rPr>
      </w:pPr>
      <w:r>
        <w:rPr>
          <w:rFonts w:hint="eastAsia"/>
          <w:color w:val="auto"/>
        </w:rPr>
        <w:t>3</w:t>
      </w:r>
      <w:r>
        <w:rPr>
          <w:rFonts w:hint="eastAsia"/>
          <w:color w:val="auto"/>
          <w:lang w:val="en-US" w:eastAsia="zh-CN"/>
        </w:rPr>
        <w:t>.</w:t>
      </w:r>
      <w:r>
        <w:rPr>
          <w:rFonts w:hint="eastAsia"/>
          <w:color w:val="auto"/>
        </w:rPr>
        <w:t xml:space="preserve"> 库内排洪能力核算</w:t>
      </w:r>
    </w:p>
    <w:p w14:paraId="495920A2">
      <w:pPr>
        <w:bidi w:val="0"/>
        <w:rPr>
          <w:color w:val="auto"/>
        </w:rPr>
      </w:pPr>
      <w:r>
        <w:rPr>
          <w:rFonts w:hint="eastAsia"/>
          <w:color w:val="auto"/>
        </w:rPr>
        <w:t>库内排水井为圆形，位于尾矿库左侧，距现有沉积滩顶约1480m，直径D=3.0m，井座高程+271.0m，井高21m；新建排洪隧洞为圆拱直墙型，B×H=2.2m×2.2m，进口与新建排水井相连，出口与原排洪隧洞相连，连接处距原隧洞进口100m，底高程+255.8m，长约1200m。现场按照设计要求全程采用C25钢筋混凝土衬砌。</w:t>
      </w:r>
    </w:p>
    <w:p w14:paraId="7B45AFD4">
      <w:pPr>
        <w:bidi w:val="0"/>
        <w:rPr>
          <w:color w:val="auto"/>
        </w:rPr>
      </w:pPr>
      <w:r>
        <w:rPr>
          <w:rFonts w:hint="eastAsia"/>
          <w:color w:val="auto"/>
        </w:rPr>
        <w:t>库内排洪设施采用排水井—排水隧洞形式，《尾矿设施设计参考资料》提供的泄流计算公式为：</w:t>
      </w:r>
    </w:p>
    <w:p w14:paraId="3B775512">
      <w:pPr>
        <w:bidi w:val="0"/>
        <w:rPr>
          <w:color w:val="auto"/>
        </w:rPr>
      </w:pPr>
      <w:r>
        <w:rPr>
          <w:rFonts w:hint="eastAsia"/>
          <w:color w:val="auto"/>
        </w:rPr>
        <w:t>自由泄流：</w:t>
      </w:r>
    </w:p>
    <w:p w14:paraId="6C077385">
      <w:pPr>
        <w:bidi w:val="0"/>
        <w:rPr>
          <w:color w:val="auto"/>
        </w:rPr>
      </w:pPr>
      <w:r>
        <w:rPr>
          <w:rFonts w:hint="eastAsia"/>
          <w:color w:val="auto"/>
        </w:rPr>
        <w:t>a</w:t>
      </w:r>
      <w:r>
        <w:rPr>
          <w:rFonts w:hint="eastAsia" w:ascii="宋体" w:hAnsi="宋体" w:eastAsia="宋体" w:cs="宋体"/>
          <w:color w:val="auto"/>
        </w:rPr>
        <w:t>)</w:t>
      </w:r>
      <w:r>
        <w:rPr>
          <w:rFonts w:hint="eastAsia"/>
          <w:color w:val="auto"/>
        </w:rPr>
        <w:t>水位未淹没框架式圈梁时：</w:t>
      </w:r>
    </w:p>
    <w:p w14:paraId="74E7A94D">
      <w:pPr>
        <w:tabs>
          <w:tab w:val="left" w:pos="1260"/>
          <w:tab w:val="left" w:pos="1440"/>
        </w:tabs>
        <w:spacing w:line="360" w:lineRule="auto"/>
        <w:ind w:firstLine="560" w:firstLineChars="200"/>
        <w:rPr>
          <w:rFonts w:hint="eastAsia" w:ascii="Calibri" w:hAnsi="宋体" w:eastAsia="宋体"/>
          <w:color w:val="auto"/>
          <w:sz w:val="28"/>
          <w:szCs w:val="28"/>
        </w:rPr>
      </w:pPr>
      <w:r>
        <w:rPr>
          <w:rFonts w:ascii="Calibri" w:hAnsi="宋体" w:eastAsia="宋体"/>
          <w:color w:val="auto"/>
          <w:position w:val="-14"/>
          <w:sz w:val="28"/>
          <w:szCs w:val="28"/>
        </w:rPr>
        <w:object>
          <v:shape id="_x0000_i1043" o:spt="75" type="#_x0000_t75" style="height:25.4pt;width:124pt;" o:ole="t" filled="f" o:preferrelative="t" stroked="f" coordsize="21600,21600">
            <v:path/>
            <v:fill on="f" focussize="0,0"/>
            <v:stroke on="f" joinstyle="miter"/>
            <v:imagedata r:id="rId58" o:title=""/>
            <o:lock v:ext="edit" aspectratio="t"/>
            <w10:wrap type="none"/>
            <w10:anchorlock/>
          </v:shape>
          <o:OLEObject Type="Embed" ProgID="Equation.3" ShapeID="_x0000_i1043" DrawAspect="Content" ObjectID="_1468075743" r:id="rId57">
            <o:LockedField>false</o:LockedField>
          </o:OLEObject>
        </w:object>
      </w:r>
    </w:p>
    <w:p w14:paraId="7656F611">
      <w:pPr>
        <w:bidi w:val="0"/>
        <w:rPr>
          <w:color w:val="auto"/>
        </w:rPr>
      </w:pPr>
      <w:r>
        <w:rPr>
          <w:rFonts w:hint="eastAsia"/>
          <w:color w:val="auto"/>
        </w:rPr>
        <w:t>b)水位淹没圈梁时：</w:t>
      </w:r>
    </w:p>
    <w:p w14:paraId="012AD733">
      <w:pPr>
        <w:tabs>
          <w:tab w:val="left" w:pos="1260"/>
          <w:tab w:val="left" w:pos="1440"/>
        </w:tabs>
        <w:spacing w:line="360" w:lineRule="auto"/>
        <w:ind w:firstLine="560" w:firstLineChars="200"/>
        <w:rPr>
          <w:rFonts w:hint="eastAsia" w:ascii="Calibri" w:hAnsi="宋体" w:eastAsia="宋体"/>
          <w:color w:val="auto"/>
          <w:sz w:val="28"/>
          <w:szCs w:val="28"/>
        </w:rPr>
      </w:pPr>
      <w:r>
        <w:rPr>
          <w:rFonts w:ascii="Calibri" w:hAnsi="宋体" w:eastAsia="宋体"/>
          <w:color w:val="auto"/>
          <w:position w:val="-14"/>
          <w:sz w:val="28"/>
          <w:szCs w:val="28"/>
        </w:rPr>
        <w:object>
          <v:shape id="_x0000_i1044" o:spt="75" type="#_x0000_t75" style="height:25.4pt;width:223.7pt;" o:ole="t" filled="f" o:preferrelative="t" stroked="f" coordsize="21600,21600">
            <v:path/>
            <v:fill on="f" focussize="0,0"/>
            <v:stroke on="f" joinstyle="miter"/>
            <v:imagedata r:id="rId60" o:title=""/>
            <o:lock v:ext="edit" aspectratio="t"/>
            <w10:wrap type="none"/>
            <w10:anchorlock/>
          </v:shape>
          <o:OLEObject Type="Embed" ProgID="Equation.3" ShapeID="_x0000_i1044" DrawAspect="Content" ObjectID="_1468075744" r:id="rId59">
            <o:LockedField>false</o:LockedField>
          </o:OLEObject>
        </w:object>
      </w:r>
    </w:p>
    <w:p w14:paraId="638E7E17">
      <w:pPr>
        <w:bidi w:val="0"/>
        <w:rPr>
          <w:color w:val="auto"/>
        </w:rPr>
      </w:pPr>
      <w:r>
        <w:rPr>
          <w:rFonts w:hint="eastAsia"/>
          <w:color w:val="auto"/>
        </w:rPr>
        <w:t>c)水位淹没井口时</w:t>
      </w:r>
    </w:p>
    <w:p w14:paraId="6C882BE5">
      <w:pPr>
        <w:tabs>
          <w:tab w:val="left" w:pos="1260"/>
          <w:tab w:val="left" w:pos="1440"/>
        </w:tabs>
        <w:spacing w:line="360" w:lineRule="auto"/>
        <w:ind w:firstLine="560" w:firstLineChars="200"/>
        <w:rPr>
          <w:rFonts w:hint="eastAsia" w:ascii="Calibri" w:hAnsi="宋体" w:eastAsia="宋体"/>
          <w:color w:val="auto"/>
          <w:sz w:val="28"/>
          <w:szCs w:val="28"/>
        </w:rPr>
      </w:pPr>
      <w:r>
        <w:rPr>
          <w:rFonts w:ascii="Calibri" w:hAnsi="宋体" w:eastAsia="宋体"/>
          <w:color w:val="auto"/>
          <w:position w:val="-16"/>
          <w:sz w:val="28"/>
          <w:szCs w:val="28"/>
        </w:rPr>
        <w:object>
          <v:shape id="_x0000_i1045" o:spt="75" type="#_x0000_t75" style="height:26.95pt;width:99.7pt;" o:ole="t" filled="f" o:preferrelative="t" stroked="f" coordsize="21600,21600">
            <v:path/>
            <v:fill on="f" focussize="0,0"/>
            <v:stroke on="f" joinstyle="miter"/>
            <v:imagedata r:id="rId62" o:title=""/>
            <o:lock v:ext="edit" aspectratio="t"/>
            <w10:wrap type="none"/>
            <w10:anchorlock/>
          </v:shape>
          <o:OLEObject Type="Embed" ProgID="Equation.3" ShapeID="_x0000_i1045" DrawAspect="Content" ObjectID="_1468075745" r:id="rId61">
            <o:LockedField>false</o:LockedField>
          </o:OLEObject>
        </w:object>
      </w:r>
      <w:r>
        <w:rPr>
          <w:rFonts w:hint="eastAsia" w:ascii="Calibri" w:hAnsi="宋体" w:eastAsia="宋体"/>
          <w:color w:val="auto"/>
          <w:sz w:val="28"/>
          <w:szCs w:val="28"/>
        </w:rPr>
        <w:t>；</w:t>
      </w:r>
      <w:r>
        <w:rPr>
          <w:rFonts w:ascii="Calibri" w:hAnsi="宋体" w:eastAsia="宋体"/>
          <w:color w:val="auto"/>
          <w:position w:val="-36"/>
          <w:sz w:val="28"/>
          <w:szCs w:val="28"/>
        </w:rPr>
        <w:object>
          <v:shape id="_x0000_i1046" o:spt="75" type="#_x0000_t75" style="height:45.45pt;width:118.95pt;" o:ole="t" filled="f" o:preferrelative="t" stroked="f" coordsize="21600,21600">
            <v:path/>
            <v:fill on="f" focussize="0,0"/>
            <v:stroke on="f" joinstyle="miter"/>
            <v:imagedata r:id="rId64" o:title=""/>
            <o:lock v:ext="edit" aspectratio="t"/>
            <w10:wrap type="none"/>
            <w10:anchorlock/>
          </v:shape>
          <o:OLEObject Type="Embed" ProgID="Equation.3" ShapeID="_x0000_i1046" DrawAspect="Content" ObjectID="_1468075746" r:id="rId63">
            <o:LockedField>false</o:LockedField>
          </o:OLEObject>
        </w:object>
      </w:r>
    </w:p>
    <w:p w14:paraId="3F08D8F1">
      <w:pPr>
        <w:bidi w:val="0"/>
        <w:rPr>
          <w:color w:val="auto"/>
        </w:rPr>
      </w:pPr>
      <w:r>
        <w:rPr>
          <w:rFonts w:hint="eastAsia"/>
          <w:color w:val="auto"/>
        </w:rPr>
        <w:t>d)半压力流：</w:t>
      </w:r>
    </w:p>
    <w:p w14:paraId="51776CFE">
      <w:pPr>
        <w:tabs>
          <w:tab w:val="left" w:pos="1260"/>
          <w:tab w:val="left" w:pos="1440"/>
        </w:tabs>
        <w:spacing w:line="360" w:lineRule="auto"/>
        <w:ind w:firstLine="560" w:firstLineChars="200"/>
        <w:rPr>
          <w:rFonts w:hint="eastAsia" w:ascii="Calibri" w:hAnsi="宋体" w:eastAsia="宋体"/>
          <w:color w:val="auto"/>
          <w:sz w:val="28"/>
          <w:szCs w:val="28"/>
        </w:rPr>
      </w:pPr>
      <w:r>
        <w:rPr>
          <w:rFonts w:ascii="Calibri" w:hAnsi="宋体" w:eastAsia="宋体"/>
          <w:color w:val="auto"/>
          <w:position w:val="-16"/>
          <w:sz w:val="28"/>
          <w:szCs w:val="28"/>
        </w:rPr>
        <w:object>
          <v:shape id="_x0000_i1047" o:spt="75" type="#_x0000_t75" style="height:26.95pt;width:95.85pt;" o:ole="t" filled="f" o:preferrelative="t" stroked="f" coordsize="21600,21600">
            <v:path/>
            <v:fill on="f" focussize="0,0"/>
            <v:stroke on="f" joinstyle="miter"/>
            <v:imagedata r:id="rId66" o:title=""/>
            <o:lock v:ext="edit" aspectratio="t"/>
            <w10:wrap type="none"/>
            <w10:anchorlock/>
          </v:shape>
          <o:OLEObject Type="Embed" ProgID="Equation.3" ShapeID="_x0000_i1047" DrawAspect="Content" ObjectID="_1468075747" r:id="rId65">
            <o:LockedField>false</o:LockedField>
          </o:OLEObject>
        </w:object>
      </w:r>
    </w:p>
    <w:p w14:paraId="6D9D2523">
      <w:pPr>
        <w:tabs>
          <w:tab w:val="left" w:pos="1260"/>
          <w:tab w:val="left" w:pos="1440"/>
        </w:tabs>
        <w:spacing w:line="360" w:lineRule="auto"/>
        <w:ind w:firstLine="420" w:firstLineChars="200"/>
        <w:rPr>
          <w:rFonts w:hint="eastAsia" w:ascii="Calibri" w:hAnsi="宋体" w:eastAsia="宋体"/>
          <w:color w:val="auto"/>
          <w:sz w:val="28"/>
          <w:szCs w:val="28"/>
        </w:rPr>
      </w:pPr>
      <w:r>
        <w:rPr>
          <w:rFonts w:ascii="Calibri" w:hAnsi="Calibri" w:eastAsia="宋体"/>
          <w:color w:val="auto"/>
          <w:position w:val="-62"/>
          <w:sz w:val="21"/>
          <w:szCs w:val="22"/>
        </w:rPr>
        <w:object>
          <v:shape id="_x0000_i1048" o:spt="75" type="#_x0000_t75" style="height:60.85pt;width:251.05pt;" o:ole="t" filled="f" o:preferrelative="t" stroked="f" coordsize="21600,21600">
            <v:path/>
            <v:fill on="f" focussize="0,0"/>
            <v:stroke on="f" joinstyle="miter"/>
            <v:imagedata r:id="rId68" o:title=""/>
            <o:lock v:ext="edit" aspectratio="t"/>
            <w10:wrap type="none"/>
            <w10:anchorlock/>
          </v:shape>
          <o:OLEObject Type="Embed" ProgID="Equation.3" ShapeID="_x0000_i1048" DrawAspect="Content" ObjectID="_1468075748" r:id="rId67">
            <o:LockedField>false</o:LockedField>
          </o:OLEObject>
        </w:object>
      </w:r>
    </w:p>
    <w:p w14:paraId="40A699E3">
      <w:pPr>
        <w:bidi w:val="0"/>
        <w:rPr>
          <w:color w:val="auto"/>
        </w:rPr>
      </w:pPr>
      <w:r>
        <w:rPr>
          <w:rFonts w:hint="eastAsia"/>
          <w:color w:val="auto"/>
        </w:rPr>
        <w:t>e)压力流：</w:t>
      </w:r>
    </w:p>
    <w:p w14:paraId="526A8224">
      <w:pPr>
        <w:tabs>
          <w:tab w:val="left" w:pos="1260"/>
          <w:tab w:val="left" w:pos="1440"/>
        </w:tabs>
        <w:spacing w:line="360" w:lineRule="auto"/>
        <w:ind w:firstLine="560" w:firstLineChars="200"/>
        <w:rPr>
          <w:rFonts w:ascii="Calibri" w:hAnsi="Calibri" w:eastAsia="宋体"/>
          <w:color w:val="auto"/>
          <w:sz w:val="28"/>
          <w:szCs w:val="28"/>
        </w:rPr>
      </w:pPr>
      <w:r>
        <w:rPr>
          <w:rFonts w:ascii="Calibri" w:hAnsi="宋体" w:eastAsia="宋体"/>
          <w:color w:val="auto"/>
          <w:position w:val="-66"/>
          <w:sz w:val="28"/>
          <w:szCs w:val="28"/>
        </w:rPr>
        <w:object>
          <v:shape id="_x0000_i1049" o:spt="75" type="#_x0000_t75" style="height:88.15pt;width:339.6pt;" o:ole="t" filled="f" o:preferrelative="t" stroked="f" coordsize="21600,21600">
            <v:path/>
            <v:fill on="f" focussize="0,0"/>
            <v:stroke on="f" joinstyle="miter"/>
            <v:imagedata r:id="rId70" o:title=""/>
            <o:lock v:ext="edit" aspectratio="t"/>
            <w10:wrap type="none"/>
            <w10:anchorlock/>
          </v:shape>
          <o:OLEObject Type="Embed" ProgID="Equation.3" ShapeID="_x0000_i1049" DrawAspect="Content" ObjectID="_1468075749" r:id="rId69">
            <o:LockedField>false</o:LockedField>
          </o:OLEObject>
        </w:object>
      </w:r>
    </w:p>
    <w:p w14:paraId="5B0F6F66">
      <w:pPr>
        <w:bidi w:val="0"/>
        <w:rPr>
          <w:color w:val="auto"/>
        </w:rPr>
      </w:pPr>
      <w:r>
        <w:rPr>
          <w:rFonts w:hint="eastAsia"/>
          <w:color w:val="auto"/>
        </w:rPr>
        <w:t>排水隧洞糙率取0.02（全程衬砌），按500年一遇洪水设防，目前库内水位为</w:t>
      </w:r>
      <w:r>
        <w:rPr>
          <w:rFonts w:hint="eastAsia"/>
          <w:color w:val="auto"/>
          <w:lang w:val="en-US" w:eastAsia="zh-CN"/>
        </w:rPr>
        <w:t>+</w:t>
      </w:r>
      <w:r>
        <w:rPr>
          <w:color w:val="auto"/>
        </w:rPr>
        <w:t>271.</w:t>
      </w:r>
      <w:r>
        <w:rPr>
          <w:rFonts w:hint="eastAsia"/>
          <w:color w:val="auto"/>
        </w:rPr>
        <w:t>3</w:t>
      </w:r>
      <w:r>
        <w:rPr>
          <w:color w:val="auto"/>
        </w:rPr>
        <w:t>0</w:t>
      </w:r>
      <w:r>
        <w:rPr>
          <w:rFonts w:hint="eastAsia"/>
          <w:color w:val="auto"/>
        </w:rPr>
        <w:t>m，对应排水井正常进水口高程为</w:t>
      </w:r>
      <w:r>
        <w:rPr>
          <w:rFonts w:hint="eastAsia"/>
          <w:color w:val="auto"/>
          <w:lang w:val="en-US" w:eastAsia="zh-CN"/>
        </w:rPr>
        <w:t>+</w:t>
      </w:r>
      <w:r>
        <w:rPr>
          <w:color w:val="auto"/>
        </w:rPr>
        <w:t>271</w:t>
      </w:r>
      <w:r>
        <w:rPr>
          <w:rFonts w:hint="eastAsia"/>
          <w:color w:val="auto"/>
        </w:rPr>
        <w:t>.3</w:t>
      </w:r>
      <w:r>
        <w:rPr>
          <w:color w:val="auto"/>
        </w:rPr>
        <w:t>0</w:t>
      </w:r>
      <w:r>
        <w:rPr>
          <w:rFonts w:hint="eastAsia"/>
          <w:color w:val="auto"/>
        </w:rPr>
        <w:t>m，因此按照</w:t>
      </w:r>
      <w:r>
        <w:rPr>
          <w:rFonts w:hint="eastAsia"/>
          <w:color w:val="auto"/>
          <w:lang w:val="en-US" w:eastAsia="zh-CN"/>
        </w:rPr>
        <w:t>+</w:t>
      </w:r>
      <w:r>
        <w:rPr>
          <w:color w:val="auto"/>
        </w:rPr>
        <w:t>271.</w:t>
      </w:r>
      <w:r>
        <w:rPr>
          <w:rFonts w:hint="eastAsia"/>
          <w:color w:val="auto"/>
        </w:rPr>
        <w:t>3</w:t>
      </w:r>
      <w:r>
        <w:rPr>
          <w:color w:val="auto"/>
        </w:rPr>
        <w:t>0</w:t>
      </w:r>
      <w:r>
        <w:rPr>
          <w:rFonts w:hint="eastAsia"/>
          <w:color w:val="auto"/>
        </w:rPr>
        <w:t>m作为起调水位。根据上述框架式排水井泄流计算公式，计算尾矿库泄流能力分别见表</w:t>
      </w:r>
      <w:r>
        <w:rPr>
          <w:color w:val="auto"/>
        </w:rPr>
        <w:t>4</w:t>
      </w:r>
      <w:r>
        <w:rPr>
          <w:rFonts w:hint="eastAsia"/>
          <w:color w:val="auto"/>
          <w:lang w:val="en-US" w:eastAsia="zh-CN"/>
        </w:rPr>
        <w:t>.3</w:t>
      </w:r>
      <w:r>
        <w:rPr>
          <w:rFonts w:hint="eastAsia"/>
          <w:color w:val="auto"/>
        </w:rPr>
        <w:t>-</w:t>
      </w:r>
      <w:r>
        <w:rPr>
          <w:color w:val="auto"/>
        </w:rPr>
        <w:t>5</w:t>
      </w:r>
      <w:r>
        <w:rPr>
          <w:rFonts w:hint="eastAsia"/>
          <w:color w:val="auto"/>
        </w:rPr>
        <w:t>。</w:t>
      </w:r>
    </w:p>
    <w:p w14:paraId="7A319177">
      <w:pPr>
        <w:bidi w:val="0"/>
        <w:ind w:left="0" w:leftChars="0" w:firstLine="0" w:firstLineChars="0"/>
        <w:jc w:val="center"/>
        <w:rPr>
          <w:rFonts w:hint="eastAsia"/>
          <w:color w:val="auto"/>
          <w:lang w:val="en-GB" w:eastAsia="zh-CN"/>
        </w:rPr>
      </w:pPr>
      <w:r>
        <w:rPr>
          <w:rFonts w:hint="eastAsia"/>
          <w:color w:val="auto"/>
        </w:rPr>
        <w:t>表</w:t>
      </w:r>
      <w:r>
        <w:rPr>
          <w:color w:val="auto"/>
        </w:rPr>
        <w:t>4</w:t>
      </w:r>
      <w:r>
        <w:rPr>
          <w:rFonts w:hint="eastAsia"/>
          <w:color w:val="auto"/>
          <w:lang w:val="en-US" w:eastAsia="zh-CN"/>
        </w:rPr>
        <w:t>.3</w:t>
      </w:r>
      <w:r>
        <w:rPr>
          <w:rFonts w:hint="eastAsia"/>
          <w:color w:val="auto"/>
        </w:rPr>
        <w:t>-</w:t>
      </w:r>
      <w:r>
        <w:rPr>
          <w:color w:val="auto"/>
        </w:rPr>
        <w:t>5</w:t>
      </w:r>
      <w:r>
        <w:rPr>
          <w:rFonts w:hint="eastAsia"/>
          <w:color w:val="auto"/>
          <w:lang w:val="en-GB" w:eastAsia="zh-CN"/>
        </w:rPr>
        <w:t xml:space="preserve"> </w:t>
      </w:r>
      <w:r>
        <w:rPr>
          <w:color w:val="auto"/>
          <w:lang w:val="en-GB" w:eastAsia="zh-CN"/>
        </w:rPr>
        <w:t>排洪构筑物泄流能力计算成果表</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870"/>
        <w:gridCol w:w="3328"/>
        <w:gridCol w:w="2884"/>
      </w:tblGrid>
      <w:tr w14:paraId="54071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blHeader/>
          <w:jc w:val="center"/>
        </w:trPr>
        <w:tc>
          <w:tcPr>
            <w:tcW w:w="1580" w:type="pct"/>
            <w:shd w:val="clear" w:color="auto" w:fill="auto"/>
            <w:noWrap/>
            <w:vAlign w:val="center"/>
          </w:tcPr>
          <w:p w14:paraId="5AA6744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库内泄流水深（m）</w:t>
            </w:r>
          </w:p>
        </w:tc>
        <w:tc>
          <w:tcPr>
            <w:tcW w:w="1832" w:type="pct"/>
            <w:shd w:val="clear" w:color="auto" w:fill="auto"/>
            <w:noWrap/>
            <w:vAlign w:val="center"/>
          </w:tcPr>
          <w:p w14:paraId="3EC7669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泄流能力（m</w:t>
            </w:r>
            <w:r>
              <w:rPr>
                <w:rFonts w:hint="default" w:ascii="Times New Roman" w:hAnsi="Times New Roman" w:eastAsia="宋体" w:cs="Times New Roman"/>
                <w:color w:val="auto"/>
                <w:sz w:val="24"/>
                <w:szCs w:val="24"/>
                <w:vertAlign w:val="superscript"/>
              </w:rPr>
              <w:t>3</w:t>
            </w:r>
            <w:r>
              <w:rPr>
                <w:rFonts w:hint="eastAsia" w:ascii="Times New Roman" w:hAnsi="Times New Roman" w:cs="Times New Roman"/>
                <w:color w:val="auto"/>
                <w:sz w:val="24"/>
                <w:szCs w:val="24"/>
              </w:rPr>
              <w:t>/s）</w:t>
            </w:r>
          </w:p>
        </w:tc>
        <w:tc>
          <w:tcPr>
            <w:tcW w:w="1588" w:type="pct"/>
            <w:shd w:val="clear" w:color="auto" w:fill="auto"/>
            <w:vAlign w:val="center"/>
          </w:tcPr>
          <w:p w14:paraId="02B77B7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流态</w:t>
            </w:r>
          </w:p>
        </w:tc>
      </w:tr>
      <w:tr w14:paraId="7460F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2" w:hRule="atLeast"/>
          <w:tblHeader/>
          <w:jc w:val="center"/>
        </w:trPr>
        <w:tc>
          <w:tcPr>
            <w:tcW w:w="1580" w:type="pct"/>
            <w:shd w:val="clear" w:color="auto" w:fill="auto"/>
            <w:noWrap/>
            <w:vAlign w:val="center"/>
          </w:tcPr>
          <w:p w14:paraId="2FF913F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271.3</w:t>
            </w:r>
          </w:p>
        </w:tc>
        <w:tc>
          <w:tcPr>
            <w:tcW w:w="1832" w:type="pct"/>
            <w:shd w:val="clear" w:color="auto" w:fill="auto"/>
            <w:noWrap/>
            <w:vAlign w:val="center"/>
          </w:tcPr>
          <w:p w14:paraId="01809A3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0</w:t>
            </w:r>
          </w:p>
        </w:tc>
        <w:tc>
          <w:tcPr>
            <w:tcW w:w="1588" w:type="pct"/>
            <w:shd w:val="clear" w:color="auto" w:fill="auto"/>
            <w:vAlign w:val="center"/>
          </w:tcPr>
          <w:p w14:paraId="3DA8160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r>
      <w:tr w14:paraId="4991C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4" w:hRule="atLeast"/>
          <w:tblHeader/>
          <w:jc w:val="center"/>
        </w:trPr>
        <w:tc>
          <w:tcPr>
            <w:tcW w:w="1580" w:type="pct"/>
            <w:shd w:val="clear" w:color="auto" w:fill="auto"/>
            <w:noWrap/>
            <w:vAlign w:val="center"/>
          </w:tcPr>
          <w:p w14:paraId="4675600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271.8</w:t>
            </w:r>
          </w:p>
        </w:tc>
        <w:tc>
          <w:tcPr>
            <w:tcW w:w="1832" w:type="pct"/>
            <w:shd w:val="clear" w:color="auto" w:fill="auto"/>
            <w:noWrap/>
            <w:vAlign w:val="center"/>
          </w:tcPr>
          <w:p w14:paraId="1FF0D51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6.71</w:t>
            </w:r>
          </w:p>
        </w:tc>
        <w:tc>
          <w:tcPr>
            <w:tcW w:w="1588" w:type="pct"/>
            <w:shd w:val="clear" w:color="auto" w:fill="auto"/>
            <w:vAlign w:val="center"/>
          </w:tcPr>
          <w:p w14:paraId="752C8FB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堰流</w:t>
            </w:r>
          </w:p>
        </w:tc>
      </w:tr>
      <w:tr w14:paraId="46D46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blHeader/>
          <w:jc w:val="center"/>
        </w:trPr>
        <w:tc>
          <w:tcPr>
            <w:tcW w:w="1580" w:type="pct"/>
            <w:shd w:val="clear" w:color="auto" w:fill="auto"/>
            <w:noWrap/>
            <w:vAlign w:val="center"/>
          </w:tcPr>
          <w:p w14:paraId="77C7DEA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272.3</w:t>
            </w:r>
          </w:p>
        </w:tc>
        <w:tc>
          <w:tcPr>
            <w:tcW w:w="1832" w:type="pct"/>
            <w:shd w:val="clear" w:color="auto" w:fill="auto"/>
            <w:noWrap/>
            <w:vAlign w:val="center"/>
          </w:tcPr>
          <w:p w14:paraId="49B6A26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15.57</w:t>
            </w:r>
          </w:p>
        </w:tc>
        <w:tc>
          <w:tcPr>
            <w:tcW w:w="1588" w:type="pct"/>
            <w:shd w:val="clear" w:color="auto" w:fill="auto"/>
            <w:vAlign w:val="center"/>
          </w:tcPr>
          <w:p w14:paraId="7E8170E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孔流</w:t>
            </w:r>
          </w:p>
        </w:tc>
      </w:tr>
      <w:tr w14:paraId="0E197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blHeader/>
          <w:jc w:val="center"/>
        </w:trPr>
        <w:tc>
          <w:tcPr>
            <w:tcW w:w="1580" w:type="pct"/>
            <w:shd w:val="clear" w:color="auto" w:fill="auto"/>
            <w:noWrap/>
            <w:vAlign w:val="center"/>
          </w:tcPr>
          <w:p w14:paraId="5D737C9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272.8</w:t>
            </w:r>
          </w:p>
        </w:tc>
        <w:tc>
          <w:tcPr>
            <w:tcW w:w="1832" w:type="pct"/>
            <w:shd w:val="clear" w:color="auto" w:fill="auto"/>
            <w:noWrap/>
            <w:vAlign w:val="center"/>
          </w:tcPr>
          <w:p w14:paraId="327ECDB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19.1</w:t>
            </w:r>
          </w:p>
        </w:tc>
        <w:tc>
          <w:tcPr>
            <w:tcW w:w="1588" w:type="pct"/>
            <w:shd w:val="clear" w:color="auto" w:fill="auto"/>
            <w:vAlign w:val="center"/>
          </w:tcPr>
          <w:p w14:paraId="45A60BA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孔流</w:t>
            </w:r>
          </w:p>
        </w:tc>
      </w:tr>
      <w:tr w14:paraId="7B109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blHeader/>
          <w:jc w:val="center"/>
        </w:trPr>
        <w:tc>
          <w:tcPr>
            <w:tcW w:w="1580" w:type="pct"/>
            <w:shd w:val="clear" w:color="auto" w:fill="auto"/>
            <w:noWrap/>
            <w:vAlign w:val="center"/>
          </w:tcPr>
          <w:p w14:paraId="019A687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273.3</w:t>
            </w:r>
          </w:p>
        </w:tc>
        <w:tc>
          <w:tcPr>
            <w:tcW w:w="1832" w:type="pct"/>
            <w:shd w:val="clear" w:color="auto" w:fill="auto"/>
            <w:noWrap/>
            <w:vAlign w:val="center"/>
          </w:tcPr>
          <w:p w14:paraId="1BA5C1F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20.52</w:t>
            </w:r>
          </w:p>
        </w:tc>
        <w:tc>
          <w:tcPr>
            <w:tcW w:w="1588" w:type="pct"/>
            <w:shd w:val="clear" w:color="auto" w:fill="auto"/>
            <w:vAlign w:val="center"/>
          </w:tcPr>
          <w:p w14:paraId="410F17C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压力流</w:t>
            </w:r>
          </w:p>
        </w:tc>
      </w:tr>
      <w:tr w14:paraId="599A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2" w:hRule="atLeast"/>
          <w:tblHeader/>
          <w:jc w:val="center"/>
        </w:trPr>
        <w:tc>
          <w:tcPr>
            <w:tcW w:w="1580" w:type="pct"/>
            <w:shd w:val="clear" w:color="auto" w:fill="auto"/>
            <w:noWrap/>
            <w:vAlign w:val="center"/>
          </w:tcPr>
          <w:p w14:paraId="4781A0F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273.8</w:t>
            </w:r>
          </w:p>
        </w:tc>
        <w:tc>
          <w:tcPr>
            <w:tcW w:w="1832" w:type="pct"/>
            <w:shd w:val="clear" w:color="auto" w:fill="auto"/>
            <w:noWrap/>
            <w:vAlign w:val="center"/>
          </w:tcPr>
          <w:p w14:paraId="53096DF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20.64</w:t>
            </w:r>
          </w:p>
        </w:tc>
        <w:tc>
          <w:tcPr>
            <w:tcW w:w="1588" w:type="pct"/>
            <w:shd w:val="clear" w:color="auto" w:fill="auto"/>
            <w:vAlign w:val="center"/>
          </w:tcPr>
          <w:p w14:paraId="2BCC59B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压力流</w:t>
            </w:r>
          </w:p>
        </w:tc>
      </w:tr>
      <w:tr w14:paraId="582A5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blHeader/>
          <w:jc w:val="center"/>
        </w:trPr>
        <w:tc>
          <w:tcPr>
            <w:tcW w:w="1580" w:type="pct"/>
            <w:shd w:val="clear" w:color="auto" w:fill="auto"/>
            <w:noWrap/>
            <w:vAlign w:val="center"/>
          </w:tcPr>
          <w:p w14:paraId="25F02F9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274.3</w:t>
            </w:r>
          </w:p>
        </w:tc>
        <w:tc>
          <w:tcPr>
            <w:tcW w:w="1832" w:type="pct"/>
            <w:shd w:val="clear" w:color="auto" w:fill="auto"/>
            <w:noWrap/>
            <w:vAlign w:val="center"/>
          </w:tcPr>
          <w:p w14:paraId="0A5EFE6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20.76</w:t>
            </w:r>
          </w:p>
        </w:tc>
        <w:tc>
          <w:tcPr>
            <w:tcW w:w="1588" w:type="pct"/>
            <w:shd w:val="clear" w:color="auto" w:fill="auto"/>
            <w:vAlign w:val="center"/>
          </w:tcPr>
          <w:p w14:paraId="7951F4D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压力流</w:t>
            </w:r>
          </w:p>
        </w:tc>
      </w:tr>
      <w:tr w14:paraId="14DEB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blHeader/>
          <w:jc w:val="center"/>
        </w:trPr>
        <w:tc>
          <w:tcPr>
            <w:tcW w:w="1580" w:type="pct"/>
            <w:shd w:val="clear" w:color="auto" w:fill="auto"/>
            <w:noWrap/>
            <w:vAlign w:val="center"/>
          </w:tcPr>
          <w:p w14:paraId="6AC6411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274.8</w:t>
            </w:r>
          </w:p>
        </w:tc>
        <w:tc>
          <w:tcPr>
            <w:tcW w:w="1832" w:type="pct"/>
            <w:shd w:val="clear" w:color="auto" w:fill="auto"/>
            <w:noWrap/>
            <w:vAlign w:val="center"/>
          </w:tcPr>
          <w:p w14:paraId="52BCC5D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20.88</w:t>
            </w:r>
          </w:p>
        </w:tc>
        <w:tc>
          <w:tcPr>
            <w:tcW w:w="1588" w:type="pct"/>
            <w:shd w:val="clear" w:color="auto" w:fill="auto"/>
            <w:vAlign w:val="center"/>
          </w:tcPr>
          <w:p w14:paraId="2EFF57F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压力流</w:t>
            </w:r>
          </w:p>
        </w:tc>
      </w:tr>
      <w:tr w14:paraId="5655F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blHeader/>
          <w:jc w:val="center"/>
        </w:trPr>
        <w:tc>
          <w:tcPr>
            <w:tcW w:w="1580" w:type="pct"/>
            <w:shd w:val="clear" w:color="auto" w:fill="auto"/>
            <w:noWrap/>
            <w:vAlign w:val="center"/>
          </w:tcPr>
          <w:p w14:paraId="3F247EB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275.3</w:t>
            </w:r>
          </w:p>
        </w:tc>
        <w:tc>
          <w:tcPr>
            <w:tcW w:w="1832" w:type="pct"/>
            <w:shd w:val="clear" w:color="auto" w:fill="auto"/>
            <w:noWrap/>
            <w:vAlign w:val="center"/>
          </w:tcPr>
          <w:p w14:paraId="761E643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21</w:t>
            </w:r>
          </w:p>
        </w:tc>
        <w:tc>
          <w:tcPr>
            <w:tcW w:w="1588" w:type="pct"/>
            <w:shd w:val="clear" w:color="auto" w:fill="auto"/>
            <w:vAlign w:val="center"/>
          </w:tcPr>
          <w:p w14:paraId="06F73FC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压力流</w:t>
            </w:r>
          </w:p>
        </w:tc>
      </w:tr>
      <w:tr w14:paraId="5A142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blHeader/>
          <w:jc w:val="center"/>
        </w:trPr>
        <w:tc>
          <w:tcPr>
            <w:tcW w:w="1580" w:type="pct"/>
            <w:shd w:val="clear" w:color="auto" w:fill="auto"/>
            <w:noWrap/>
            <w:vAlign w:val="center"/>
          </w:tcPr>
          <w:p w14:paraId="3AA7E6E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275.8</w:t>
            </w:r>
          </w:p>
        </w:tc>
        <w:tc>
          <w:tcPr>
            <w:tcW w:w="1832" w:type="pct"/>
            <w:shd w:val="clear" w:color="auto" w:fill="auto"/>
            <w:noWrap/>
            <w:vAlign w:val="center"/>
          </w:tcPr>
          <w:p w14:paraId="5652995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21.11</w:t>
            </w:r>
          </w:p>
        </w:tc>
        <w:tc>
          <w:tcPr>
            <w:tcW w:w="1588" w:type="pct"/>
            <w:shd w:val="clear" w:color="auto" w:fill="auto"/>
            <w:vAlign w:val="center"/>
          </w:tcPr>
          <w:p w14:paraId="39D2766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压力流</w:t>
            </w:r>
          </w:p>
        </w:tc>
      </w:tr>
      <w:tr w14:paraId="79FBE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blHeader/>
          <w:jc w:val="center"/>
        </w:trPr>
        <w:tc>
          <w:tcPr>
            <w:tcW w:w="1580" w:type="pct"/>
            <w:shd w:val="clear" w:color="auto" w:fill="auto"/>
            <w:noWrap/>
            <w:vAlign w:val="center"/>
          </w:tcPr>
          <w:p w14:paraId="526E17D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276.3</w:t>
            </w:r>
          </w:p>
        </w:tc>
        <w:tc>
          <w:tcPr>
            <w:tcW w:w="1832" w:type="pct"/>
            <w:shd w:val="clear" w:color="auto" w:fill="auto"/>
            <w:noWrap/>
            <w:vAlign w:val="center"/>
          </w:tcPr>
          <w:p w14:paraId="6495650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21.23</w:t>
            </w:r>
          </w:p>
        </w:tc>
        <w:tc>
          <w:tcPr>
            <w:tcW w:w="1588" w:type="pct"/>
            <w:shd w:val="clear" w:color="auto" w:fill="auto"/>
            <w:vAlign w:val="center"/>
          </w:tcPr>
          <w:p w14:paraId="52509F4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压力流</w:t>
            </w:r>
          </w:p>
        </w:tc>
      </w:tr>
      <w:tr w14:paraId="3E9E8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blHeader/>
          <w:jc w:val="center"/>
        </w:trPr>
        <w:tc>
          <w:tcPr>
            <w:tcW w:w="1580" w:type="pct"/>
            <w:shd w:val="clear" w:color="auto" w:fill="auto"/>
            <w:noWrap/>
            <w:vAlign w:val="center"/>
          </w:tcPr>
          <w:p w14:paraId="501236D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276.8</w:t>
            </w:r>
          </w:p>
        </w:tc>
        <w:tc>
          <w:tcPr>
            <w:tcW w:w="1832" w:type="pct"/>
            <w:shd w:val="clear" w:color="auto" w:fill="auto"/>
            <w:noWrap/>
            <w:vAlign w:val="center"/>
          </w:tcPr>
          <w:p w14:paraId="65CE714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21.34</w:t>
            </w:r>
          </w:p>
        </w:tc>
        <w:tc>
          <w:tcPr>
            <w:tcW w:w="1588" w:type="pct"/>
            <w:shd w:val="clear" w:color="auto" w:fill="auto"/>
            <w:vAlign w:val="center"/>
          </w:tcPr>
          <w:p w14:paraId="3BDD94B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压力流</w:t>
            </w:r>
          </w:p>
        </w:tc>
      </w:tr>
      <w:tr w14:paraId="5CED5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blHeader/>
          <w:jc w:val="center"/>
        </w:trPr>
        <w:tc>
          <w:tcPr>
            <w:tcW w:w="1580" w:type="pct"/>
            <w:shd w:val="clear" w:color="auto" w:fill="auto"/>
            <w:noWrap/>
            <w:vAlign w:val="center"/>
          </w:tcPr>
          <w:p w14:paraId="63EBD1D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277.3</w:t>
            </w:r>
          </w:p>
        </w:tc>
        <w:tc>
          <w:tcPr>
            <w:tcW w:w="1832" w:type="pct"/>
            <w:shd w:val="clear" w:color="auto" w:fill="auto"/>
            <w:noWrap/>
            <w:vAlign w:val="center"/>
          </w:tcPr>
          <w:p w14:paraId="68DD00C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21.46</w:t>
            </w:r>
          </w:p>
        </w:tc>
        <w:tc>
          <w:tcPr>
            <w:tcW w:w="1588" w:type="pct"/>
            <w:shd w:val="clear" w:color="auto" w:fill="auto"/>
            <w:vAlign w:val="center"/>
          </w:tcPr>
          <w:p w14:paraId="0174124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压力流</w:t>
            </w:r>
          </w:p>
        </w:tc>
      </w:tr>
      <w:tr w14:paraId="2982C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6" w:hRule="atLeast"/>
          <w:tblHeader/>
          <w:jc w:val="center"/>
        </w:trPr>
        <w:tc>
          <w:tcPr>
            <w:tcW w:w="1580" w:type="pct"/>
            <w:shd w:val="clear" w:color="auto" w:fill="auto"/>
            <w:noWrap/>
            <w:vAlign w:val="center"/>
          </w:tcPr>
          <w:p w14:paraId="17FF968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277.8</w:t>
            </w:r>
          </w:p>
        </w:tc>
        <w:tc>
          <w:tcPr>
            <w:tcW w:w="1832" w:type="pct"/>
            <w:shd w:val="clear" w:color="auto" w:fill="auto"/>
            <w:noWrap/>
            <w:vAlign w:val="center"/>
          </w:tcPr>
          <w:p w14:paraId="433F381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21.57</w:t>
            </w:r>
          </w:p>
        </w:tc>
        <w:tc>
          <w:tcPr>
            <w:tcW w:w="1588" w:type="pct"/>
            <w:shd w:val="clear" w:color="auto" w:fill="auto"/>
            <w:vAlign w:val="center"/>
          </w:tcPr>
          <w:p w14:paraId="6B57FC9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压力流</w:t>
            </w:r>
          </w:p>
        </w:tc>
      </w:tr>
      <w:tr w14:paraId="2404B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blHeader/>
          <w:jc w:val="center"/>
        </w:trPr>
        <w:tc>
          <w:tcPr>
            <w:tcW w:w="1580" w:type="pct"/>
            <w:shd w:val="clear" w:color="auto" w:fill="auto"/>
            <w:noWrap/>
            <w:vAlign w:val="center"/>
          </w:tcPr>
          <w:p w14:paraId="19BB794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278.3</w:t>
            </w:r>
          </w:p>
        </w:tc>
        <w:tc>
          <w:tcPr>
            <w:tcW w:w="1832" w:type="pct"/>
            <w:shd w:val="clear" w:color="auto" w:fill="auto"/>
            <w:noWrap/>
            <w:vAlign w:val="center"/>
          </w:tcPr>
          <w:p w14:paraId="4827EF9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21.68</w:t>
            </w:r>
          </w:p>
        </w:tc>
        <w:tc>
          <w:tcPr>
            <w:tcW w:w="1588" w:type="pct"/>
            <w:shd w:val="clear" w:color="auto" w:fill="auto"/>
            <w:vAlign w:val="center"/>
          </w:tcPr>
          <w:p w14:paraId="3F1F04B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压力流</w:t>
            </w:r>
          </w:p>
        </w:tc>
      </w:tr>
      <w:tr w14:paraId="564F0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blHeader/>
          <w:jc w:val="center"/>
        </w:trPr>
        <w:tc>
          <w:tcPr>
            <w:tcW w:w="1580" w:type="pct"/>
            <w:shd w:val="clear" w:color="auto" w:fill="auto"/>
            <w:noWrap/>
            <w:vAlign w:val="center"/>
          </w:tcPr>
          <w:p w14:paraId="63AC162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278.8</w:t>
            </w:r>
          </w:p>
        </w:tc>
        <w:tc>
          <w:tcPr>
            <w:tcW w:w="1832" w:type="pct"/>
            <w:shd w:val="clear" w:color="auto" w:fill="auto"/>
            <w:noWrap/>
            <w:vAlign w:val="center"/>
          </w:tcPr>
          <w:p w14:paraId="5BD9AA9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21.8</w:t>
            </w:r>
          </w:p>
        </w:tc>
        <w:tc>
          <w:tcPr>
            <w:tcW w:w="1588" w:type="pct"/>
            <w:shd w:val="clear" w:color="auto" w:fill="auto"/>
            <w:vAlign w:val="center"/>
          </w:tcPr>
          <w:p w14:paraId="4871F19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压力流</w:t>
            </w:r>
          </w:p>
        </w:tc>
      </w:tr>
      <w:tr w14:paraId="666AF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blHeader/>
          <w:jc w:val="center"/>
        </w:trPr>
        <w:tc>
          <w:tcPr>
            <w:tcW w:w="1580" w:type="pct"/>
            <w:shd w:val="clear" w:color="auto" w:fill="auto"/>
            <w:noWrap/>
            <w:vAlign w:val="center"/>
          </w:tcPr>
          <w:p w14:paraId="3189283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279.3</w:t>
            </w:r>
          </w:p>
        </w:tc>
        <w:tc>
          <w:tcPr>
            <w:tcW w:w="1832" w:type="pct"/>
            <w:shd w:val="clear" w:color="auto" w:fill="auto"/>
            <w:noWrap/>
            <w:vAlign w:val="center"/>
          </w:tcPr>
          <w:p w14:paraId="75D78FE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21.93</w:t>
            </w:r>
          </w:p>
        </w:tc>
        <w:tc>
          <w:tcPr>
            <w:tcW w:w="1588" w:type="pct"/>
            <w:shd w:val="clear" w:color="auto" w:fill="auto"/>
            <w:vAlign w:val="center"/>
          </w:tcPr>
          <w:p w14:paraId="69B8824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压力流</w:t>
            </w:r>
          </w:p>
        </w:tc>
      </w:tr>
      <w:tr w14:paraId="51682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blHeader/>
          <w:jc w:val="center"/>
        </w:trPr>
        <w:tc>
          <w:tcPr>
            <w:tcW w:w="1580" w:type="pct"/>
            <w:shd w:val="clear" w:color="auto" w:fill="auto"/>
            <w:noWrap/>
            <w:vAlign w:val="center"/>
          </w:tcPr>
          <w:p w14:paraId="31905AB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279.8</w:t>
            </w:r>
          </w:p>
        </w:tc>
        <w:tc>
          <w:tcPr>
            <w:tcW w:w="1832" w:type="pct"/>
            <w:shd w:val="clear" w:color="auto" w:fill="auto"/>
            <w:noWrap/>
            <w:vAlign w:val="center"/>
          </w:tcPr>
          <w:p w14:paraId="09F5AAF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22.05</w:t>
            </w:r>
          </w:p>
        </w:tc>
        <w:tc>
          <w:tcPr>
            <w:tcW w:w="1588" w:type="pct"/>
            <w:shd w:val="clear" w:color="auto" w:fill="auto"/>
            <w:vAlign w:val="center"/>
          </w:tcPr>
          <w:p w14:paraId="30ABFF2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压力流</w:t>
            </w:r>
          </w:p>
        </w:tc>
      </w:tr>
      <w:tr w14:paraId="3A595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blHeader/>
          <w:jc w:val="center"/>
        </w:trPr>
        <w:tc>
          <w:tcPr>
            <w:tcW w:w="1580" w:type="pct"/>
            <w:shd w:val="clear" w:color="auto" w:fill="auto"/>
            <w:noWrap/>
            <w:vAlign w:val="center"/>
          </w:tcPr>
          <w:p w14:paraId="2437089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280.3</w:t>
            </w:r>
          </w:p>
        </w:tc>
        <w:tc>
          <w:tcPr>
            <w:tcW w:w="1832" w:type="pct"/>
            <w:shd w:val="clear" w:color="auto" w:fill="auto"/>
            <w:noWrap/>
            <w:vAlign w:val="center"/>
          </w:tcPr>
          <w:p w14:paraId="6E51A75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22.16</w:t>
            </w:r>
          </w:p>
        </w:tc>
        <w:tc>
          <w:tcPr>
            <w:tcW w:w="1588" w:type="pct"/>
            <w:shd w:val="clear" w:color="auto" w:fill="auto"/>
            <w:vAlign w:val="center"/>
          </w:tcPr>
          <w:p w14:paraId="4D8D21D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压力流</w:t>
            </w:r>
          </w:p>
        </w:tc>
      </w:tr>
      <w:tr w14:paraId="23F18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blHeader/>
          <w:jc w:val="center"/>
        </w:trPr>
        <w:tc>
          <w:tcPr>
            <w:tcW w:w="1580" w:type="pct"/>
            <w:shd w:val="clear" w:color="auto" w:fill="auto"/>
            <w:noWrap/>
            <w:vAlign w:val="center"/>
          </w:tcPr>
          <w:p w14:paraId="10A9F28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280.8</w:t>
            </w:r>
          </w:p>
        </w:tc>
        <w:tc>
          <w:tcPr>
            <w:tcW w:w="1832" w:type="pct"/>
            <w:shd w:val="clear" w:color="auto" w:fill="auto"/>
            <w:noWrap/>
            <w:vAlign w:val="center"/>
          </w:tcPr>
          <w:p w14:paraId="62CAF1C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22.28</w:t>
            </w:r>
          </w:p>
        </w:tc>
        <w:tc>
          <w:tcPr>
            <w:tcW w:w="1588" w:type="pct"/>
            <w:shd w:val="clear" w:color="auto" w:fill="auto"/>
            <w:vAlign w:val="center"/>
          </w:tcPr>
          <w:p w14:paraId="1EAB128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压力流</w:t>
            </w:r>
          </w:p>
        </w:tc>
      </w:tr>
      <w:tr w14:paraId="28D80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9" w:hRule="atLeast"/>
          <w:tblHeader/>
          <w:jc w:val="center"/>
        </w:trPr>
        <w:tc>
          <w:tcPr>
            <w:tcW w:w="1580" w:type="pct"/>
            <w:shd w:val="clear" w:color="auto" w:fill="auto"/>
            <w:noWrap/>
            <w:vAlign w:val="center"/>
          </w:tcPr>
          <w:p w14:paraId="03F5776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281.3</w:t>
            </w:r>
          </w:p>
        </w:tc>
        <w:tc>
          <w:tcPr>
            <w:tcW w:w="1832" w:type="pct"/>
            <w:shd w:val="clear" w:color="auto" w:fill="auto"/>
            <w:noWrap/>
            <w:vAlign w:val="center"/>
          </w:tcPr>
          <w:p w14:paraId="7AF1C57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22.4</w:t>
            </w:r>
          </w:p>
        </w:tc>
        <w:tc>
          <w:tcPr>
            <w:tcW w:w="1588" w:type="pct"/>
            <w:shd w:val="clear" w:color="auto" w:fill="auto"/>
            <w:vAlign w:val="center"/>
          </w:tcPr>
          <w:p w14:paraId="283232E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压力流</w:t>
            </w:r>
          </w:p>
        </w:tc>
      </w:tr>
      <w:tr w14:paraId="72E2A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blHeader/>
          <w:jc w:val="center"/>
        </w:trPr>
        <w:tc>
          <w:tcPr>
            <w:tcW w:w="1580" w:type="pct"/>
            <w:shd w:val="clear" w:color="auto" w:fill="auto"/>
            <w:noWrap/>
            <w:vAlign w:val="center"/>
          </w:tcPr>
          <w:p w14:paraId="01ADBCA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281.8</w:t>
            </w:r>
          </w:p>
        </w:tc>
        <w:tc>
          <w:tcPr>
            <w:tcW w:w="1832" w:type="pct"/>
            <w:shd w:val="clear" w:color="auto" w:fill="auto"/>
            <w:noWrap/>
            <w:vAlign w:val="center"/>
          </w:tcPr>
          <w:p w14:paraId="012AED1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22.53</w:t>
            </w:r>
          </w:p>
        </w:tc>
        <w:tc>
          <w:tcPr>
            <w:tcW w:w="1588" w:type="pct"/>
            <w:shd w:val="clear" w:color="auto" w:fill="auto"/>
            <w:vAlign w:val="center"/>
          </w:tcPr>
          <w:p w14:paraId="66D7764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压力流</w:t>
            </w:r>
          </w:p>
        </w:tc>
      </w:tr>
      <w:tr w14:paraId="43F8A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blHeader/>
          <w:jc w:val="center"/>
        </w:trPr>
        <w:tc>
          <w:tcPr>
            <w:tcW w:w="1580" w:type="pct"/>
            <w:shd w:val="clear" w:color="auto" w:fill="auto"/>
            <w:noWrap/>
            <w:vAlign w:val="center"/>
          </w:tcPr>
          <w:p w14:paraId="7B31DD6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282.3</w:t>
            </w:r>
          </w:p>
        </w:tc>
        <w:tc>
          <w:tcPr>
            <w:tcW w:w="1832" w:type="pct"/>
            <w:shd w:val="clear" w:color="auto" w:fill="auto"/>
            <w:noWrap/>
            <w:vAlign w:val="center"/>
          </w:tcPr>
          <w:p w14:paraId="4308787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22.64</w:t>
            </w:r>
          </w:p>
        </w:tc>
        <w:tc>
          <w:tcPr>
            <w:tcW w:w="1588" w:type="pct"/>
            <w:shd w:val="clear" w:color="auto" w:fill="auto"/>
            <w:vAlign w:val="center"/>
          </w:tcPr>
          <w:p w14:paraId="3701326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压力流</w:t>
            </w:r>
          </w:p>
        </w:tc>
      </w:tr>
      <w:tr w14:paraId="34180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blHeader/>
          <w:jc w:val="center"/>
        </w:trPr>
        <w:tc>
          <w:tcPr>
            <w:tcW w:w="1580" w:type="pct"/>
            <w:shd w:val="clear" w:color="auto" w:fill="auto"/>
            <w:noWrap/>
            <w:vAlign w:val="center"/>
          </w:tcPr>
          <w:p w14:paraId="36057FA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282.8</w:t>
            </w:r>
          </w:p>
        </w:tc>
        <w:tc>
          <w:tcPr>
            <w:tcW w:w="1832" w:type="pct"/>
            <w:shd w:val="clear" w:color="auto" w:fill="auto"/>
            <w:noWrap/>
            <w:vAlign w:val="center"/>
          </w:tcPr>
          <w:p w14:paraId="0C00025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22.79</w:t>
            </w:r>
          </w:p>
        </w:tc>
        <w:tc>
          <w:tcPr>
            <w:tcW w:w="1588" w:type="pct"/>
            <w:shd w:val="clear" w:color="auto" w:fill="auto"/>
            <w:vAlign w:val="center"/>
          </w:tcPr>
          <w:p w14:paraId="77668C0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压力流</w:t>
            </w:r>
          </w:p>
        </w:tc>
      </w:tr>
    </w:tbl>
    <w:p w14:paraId="6BED79BF">
      <w:pPr>
        <w:spacing w:line="360" w:lineRule="auto"/>
        <w:ind w:firstLine="420" w:firstLineChars="200"/>
        <w:jc w:val="center"/>
        <w:rPr>
          <w:rFonts w:ascii="Calibri" w:hAnsi="Calibri" w:eastAsia="宋体"/>
          <w:color w:val="auto"/>
          <w:sz w:val="21"/>
          <w:szCs w:val="22"/>
        </w:rPr>
      </w:pPr>
      <w:bookmarkStart w:id="120" w:name="_Toc79366499"/>
    </w:p>
    <w:p w14:paraId="19E15EE6">
      <w:pPr>
        <w:spacing w:line="360" w:lineRule="auto"/>
        <w:ind w:firstLine="420" w:firstLineChars="200"/>
        <w:jc w:val="center"/>
        <w:rPr>
          <w:rFonts w:ascii="仿宋_GB2312" w:hAnsi="Times New Roman" w:eastAsia="仿宋_GB2312" w:cs="Times New Roman"/>
          <w:color w:val="auto"/>
          <w:kern w:val="0"/>
          <w:sz w:val="28"/>
          <w:szCs w:val="24"/>
        </w:rPr>
      </w:pPr>
      <w:r>
        <w:rPr>
          <w:rFonts w:ascii="Calibri" w:hAnsi="Calibri" w:eastAsia="宋体"/>
          <w:color w:val="auto"/>
          <w:sz w:val="21"/>
          <w:szCs w:val="22"/>
        </w:rPr>
        <w:drawing>
          <wp:inline distT="0" distB="0" distL="0" distR="0">
            <wp:extent cx="4850765" cy="2846705"/>
            <wp:effectExtent l="4445" t="4445" r="21590" b="6350"/>
            <wp:docPr id="197315782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1"/>
              </a:graphicData>
            </a:graphic>
          </wp:inline>
        </w:drawing>
      </w:r>
    </w:p>
    <w:p w14:paraId="76026F86">
      <w:pPr>
        <w:bidi w:val="0"/>
        <w:ind w:left="0" w:leftChars="0" w:firstLine="0" w:firstLineChars="0"/>
        <w:jc w:val="center"/>
        <w:rPr>
          <w:color w:val="auto"/>
          <w:lang w:val="en-US" w:eastAsia="zh-CN"/>
        </w:rPr>
      </w:pPr>
      <w:r>
        <w:rPr>
          <w:rFonts w:hint="eastAsia"/>
          <w:color w:val="auto"/>
          <w:lang w:val="en-US" w:eastAsia="zh-CN"/>
        </w:rPr>
        <w:t xml:space="preserve">图4.3-2   </w:t>
      </w:r>
      <w:r>
        <w:rPr>
          <w:color w:val="auto"/>
          <w:lang w:val="en-US" w:eastAsia="zh-CN"/>
        </w:rPr>
        <w:t>排洪构筑物泄流能力</w:t>
      </w:r>
      <w:r>
        <w:rPr>
          <w:rFonts w:hint="eastAsia"/>
          <w:color w:val="auto"/>
          <w:lang w:val="en-US" w:eastAsia="zh-CN"/>
        </w:rPr>
        <w:t>曲</w:t>
      </w:r>
      <w:r>
        <w:rPr>
          <w:color w:val="auto"/>
          <w:lang w:val="en-US" w:eastAsia="zh-CN"/>
        </w:rPr>
        <w:t>线</w:t>
      </w:r>
    </w:p>
    <w:bookmarkEnd w:id="120"/>
    <w:p w14:paraId="22636DBB">
      <w:pPr>
        <w:bidi w:val="0"/>
        <w:rPr>
          <w:rFonts w:hint="eastAsia"/>
          <w:color w:val="auto"/>
          <w:lang w:val="en-US" w:eastAsia="zh-CN"/>
        </w:rPr>
      </w:pPr>
      <w:bookmarkStart w:id="121" w:name="_Toc79366500"/>
      <w:bookmarkStart w:id="122" w:name="_Toc159457368"/>
      <w:r>
        <w:rPr>
          <w:rFonts w:hint="eastAsia"/>
          <w:color w:val="auto"/>
          <w:lang w:val="en-US" w:eastAsia="zh-CN"/>
        </w:rPr>
        <w:t>4. 尾矿库调洪演算</w:t>
      </w:r>
      <w:bookmarkEnd w:id="121"/>
      <w:bookmarkEnd w:id="122"/>
    </w:p>
    <w:p w14:paraId="5B757327">
      <w:pPr>
        <w:bidi w:val="0"/>
        <w:rPr>
          <w:color w:val="auto"/>
        </w:rPr>
      </w:pPr>
      <w:r>
        <w:rPr>
          <w:rFonts w:hint="eastAsia"/>
          <w:color w:val="auto"/>
        </w:rPr>
        <w:t>（1）</w:t>
      </w:r>
      <w:r>
        <w:rPr>
          <w:color w:val="auto"/>
        </w:rPr>
        <w:t>调洪库容</w:t>
      </w:r>
    </w:p>
    <w:p w14:paraId="43CF7F4D">
      <w:pPr>
        <w:bidi w:val="0"/>
        <w:rPr>
          <w:color w:val="auto"/>
        </w:rPr>
      </w:pPr>
      <w:r>
        <w:rPr>
          <w:rFonts w:hint="eastAsia"/>
          <w:color w:val="auto"/>
        </w:rPr>
        <w:t>根据库</w:t>
      </w:r>
      <w:r>
        <w:rPr>
          <w:color w:val="auto"/>
        </w:rPr>
        <w:t>区现状地形图计算，</w:t>
      </w:r>
      <w:r>
        <w:rPr>
          <w:rFonts w:hint="eastAsia"/>
          <w:color w:val="auto"/>
        </w:rPr>
        <w:t>尾矿库现状滩顶高程为</w:t>
      </w:r>
      <w:r>
        <w:rPr>
          <w:rFonts w:hint="eastAsia"/>
          <w:color w:val="auto"/>
          <w:lang w:val="en-US" w:eastAsia="zh-CN"/>
        </w:rPr>
        <w:t>+</w:t>
      </w:r>
      <w:r>
        <w:rPr>
          <w:rFonts w:hint="eastAsia"/>
          <w:color w:val="auto"/>
        </w:rPr>
        <w:t>2</w:t>
      </w:r>
      <w:r>
        <w:rPr>
          <w:color w:val="auto"/>
        </w:rPr>
        <w:t>85.5</w:t>
      </w:r>
      <w:r>
        <w:rPr>
          <w:rFonts w:hint="eastAsia"/>
          <w:color w:val="auto"/>
        </w:rPr>
        <w:t>m，目前</w:t>
      </w:r>
      <w:r>
        <w:rPr>
          <w:color w:val="auto"/>
        </w:rPr>
        <w:t>尾矿库</w:t>
      </w:r>
      <w:r>
        <w:rPr>
          <w:rFonts w:hint="eastAsia"/>
          <w:color w:val="auto"/>
        </w:rPr>
        <w:t>正常</w:t>
      </w:r>
      <w:r>
        <w:rPr>
          <w:color w:val="auto"/>
        </w:rPr>
        <w:t>运行</w:t>
      </w:r>
      <w:r>
        <w:rPr>
          <w:rFonts w:hint="eastAsia"/>
          <w:color w:val="auto"/>
        </w:rPr>
        <w:t>时水位为</w:t>
      </w:r>
      <w:r>
        <w:rPr>
          <w:rFonts w:hint="eastAsia"/>
          <w:color w:val="auto"/>
          <w:lang w:val="en-US" w:eastAsia="zh-CN"/>
        </w:rPr>
        <w:t>+</w:t>
      </w:r>
      <w:r>
        <w:rPr>
          <w:rFonts w:hint="eastAsia"/>
          <w:color w:val="auto"/>
        </w:rPr>
        <w:t>2</w:t>
      </w:r>
      <w:r>
        <w:rPr>
          <w:color w:val="auto"/>
        </w:rPr>
        <w:t>71.</w:t>
      </w:r>
      <w:r>
        <w:rPr>
          <w:rFonts w:hint="eastAsia"/>
          <w:color w:val="auto"/>
        </w:rPr>
        <w:t>3</w:t>
      </w:r>
      <w:r>
        <w:rPr>
          <w:color w:val="auto"/>
        </w:rPr>
        <w:t>0</w:t>
      </w:r>
      <w:r>
        <w:rPr>
          <w:rFonts w:hint="eastAsia"/>
          <w:color w:val="auto"/>
        </w:rPr>
        <w:t>m</w:t>
      </w:r>
      <w:r>
        <w:rPr>
          <w:color w:val="auto"/>
        </w:rPr>
        <w:t>，</w:t>
      </w:r>
      <w:r>
        <w:rPr>
          <w:rFonts w:hint="eastAsia"/>
          <w:color w:val="auto"/>
        </w:rPr>
        <w:t>尾</w:t>
      </w:r>
      <w:r>
        <w:rPr>
          <w:color w:val="auto"/>
        </w:rPr>
        <w:t>矿干滩长度约526</w:t>
      </w:r>
      <w:r>
        <w:rPr>
          <w:rFonts w:hint="eastAsia"/>
          <w:color w:val="auto"/>
        </w:rPr>
        <w:t>m，尾矿库现状干</w:t>
      </w:r>
      <w:r>
        <w:rPr>
          <w:color w:val="auto"/>
        </w:rPr>
        <w:t>滩平均坡度</w:t>
      </w:r>
      <w:r>
        <w:rPr>
          <w:rFonts w:hint="eastAsia"/>
          <w:color w:val="auto"/>
        </w:rPr>
        <w:t>为</w:t>
      </w:r>
      <w:r>
        <w:rPr>
          <w:color w:val="auto"/>
        </w:rPr>
        <w:t>0.0268</w:t>
      </w:r>
      <w:r>
        <w:rPr>
          <w:rFonts w:hint="eastAsia"/>
          <w:color w:val="auto"/>
        </w:rPr>
        <w:t>，考虑排水井盖板的影响，排</w:t>
      </w:r>
      <w:r>
        <w:rPr>
          <w:color w:val="auto"/>
        </w:rPr>
        <w:t>洪系统调洪</w:t>
      </w:r>
      <w:r>
        <w:rPr>
          <w:rFonts w:hint="eastAsia"/>
          <w:color w:val="auto"/>
        </w:rPr>
        <w:t>演算</w:t>
      </w:r>
      <w:r>
        <w:rPr>
          <w:color w:val="auto"/>
        </w:rPr>
        <w:t>排水井起调水位即为271.</w:t>
      </w:r>
      <w:r>
        <w:rPr>
          <w:rFonts w:hint="eastAsia"/>
          <w:color w:val="auto"/>
        </w:rPr>
        <w:t>3</w:t>
      </w:r>
      <w:r>
        <w:rPr>
          <w:color w:val="auto"/>
        </w:rPr>
        <w:t>0</w:t>
      </w:r>
      <w:r>
        <w:rPr>
          <w:rFonts w:hint="eastAsia"/>
          <w:color w:val="auto"/>
        </w:rPr>
        <w:t>m。</w:t>
      </w:r>
    </w:p>
    <w:p w14:paraId="0A53888A">
      <w:pPr>
        <w:bidi w:val="0"/>
        <w:ind w:left="0" w:leftChars="0" w:firstLine="0" w:firstLineChars="0"/>
        <w:jc w:val="center"/>
        <w:rPr>
          <w:rFonts w:hint="eastAsia"/>
          <w:color w:val="auto"/>
          <w:lang w:val="en-GB" w:eastAsia="zh-CN"/>
        </w:rPr>
      </w:pPr>
      <w:r>
        <w:rPr>
          <w:rFonts w:hint="eastAsia"/>
          <w:color w:val="auto"/>
          <w:lang w:val="en-US" w:eastAsia="zh-CN"/>
        </w:rPr>
        <w:t>表4.3-6</w:t>
      </w:r>
      <w:r>
        <w:rPr>
          <w:rFonts w:hint="eastAsia"/>
          <w:color w:val="auto"/>
          <w:lang w:val="en-GB" w:eastAsia="zh-CN"/>
        </w:rPr>
        <w:t xml:space="preserve"> 现</w:t>
      </w:r>
      <w:r>
        <w:rPr>
          <w:color w:val="auto"/>
          <w:lang w:val="en-GB" w:eastAsia="zh-CN"/>
        </w:rPr>
        <w:t>状调洪库容表</w:t>
      </w:r>
      <w:r>
        <w:rPr>
          <w:rFonts w:hint="eastAsia"/>
          <w:color w:val="auto"/>
          <w:lang w:val="en-GB" w:eastAsia="zh-CN"/>
        </w:rPr>
        <w:t>（滩顶高</w:t>
      </w:r>
      <w:r>
        <w:rPr>
          <w:color w:val="auto"/>
          <w:lang w:val="en-GB" w:eastAsia="zh-CN"/>
        </w:rPr>
        <w:t>程</w:t>
      </w:r>
      <w:r>
        <w:rPr>
          <w:rFonts w:hint="eastAsia"/>
          <w:color w:val="auto"/>
          <w:lang w:val="en-US" w:eastAsia="zh-CN"/>
        </w:rPr>
        <w:t>+</w:t>
      </w:r>
      <w:r>
        <w:rPr>
          <w:color w:val="auto"/>
          <w:lang w:val="en-GB" w:eastAsia="zh-CN"/>
        </w:rPr>
        <w:t>285</w:t>
      </w:r>
      <w:r>
        <w:rPr>
          <w:rFonts w:hint="eastAsia"/>
          <w:color w:val="auto"/>
          <w:lang w:val="en-GB" w:eastAsia="zh-CN"/>
        </w:rPr>
        <w:t>.</w:t>
      </w:r>
      <w:r>
        <w:rPr>
          <w:color w:val="auto"/>
          <w:lang w:val="en-GB" w:eastAsia="zh-CN"/>
        </w:rPr>
        <w:t>5</w:t>
      </w:r>
      <w:r>
        <w:rPr>
          <w:rFonts w:hint="eastAsia"/>
          <w:color w:val="auto"/>
          <w:lang w:val="en-GB" w:eastAsia="zh-CN"/>
        </w:rPr>
        <w:t>m</w:t>
      </w:r>
      <w:r>
        <w:rPr>
          <w:color w:val="auto"/>
          <w:lang w:val="en-GB" w:eastAsia="zh-CN"/>
        </w:rPr>
        <w:t>）</w:t>
      </w:r>
    </w:p>
    <w:tbl>
      <w:tblPr>
        <w:tblStyle w:val="19"/>
        <w:tblW w:w="5000" w:type="pct"/>
        <w:tblInd w:w="0" w:type="dxa"/>
        <w:tblLayout w:type="autofit"/>
        <w:tblCellMar>
          <w:top w:w="0" w:type="dxa"/>
          <w:left w:w="108" w:type="dxa"/>
          <w:bottom w:w="0" w:type="dxa"/>
          <w:right w:w="108" w:type="dxa"/>
        </w:tblCellMar>
      </w:tblPr>
      <w:tblGrid>
        <w:gridCol w:w="1128"/>
        <w:gridCol w:w="1386"/>
        <w:gridCol w:w="2001"/>
        <w:gridCol w:w="1386"/>
        <w:gridCol w:w="2001"/>
        <w:gridCol w:w="1386"/>
      </w:tblGrid>
      <w:tr w14:paraId="4C59C97B">
        <w:tblPrEx>
          <w:tblCellMar>
            <w:top w:w="0" w:type="dxa"/>
            <w:left w:w="108" w:type="dxa"/>
            <w:bottom w:w="0" w:type="dxa"/>
            <w:right w:w="108" w:type="dxa"/>
          </w:tblCellMar>
        </w:tblPrEx>
        <w:trPr>
          <w:trHeight w:val="684" w:hRule="atLeast"/>
          <w:tblHeader/>
        </w:trPr>
        <w:tc>
          <w:tcPr>
            <w:tcW w:w="607" w:type="pct"/>
            <w:tcBorders>
              <w:top w:val="single" w:color="auto" w:sz="4" w:space="0"/>
              <w:left w:val="single" w:color="auto" w:sz="4" w:space="0"/>
              <w:bottom w:val="single" w:color="auto" w:sz="4" w:space="0"/>
              <w:right w:val="single" w:color="auto" w:sz="4" w:space="0"/>
            </w:tcBorders>
            <w:shd w:val="clear" w:color="auto" w:fill="auto"/>
            <w:vAlign w:val="center"/>
          </w:tcPr>
          <w:p w14:paraId="41A9C84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标高(m)</w:t>
            </w:r>
          </w:p>
        </w:tc>
        <w:tc>
          <w:tcPr>
            <w:tcW w:w="746" w:type="pct"/>
            <w:tcBorders>
              <w:top w:val="single" w:color="auto" w:sz="4" w:space="0"/>
              <w:left w:val="nil"/>
              <w:bottom w:val="single" w:color="auto" w:sz="4" w:space="0"/>
              <w:right w:val="single" w:color="auto" w:sz="4" w:space="0"/>
            </w:tcBorders>
            <w:shd w:val="clear" w:color="auto" w:fill="auto"/>
            <w:vAlign w:val="center"/>
          </w:tcPr>
          <w:p w14:paraId="297479A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面积(m</w:t>
            </w:r>
            <w:r>
              <w:rPr>
                <w:rFonts w:hint="eastAsia" w:ascii="Times New Roman" w:hAnsi="Times New Roman" w:cs="Times New Roman"/>
                <w:color w:val="auto"/>
                <w:sz w:val="24"/>
                <w:szCs w:val="24"/>
                <w:vertAlign w:val="superscript"/>
              </w:rPr>
              <w:t>2</w:t>
            </w:r>
            <w:r>
              <w:rPr>
                <w:rFonts w:hint="eastAsia" w:ascii="Times New Roman" w:hAnsi="Times New Roman" w:cs="Times New Roman"/>
                <w:color w:val="auto"/>
                <w:sz w:val="24"/>
                <w:szCs w:val="24"/>
              </w:rPr>
              <w:t>)</w:t>
            </w:r>
          </w:p>
        </w:tc>
        <w:tc>
          <w:tcPr>
            <w:tcW w:w="1077" w:type="pct"/>
            <w:tcBorders>
              <w:top w:val="single" w:color="auto" w:sz="4" w:space="0"/>
              <w:left w:val="nil"/>
              <w:bottom w:val="single" w:color="auto" w:sz="4" w:space="0"/>
              <w:right w:val="single" w:color="auto" w:sz="4" w:space="0"/>
            </w:tcBorders>
            <w:shd w:val="clear" w:color="auto" w:fill="auto"/>
            <w:vAlign w:val="center"/>
          </w:tcPr>
          <w:p w14:paraId="746C925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平均面积(m</w:t>
            </w:r>
            <w:r>
              <w:rPr>
                <w:rFonts w:hint="eastAsia" w:ascii="Times New Roman" w:hAnsi="Times New Roman" w:cs="Times New Roman"/>
                <w:color w:val="auto"/>
                <w:sz w:val="24"/>
                <w:szCs w:val="24"/>
                <w:vertAlign w:val="superscript"/>
              </w:rPr>
              <w:t>2</w:t>
            </w:r>
            <w:r>
              <w:rPr>
                <w:rFonts w:hint="eastAsia" w:ascii="Times New Roman" w:hAnsi="Times New Roman" w:cs="Times New Roman"/>
                <w:color w:val="auto"/>
                <w:sz w:val="24"/>
                <w:szCs w:val="24"/>
              </w:rPr>
              <w:t>)</w:t>
            </w:r>
          </w:p>
        </w:tc>
        <w:tc>
          <w:tcPr>
            <w:tcW w:w="746" w:type="pct"/>
            <w:tcBorders>
              <w:top w:val="single" w:color="auto" w:sz="4" w:space="0"/>
              <w:left w:val="nil"/>
              <w:bottom w:val="single" w:color="auto" w:sz="4" w:space="0"/>
              <w:right w:val="single" w:color="auto" w:sz="4" w:space="0"/>
            </w:tcBorders>
            <w:shd w:val="clear" w:color="auto" w:fill="auto"/>
            <w:vAlign w:val="center"/>
          </w:tcPr>
          <w:p w14:paraId="0436680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高差(m)</w:t>
            </w:r>
          </w:p>
        </w:tc>
        <w:tc>
          <w:tcPr>
            <w:tcW w:w="1077" w:type="pct"/>
            <w:tcBorders>
              <w:top w:val="single" w:color="auto" w:sz="4" w:space="0"/>
              <w:left w:val="nil"/>
              <w:bottom w:val="single" w:color="auto" w:sz="4" w:space="0"/>
              <w:right w:val="single" w:color="auto" w:sz="4" w:space="0"/>
            </w:tcBorders>
            <w:shd w:val="clear" w:color="auto" w:fill="auto"/>
            <w:vAlign w:val="center"/>
          </w:tcPr>
          <w:p w14:paraId="3640869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库容(m</w:t>
            </w:r>
            <w:r>
              <w:rPr>
                <w:rFonts w:hint="eastAsia" w:ascii="Times New Roman" w:hAnsi="Times New Roman" w:cs="Times New Roman"/>
                <w:color w:val="auto"/>
                <w:sz w:val="24"/>
                <w:szCs w:val="24"/>
                <w:vertAlign w:val="superscript"/>
              </w:rPr>
              <w:t>3</w:t>
            </w:r>
            <w:r>
              <w:rPr>
                <w:rFonts w:hint="eastAsia" w:ascii="Times New Roman" w:hAnsi="Times New Roman" w:cs="Times New Roman"/>
                <w:color w:val="auto"/>
                <w:sz w:val="24"/>
                <w:szCs w:val="24"/>
              </w:rPr>
              <w:t>)</w:t>
            </w:r>
          </w:p>
        </w:tc>
        <w:tc>
          <w:tcPr>
            <w:tcW w:w="746" w:type="pct"/>
            <w:tcBorders>
              <w:top w:val="single" w:color="auto" w:sz="4" w:space="0"/>
              <w:left w:val="nil"/>
              <w:bottom w:val="single" w:color="auto" w:sz="4" w:space="0"/>
              <w:right w:val="single" w:color="auto" w:sz="4" w:space="0"/>
            </w:tcBorders>
            <w:shd w:val="clear" w:color="auto" w:fill="auto"/>
            <w:vAlign w:val="center"/>
          </w:tcPr>
          <w:p w14:paraId="647735D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累计库容(m</w:t>
            </w:r>
            <w:r>
              <w:rPr>
                <w:rFonts w:hint="eastAsia" w:ascii="Times New Roman" w:hAnsi="Times New Roman" w:cs="Times New Roman"/>
                <w:color w:val="auto"/>
                <w:sz w:val="24"/>
                <w:szCs w:val="24"/>
                <w:vertAlign w:val="superscript"/>
              </w:rPr>
              <w:t>3</w:t>
            </w:r>
            <w:r>
              <w:rPr>
                <w:rFonts w:hint="eastAsia" w:ascii="Times New Roman" w:hAnsi="Times New Roman" w:cs="Times New Roman"/>
                <w:color w:val="auto"/>
                <w:sz w:val="24"/>
                <w:szCs w:val="24"/>
              </w:rPr>
              <w:t>)</w:t>
            </w:r>
          </w:p>
        </w:tc>
      </w:tr>
      <w:tr w14:paraId="43BB459B">
        <w:tblPrEx>
          <w:tblCellMar>
            <w:top w:w="0" w:type="dxa"/>
            <w:left w:w="108" w:type="dxa"/>
            <w:bottom w:w="0" w:type="dxa"/>
            <w:right w:w="108" w:type="dxa"/>
          </w:tblCellMar>
        </w:tblPrEx>
        <w:trPr>
          <w:trHeight w:val="562" w:hRule="atLeast"/>
        </w:trPr>
        <w:tc>
          <w:tcPr>
            <w:tcW w:w="607" w:type="pct"/>
            <w:tcBorders>
              <w:top w:val="single" w:color="auto" w:sz="4" w:space="0"/>
              <w:left w:val="single" w:color="auto" w:sz="4" w:space="0"/>
              <w:bottom w:val="single" w:color="auto" w:sz="4" w:space="0"/>
              <w:right w:val="single" w:color="auto" w:sz="4" w:space="0"/>
            </w:tcBorders>
            <w:shd w:val="clear" w:color="auto" w:fill="auto"/>
            <w:vAlign w:val="center"/>
          </w:tcPr>
          <w:p w14:paraId="2B9352F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271.4</w:t>
            </w:r>
          </w:p>
        </w:tc>
        <w:tc>
          <w:tcPr>
            <w:tcW w:w="746" w:type="pct"/>
            <w:tcBorders>
              <w:top w:val="single" w:color="auto" w:sz="4" w:space="0"/>
              <w:left w:val="nil"/>
              <w:bottom w:val="single" w:color="auto" w:sz="4" w:space="0"/>
              <w:right w:val="single" w:color="auto" w:sz="4" w:space="0"/>
            </w:tcBorders>
            <w:shd w:val="clear" w:color="auto" w:fill="auto"/>
            <w:vAlign w:val="center"/>
          </w:tcPr>
          <w:p w14:paraId="4DE3B5E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118580</w:t>
            </w:r>
          </w:p>
        </w:tc>
        <w:tc>
          <w:tcPr>
            <w:tcW w:w="1077" w:type="pct"/>
            <w:tcBorders>
              <w:top w:val="single" w:color="auto" w:sz="4" w:space="0"/>
              <w:left w:val="nil"/>
              <w:bottom w:val="single" w:color="auto" w:sz="4" w:space="0"/>
              <w:right w:val="single" w:color="auto" w:sz="4" w:space="0"/>
            </w:tcBorders>
            <w:shd w:val="clear" w:color="auto" w:fill="auto"/>
            <w:vAlign w:val="center"/>
          </w:tcPr>
          <w:p w14:paraId="33C68B1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c>
          <w:tcPr>
            <w:tcW w:w="746" w:type="pct"/>
            <w:tcBorders>
              <w:top w:val="single" w:color="auto" w:sz="4" w:space="0"/>
              <w:left w:val="nil"/>
              <w:bottom w:val="single" w:color="auto" w:sz="4" w:space="0"/>
              <w:right w:val="single" w:color="auto" w:sz="4" w:space="0"/>
            </w:tcBorders>
            <w:shd w:val="clear" w:color="auto" w:fill="auto"/>
            <w:vAlign w:val="center"/>
          </w:tcPr>
          <w:p w14:paraId="62D34E0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c>
          <w:tcPr>
            <w:tcW w:w="1077" w:type="pct"/>
            <w:tcBorders>
              <w:top w:val="single" w:color="auto" w:sz="4" w:space="0"/>
              <w:left w:val="nil"/>
              <w:bottom w:val="single" w:color="auto" w:sz="4" w:space="0"/>
              <w:right w:val="single" w:color="auto" w:sz="4" w:space="0"/>
            </w:tcBorders>
            <w:shd w:val="clear" w:color="auto" w:fill="auto"/>
            <w:vAlign w:val="center"/>
          </w:tcPr>
          <w:p w14:paraId="5F64ED0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c>
          <w:tcPr>
            <w:tcW w:w="746" w:type="pct"/>
            <w:tcBorders>
              <w:top w:val="single" w:color="auto" w:sz="4" w:space="0"/>
              <w:left w:val="nil"/>
              <w:bottom w:val="single" w:color="auto" w:sz="4" w:space="0"/>
              <w:right w:val="single" w:color="auto" w:sz="4" w:space="0"/>
            </w:tcBorders>
            <w:shd w:val="clear" w:color="auto" w:fill="auto"/>
            <w:vAlign w:val="center"/>
          </w:tcPr>
          <w:p w14:paraId="3DE6363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0</w:t>
            </w:r>
          </w:p>
        </w:tc>
      </w:tr>
      <w:tr w14:paraId="1EA8BD36">
        <w:tblPrEx>
          <w:tblCellMar>
            <w:top w:w="0" w:type="dxa"/>
            <w:left w:w="108" w:type="dxa"/>
            <w:bottom w:w="0" w:type="dxa"/>
            <w:right w:w="108" w:type="dxa"/>
          </w:tblCellMar>
        </w:tblPrEx>
        <w:trPr>
          <w:trHeight w:val="414" w:hRule="atLeast"/>
        </w:trPr>
        <w:tc>
          <w:tcPr>
            <w:tcW w:w="607" w:type="pct"/>
            <w:tcBorders>
              <w:top w:val="single" w:color="auto" w:sz="4" w:space="0"/>
              <w:left w:val="single" w:color="auto" w:sz="4" w:space="0"/>
              <w:bottom w:val="single" w:color="auto" w:sz="4" w:space="0"/>
              <w:right w:val="single" w:color="auto" w:sz="4" w:space="0"/>
            </w:tcBorders>
            <w:shd w:val="clear" w:color="auto" w:fill="auto"/>
            <w:vAlign w:val="center"/>
          </w:tcPr>
          <w:p w14:paraId="026A32C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272</w:t>
            </w:r>
          </w:p>
        </w:tc>
        <w:tc>
          <w:tcPr>
            <w:tcW w:w="746" w:type="pct"/>
            <w:tcBorders>
              <w:top w:val="single" w:color="auto" w:sz="4" w:space="0"/>
              <w:left w:val="nil"/>
              <w:bottom w:val="single" w:color="auto" w:sz="4" w:space="0"/>
              <w:right w:val="single" w:color="auto" w:sz="4" w:space="0"/>
            </w:tcBorders>
            <w:shd w:val="clear" w:color="auto" w:fill="auto"/>
            <w:vAlign w:val="center"/>
          </w:tcPr>
          <w:p w14:paraId="3F2B1CF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145345</w:t>
            </w:r>
          </w:p>
        </w:tc>
        <w:tc>
          <w:tcPr>
            <w:tcW w:w="1077" w:type="pct"/>
            <w:tcBorders>
              <w:top w:val="single" w:color="auto" w:sz="4" w:space="0"/>
              <w:left w:val="nil"/>
              <w:bottom w:val="single" w:color="auto" w:sz="4" w:space="0"/>
              <w:right w:val="single" w:color="auto" w:sz="4" w:space="0"/>
            </w:tcBorders>
            <w:shd w:val="clear" w:color="auto" w:fill="auto"/>
            <w:vAlign w:val="center"/>
          </w:tcPr>
          <w:p w14:paraId="74020DC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131962.5</w:t>
            </w:r>
          </w:p>
        </w:tc>
        <w:tc>
          <w:tcPr>
            <w:tcW w:w="746" w:type="pct"/>
            <w:tcBorders>
              <w:top w:val="single" w:color="auto" w:sz="4" w:space="0"/>
              <w:left w:val="nil"/>
              <w:bottom w:val="single" w:color="auto" w:sz="4" w:space="0"/>
              <w:right w:val="single" w:color="auto" w:sz="4" w:space="0"/>
            </w:tcBorders>
            <w:shd w:val="clear" w:color="auto" w:fill="auto"/>
            <w:vAlign w:val="center"/>
          </w:tcPr>
          <w:p w14:paraId="0DD8C14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0.7</w:t>
            </w:r>
          </w:p>
        </w:tc>
        <w:tc>
          <w:tcPr>
            <w:tcW w:w="1077" w:type="pct"/>
            <w:tcBorders>
              <w:top w:val="single" w:color="auto" w:sz="4" w:space="0"/>
              <w:left w:val="nil"/>
              <w:bottom w:val="single" w:color="auto" w:sz="4" w:space="0"/>
              <w:right w:val="single" w:color="auto" w:sz="4" w:space="0"/>
            </w:tcBorders>
            <w:shd w:val="clear" w:color="auto" w:fill="auto"/>
            <w:vAlign w:val="center"/>
          </w:tcPr>
          <w:p w14:paraId="4F7A824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92373.75</w:t>
            </w:r>
          </w:p>
        </w:tc>
        <w:tc>
          <w:tcPr>
            <w:tcW w:w="746" w:type="pct"/>
            <w:tcBorders>
              <w:top w:val="single" w:color="auto" w:sz="4" w:space="0"/>
              <w:left w:val="nil"/>
              <w:bottom w:val="single" w:color="auto" w:sz="4" w:space="0"/>
              <w:right w:val="single" w:color="auto" w:sz="4" w:space="0"/>
            </w:tcBorders>
            <w:shd w:val="clear" w:color="auto" w:fill="auto"/>
            <w:vAlign w:val="center"/>
          </w:tcPr>
          <w:p w14:paraId="29E3AE7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92373.75</w:t>
            </w:r>
          </w:p>
        </w:tc>
      </w:tr>
      <w:tr w14:paraId="6AE82ACA">
        <w:tblPrEx>
          <w:tblCellMar>
            <w:top w:w="0" w:type="dxa"/>
            <w:left w:w="108" w:type="dxa"/>
            <w:bottom w:w="0" w:type="dxa"/>
            <w:right w:w="108" w:type="dxa"/>
          </w:tblCellMar>
        </w:tblPrEx>
        <w:trPr>
          <w:trHeight w:val="420" w:hRule="atLeast"/>
        </w:trPr>
        <w:tc>
          <w:tcPr>
            <w:tcW w:w="607" w:type="pct"/>
            <w:tcBorders>
              <w:top w:val="single" w:color="auto" w:sz="4" w:space="0"/>
              <w:left w:val="single" w:color="auto" w:sz="4" w:space="0"/>
              <w:bottom w:val="single" w:color="auto" w:sz="4" w:space="0"/>
              <w:right w:val="single" w:color="auto" w:sz="4" w:space="0"/>
            </w:tcBorders>
            <w:shd w:val="clear" w:color="auto" w:fill="auto"/>
            <w:vAlign w:val="center"/>
          </w:tcPr>
          <w:p w14:paraId="4A6F7A0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274</w:t>
            </w:r>
          </w:p>
        </w:tc>
        <w:tc>
          <w:tcPr>
            <w:tcW w:w="746" w:type="pct"/>
            <w:tcBorders>
              <w:top w:val="single" w:color="auto" w:sz="4" w:space="0"/>
              <w:left w:val="nil"/>
              <w:bottom w:val="single" w:color="auto" w:sz="4" w:space="0"/>
              <w:right w:val="single" w:color="auto" w:sz="4" w:space="0"/>
            </w:tcBorders>
            <w:shd w:val="clear" w:color="auto" w:fill="auto"/>
            <w:vAlign w:val="center"/>
          </w:tcPr>
          <w:p w14:paraId="31A8A42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175162</w:t>
            </w:r>
          </w:p>
        </w:tc>
        <w:tc>
          <w:tcPr>
            <w:tcW w:w="1077" w:type="pct"/>
            <w:tcBorders>
              <w:top w:val="single" w:color="auto" w:sz="4" w:space="0"/>
              <w:left w:val="nil"/>
              <w:bottom w:val="single" w:color="auto" w:sz="4" w:space="0"/>
              <w:right w:val="single" w:color="auto" w:sz="4" w:space="0"/>
            </w:tcBorders>
            <w:shd w:val="clear" w:color="auto" w:fill="auto"/>
            <w:vAlign w:val="center"/>
          </w:tcPr>
          <w:p w14:paraId="2DAF191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160253.5</w:t>
            </w:r>
          </w:p>
        </w:tc>
        <w:tc>
          <w:tcPr>
            <w:tcW w:w="746" w:type="pct"/>
            <w:tcBorders>
              <w:top w:val="single" w:color="auto" w:sz="4" w:space="0"/>
              <w:left w:val="nil"/>
              <w:bottom w:val="single" w:color="auto" w:sz="4" w:space="0"/>
              <w:right w:val="single" w:color="auto" w:sz="4" w:space="0"/>
            </w:tcBorders>
            <w:shd w:val="clear" w:color="auto" w:fill="auto"/>
            <w:vAlign w:val="center"/>
          </w:tcPr>
          <w:p w14:paraId="3162001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w:t>
            </w:r>
          </w:p>
        </w:tc>
        <w:tc>
          <w:tcPr>
            <w:tcW w:w="1077" w:type="pct"/>
            <w:tcBorders>
              <w:top w:val="single" w:color="auto" w:sz="4" w:space="0"/>
              <w:left w:val="nil"/>
              <w:bottom w:val="single" w:color="auto" w:sz="4" w:space="0"/>
              <w:right w:val="single" w:color="auto" w:sz="4" w:space="0"/>
            </w:tcBorders>
            <w:shd w:val="clear" w:color="auto" w:fill="auto"/>
            <w:vAlign w:val="center"/>
          </w:tcPr>
          <w:p w14:paraId="17AA347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320507</w:t>
            </w:r>
          </w:p>
        </w:tc>
        <w:tc>
          <w:tcPr>
            <w:tcW w:w="746" w:type="pct"/>
            <w:tcBorders>
              <w:top w:val="single" w:color="auto" w:sz="4" w:space="0"/>
              <w:left w:val="nil"/>
              <w:bottom w:val="single" w:color="auto" w:sz="4" w:space="0"/>
              <w:right w:val="single" w:color="auto" w:sz="4" w:space="0"/>
            </w:tcBorders>
            <w:shd w:val="clear" w:color="auto" w:fill="auto"/>
            <w:vAlign w:val="center"/>
          </w:tcPr>
          <w:p w14:paraId="77AAB4D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412880.7</w:t>
            </w:r>
          </w:p>
        </w:tc>
      </w:tr>
      <w:tr w14:paraId="4863494A">
        <w:tblPrEx>
          <w:tblCellMar>
            <w:top w:w="0" w:type="dxa"/>
            <w:left w:w="108" w:type="dxa"/>
            <w:bottom w:w="0" w:type="dxa"/>
            <w:right w:w="108" w:type="dxa"/>
          </w:tblCellMar>
        </w:tblPrEx>
        <w:trPr>
          <w:trHeight w:val="413" w:hRule="atLeast"/>
        </w:trPr>
        <w:tc>
          <w:tcPr>
            <w:tcW w:w="607" w:type="pct"/>
            <w:tcBorders>
              <w:top w:val="single" w:color="auto" w:sz="4" w:space="0"/>
              <w:left w:val="single" w:color="auto" w:sz="4" w:space="0"/>
              <w:bottom w:val="single" w:color="auto" w:sz="4" w:space="0"/>
              <w:right w:val="single" w:color="auto" w:sz="4" w:space="0"/>
            </w:tcBorders>
            <w:shd w:val="clear" w:color="auto" w:fill="auto"/>
            <w:vAlign w:val="center"/>
          </w:tcPr>
          <w:p w14:paraId="67BE784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276</w:t>
            </w:r>
          </w:p>
        </w:tc>
        <w:tc>
          <w:tcPr>
            <w:tcW w:w="746" w:type="pct"/>
            <w:tcBorders>
              <w:top w:val="single" w:color="auto" w:sz="4" w:space="0"/>
              <w:left w:val="nil"/>
              <w:bottom w:val="single" w:color="auto" w:sz="4" w:space="0"/>
              <w:right w:val="single" w:color="auto" w:sz="4" w:space="0"/>
            </w:tcBorders>
            <w:shd w:val="clear" w:color="auto" w:fill="auto"/>
            <w:vAlign w:val="center"/>
          </w:tcPr>
          <w:p w14:paraId="1119F1A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209326</w:t>
            </w:r>
          </w:p>
        </w:tc>
        <w:tc>
          <w:tcPr>
            <w:tcW w:w="1077" w:type="pct"/>
            <w:tcBorders>
              <w:top w:val="single" w:color="auto" w:sz="4" w:space="0"/>
              <w:left w:val="nil"/>
              <w:bottom w:val="single" w:color="auto" w:sz="4" w:space="0"/>
              <w:right w:val="single" w:color="auto" w:sz="4" w:space="0"/>
            </w:tcBorders>
            <w:shd w:val="clear" w:color="auto" w:fill="auto"/>
            <w:vAlign w:val="center"/>
          </w:tcPr>
          <w:p w14:paraId="2B573DD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192244</w:t>
            </w:r>
          </w:p>
        </w:tc>
        <w:tc>
          <w:tcPr>
            <w:tcW w:w="746" w:type="pct"/>
            <w:tcBorders>
              <w:top w:val="single" w:color="auto" w:sz="4" w:space="0"/>
              <w:left w:val="nil"/>
              <w:bottom w:val="single" w:color="auto" w:sz="4" w:space="0"/>
              <w:right w:val="single" w:color="auto" w:sz="4" w:space="0"/>
            </w:tcBorders>
            <w:shd w:val="clear" w:color="auto" w:fill="auto"/>
            <w:vAlign w:val="center"/>
          </w:tcPr>
          <w:p w14:paraId="4CEB920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w:t>
            </w:r>
          </w:p>
        </w:tc>
        <w:tc>
          <w:tcPr>
            <w:tcW w:w="1077" w:type="pct"/>
            <w:tcBorders>
              <w:top w:val="single" w:color="auto" w:sz="4" w:space="0"/>
              <w:left w:val="nil"/>
              <w:bottom w:val="single" w:color="auto" w:sz="4" w:space="0"/>
              <w:right w:val="single" w:color="auto" w:sz="4" w:space="0"/>
            </w:tcBorders>
            <w:shd w:val="clear" w:color="auto" w:fill="auto"/>
            <w:vAlign w:val="center"/>
          </w:tcPr>
          <w:p w14:paraId="044F0B1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384488</w:t>
            </w:r>
          </w:p>
        </w:tc>
        <w:tc>
          <w:tcPr>
            <w:tcW w:w="746" w:type="pct"/>
            <w:tcBorders>
              <w:top w:val="single" w:color="auto" w:sz="4" w:space="0"/>
              <w:left w:val="nil"/>
              <w:bottom w:val="single" w:color="auto" w:sz="4" w:space="0"/>
              <w:right w:val="single" w:color="auto" w:sz="4" w:space="0"/>
            </w:tcBorders>
            <w:shd w:val="clear" w:color="auto" w:fill="auto"/>
            <w:vAlign w:val="center"/>
          </w:tcPr>
          <w:p w14:paraId="6769295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797368.7</w:t>
            </w:r>
          </w:p>
        </w:tc>
      </w:tr>
      <w:tr w14:paraId="7D11823F">
        <w:trPr>
          <w:trHeight w:val="419" w:hRule="atLeast"/>
        </w:trPr>
        <w:tc>
          <w:tcPr>
            <w:tcW w:w="607" w:type="pct"/>
            <w:tcBorders>
              <w:top w:val="single" w:color="auto" w:sz="4" w:space="0"/>
              <w:left w:val="single" w:color="auto" w:sz="4" w:space="0"/>
              <w:bottom w:val="single" w:color="auto" w:sz="4" w:space="0"/>
              <w:right w:val="single" w:color="auto" w:sz="4" w:space="0"/>
            </w:tcBorders>
            <w:shd w:val="clear" w:color="auto" w:fill="auto"/>
            <w:vAlign w:val="center"/>
          </w:tcPr>
          <w:p w14:paraId="23FF8A8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278</w:t>
            </w:r>
          </w:p>
        </w:tc>
        <w:tc>
          <w:tcPr>
            <w:tcW w:w="746" w:type="pct"/>
            <w:tcBorders>
              <w:top w:val="single" w:color="auto" w:sz="4" w:space="0"/>
              <w:left w:val="nil"/>
              <w:bottom w:val="single" w:color="auto" w:sz="4" w:space="0"/>
              <w:right w:val="single" w:color="auto" w:sz="4" w:space="0"/>
            </w:tcBorders>
            <w:shd w:val="clear" w:color="auto" w:fill="auto"/>
            <w:vAlign w:val="center"/>
          </w:tcPr>
          <w:p w14:paraId="1D7327E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247748</w:t>
            </w:r>
          </w:p>
        </w:tc>
        <w:tc>
          <w:tcPr>
            <w:tcW w:w="1077" w:type="pct"/>
            <w:tcBorders>
              <w:top w:val="single" w:color="auto" w:sz="4" w:space="0"/>
              <w:left w:val="nil"/>
              <w:bottom w:val="single" w:color="auto" w:sz="4" w:space="0"/>
              <w:right w:val="single" w:color="auto" w:sz="4" w:space="0"/>
            </w:tcBorders>
            <w:shd w:val="clear" w:color="auto" w:fill="auto"/>
            <w:vAlign w:val="center"/>
          </w:tcPr>
          <w:p w14:paraId="65CF8DB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228537</w:t>
            </w:r>
          </w:p>
        </w:tc>
        <w:tc>
          <w:tcPr>
            <w:tcW w:w="746" w:type="pct"/>
            <w:tcBorders>
              <w:top w:val="single" w:color="auto" w:sz="4" w:space="0"/>
              <w:left w:val="nil"/>
              <w:bottom w:val="single" w:color="auto" w:sz="4" w:space="0"/>
              <w:right w:val="single" w:color="auto" w:sz="4" w:space="0"/>
            </w:tcBorders>
            <w:shd w:val="clear" w:color="auto" w:fill="auto"/>
            <w:vAlign w:val="center"/>
          </w:tcPr>
          <w:p w14:paraId="667D289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w:t>
            </w:r>
          </w:p>
        </w:tc>
        <w:tc>
          <w:tcPr>
            <w:tcW w:w="1077" w:type="pct"/>
            <w:tcBorders>
              <w:top w:val="single" w:color="auto" w:sz="4" w:space="0"/>
              <w:left w:val="nil"/>
              <w:bottom w:val="single" w:color="auto" w:sz="4" w:space="0"/>
              <w:right w:val="single" w:color="auto" w:sz="4" w:space="0"/>
            </w:tcBorders>
            <w:shd w:val="clear" w:color="auto" w:fill="auto"/>
            <w:vAlign w:val="center"/>
          </w:tcPr>
          <w:p w14:paraId="6A8ABA5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457074</w:t>
            </w:r>
          </w:p>
        </w:tc>
        <w:tc>
          <w:tcPr>
            <w:tcW w:w="746" w:type="pct"/>
            <w:tcBorders>
              <w:top w:val="single" w:color="auto" w:sz="4" w:space="0"/>
              <w:left w:val="nil"/>
              <w:bottom w:val="single" w:color="auto" w:sz="4" w:space="0"/>
              <w:right w:val="single" w:color="auto" w:sz="4" w:space="0"/>
            </w:tcBorders>
            <w:shd w:val="clear" w:color="auto" w:fill="auto"/>
            <w:vAlign w:val="center"/>
          </w:tcPr>
          <w:p w14:paraId="671A754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1254443</w:t>
            </w:r>
          </w:p>
        </w:tc>
      </w:tr>
      <w:tr w14:paraId="326BB20C">
        <w:tblPrEx>
          <w:tblCellMar>
            <w:top w:w="0" w:type="dxa"/>
            <w:left w:w="108" w:type="dxa"/>
            <w:bottom w:w="0" w:type="dxa"/>
            <w:right w:w="108" w:type="dxa"/>
          </w:tblCellMar>
        </w:tblPrEx>
        <w:trPr>
          <w:trHeight w:val="418" w:hRule="atLeast"/>
        </w:trPr>
        <w:tc>
          <w:tcPr>
            <w:tcW w:w="607" w:type="pct"/>
            <w:tcBorders>
              <w:top w:val="single" w:color="auto" w:sz="4" w:space="0"/>
              <w:left w:val="single" w:color="auto" w:sz="4" w:space="0"/>
              <w:bottom w:val="single" w:color="auto" w:sz="4" w:space="0"/>
              <w:right w:val="single" w:color="auto" w:sz="4" w:space="0"/>
            </w:tcBorders>
            <w:shd w:val="clear" w:color="auto" w:fill="auto"/>
            <w:vAlign w:val="center"/>
          </w:tcPr>
          <w:p w14:paraId="23BEB53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280</w:t>
            </w:r>
          </w:p>
        </w:tc>
        <w:tc>
          <w:tcPr>
            <w:tcW w:w="746" w:type="pct"/>
            <w:tcBorders>
              <w:top w:val="single" w:color="auto" w:sz="4" w:space="0"/>
              <w:left w:val="nil"/>
              <w:bottom w:val="single" w:color="auto" w:sz="4" w:space="0"/>
              <w:right w:val="single" w:color="auto" w:sz="4" w:space="0"/>
            </w:tcBorders>
            <w:shd w:val="clear" w:color="auto" w:fill="auto"/>
            <w:vAlign w:val="center"/>
          </w:tcPr>
          <w:p w14:paraId="663A71B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290694</w:t>
            </w:r>
          </w:p>
        </w:tc>
        <w:tc>
          <w:tcPr>
            <w:tcW w:w="1077" w:type="pct"/>
            <w:tcBorders>
              <w:top w:val="single" w:color="auto" w:sz="4" w:space="0"/>
              <w:left w:val="nil"/>
              <w:bottom w:val="single" w:color="auto" w:sz="4" w:space="0"/>
              <w:right w:val="single" w:color="auto" w:sz="4" w:space="0"/>
            </w:tcBorders>
            <w:shd w:val="clear" w:color="auto" w:fill="auto"/>
            <w:vAlign w:val="center"/>
          </w:tcPr>
          <w:p w14:paraId="6B2973E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269221</w:t>
            </w:r>
          </w:p>
        </w:tc>
        <w:tc>
          <w:tcPr>
            <w:tcW w:w="746" w:type="pct"/>
            <w:tcBorders>
              <w:top w:val="single" w:color="auto" w:sz="4" w:space="0"/>
              <w:left w:val="nil"/>
              <w:bottom w:val="single" w:color="auto" w:sz="4" w:space="0"/>
              <w:right w:val="single" w:color="auto" w:sz="4" w:space="0"/>
            </w:tcBorders>
            <w:shd w:val="clear" w:color="auto" w:fill="auto"/>
            <w:vAlign w:val="center"/>
          </w:tcPr>
          <w:p w14:paraId="3050AA3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w:t>
            </w:r>
          </w:p>
        </w:tc>
        <w:tc>
          <w:tcPr>
            <w:tcW w:w="1077" w:type="pct"/>
            <w:tcBorders>
              <w:top w:val="single" w:color="auto" w:sz="4" w:space="0"/>
              <w:left w:val="nil"/>
              <w:bottom w:val="single" w:color="auto" w:sz="4" w:space="0"/>
              <w:right w:val="single" w:color="auto" w:sz="4" w:space="0"/>
            </w:tcBorders>
            <w:shd w:val="clear" w:color="auto" w:fill="auto"/>
            <w:vAlign w:val="center"/>
          </w:tcPr>
          <w:p w14:paraId="219E70C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538442</w:t>
            </w:r>
          </w:p>
        </w:tc>
        <w:tc>
          <w:tcPr>
            <w:tcW w:w="746" w:type="pct"/>
            <w:tcBorders>
              <w:top w:val="single" w:color="auto" w:sz="4" w:space="0"/>
              <w:left w:val="nil"/>
              <w:bottom w:val="single" w:color="auto" w:sz="4" w:space="0"/>
              <w:right w:val="single" w:color="auto" w:sz="4" w:space="0"/>
            </w:tcBorders>
            <w:shd w:val="clear" w:color="auto" w:fill="auto"/>
            <w:vAlign w:val="center"/>
          </w:tcPr>
          <w:p w14:paraId="5659144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1792885</w:t>
            </w:r>
          </w:p>
        </w:tc>
      </w:tr>
      <w:tr w14:paraId="347588CF">
        <w:trPr>
          <w:trHeight w:val="473" w:hRule="atLeast"/>
        </w:trPr>
        <w:tc>
          <w:tcPr>
            <w:tcW w:w="607" w:type="pct"/>
            <w:tcBorders>
              <w:top w:val="single" w:color="auto" w:sz="4" w:space="0"/>
              <w:left w:val="single" w:color="auto" w:sz="4" w:space="0"/>
              <w:bottom w:val="single" w:color="auto" w:sz="4" w:space="0"/>
              <w:right w:val="single" w:color="auto" w:sz="4" w:space="0"/>
            </w:tcBorders>
            <w:shd w:val="clear" w:color="auto" w:fill="auto"/>
            <w:vAlign w:val="center"/>
          </w:tcPr>
          <w:p w14:paraId="689A506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282</w:t>
            </w:r>
          </w:p>
        </w:tc>
        <w:tc>
          <w:tcPr>
            <w:tcW w:w="746" w:type="pct"/>
            <w:tcBorders>
              <w:top w:val="single" w:color="auto" w:sz="4" w:space="0"/>
              <w:left w:val="nil"/>
              <w:bottom w:val="single" w:color="auto" w:sz="4" w:space="0"/>
              <w:right w:val="single" w:color="auto" w:sz="4" w:space="0"/>
            </w:tcBorders>
            <w:shd w:val="clear" w:color="auto" w:fill="auto"/>
            <w:vAlign w:val="center"/>
          </w:tcPr>
          <w:p w14:paraId="030C25D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341026</w:t>
            </w:r>
          </w:p>
        </w:tc>
        <w:tc>
          <w:tcPr>
            <w:tcW w:w="1077" w:type="pct"/>
            <w:tcBorders>
              <w:top w:val="single" w:color="auto" w:sz="4" w:space="0"/>
              <w:left w:val="nil"/>
              <w:bottom w:val="single" w:color="auto" w:sz="4" w:space="0"/>
              <w:right w:val="single" w:color="auto" w:sz="4" w:space="0"/>
            </w:tcBorders>
            <w:shd w:val="clear" w:color="auto" w:fill="auto"/>
            <w:vAlign w:val="center"/>
          </w:tcPr>
          <w:p w14:paraId="0413699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315860</w:t>
            </w:r>
          </w:p>
        </w:tc>
        <w:tc>
          <w:tcPr>
            <w:tcW w:w="746" w:type="pct"/>
            <w:tcBorders>
              <w:top w:val="single" w:color="auto" w:sz="4" w:space="0"/>
              <w:left w:val="nil"/>
              <w:bottom w:val="single" w:color="auto" w:sz="4" w:space="0"/>
              <w:right w:val="single" w:color="auto" w:sz="4" w:space="0"/>
            </w:tcBorders>
            <w:shd w:val="clear" w:color="auto" w:fill="auto"/>
            <w:vAlign w:val="center"/>
          </w:tcPr>
          <w:p w14:paraId="77C6953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w:t>
            </w:r>
          </w:p>
        </w:tc>
        <w:tc>
          <w:tcPr>
            <w:tcW w:w="1077" w:type="pct"/>
            <w:tcBorders>
              <w:top w:val="single" w:color="auto" w:sz="4" w:space="0"/>
              <w:left w:val="nil"/>
              <w:bottom w:val="single" w:color="auto" w:sz="4" w:space="0"/>
              <w:right w:val="single" w:color="auto" w:sz="4" w:space="0"/>
            </w:tcBorders>
            <w:shd w:val="clear" w:color="auto" w:fill="auto"/>
            <w:vAlign w:val="center"/>
          </w:tcPr>
          <w:p w14:paraId="1856EA7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631720</w:t>
            </w:r>
          </w:p>
        </w:tc>
        <w:tc>
          <w:tcPr>
            <w:tcW w:w="746" w:type="pct"/>
            <w:tcBorders>
              <w:top w:val="single" w:color="auto" w:sz="4" w:space="0"/>
              <w:left w:val="nil"/>
              <w:bottom w:val="single" w:color="auto" w:sz="4" w:space="0"/>
              <w:right w:val="single" w:color="auto" w:sz="4" w:space="0"/>
            </w:tcBorders>
            <w:shd w:val="clear" w:color="auto" w:fill="auto"/>
            <w:vAlign w:val="center"/>
          </w:tcPr>
          <w:p w14:paraId="596C8D4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2424605</w:t>
            </w:r>
          </w:p>
        </w:tc>
      </w:tr>
      <w:tr w14:paraId="61A0DFFF">
        <w:tblPrEx>
          <w:tblCellMar>
            <w:top w:w="0" w:type="dxa"/>
            <w:left w:w="108" w:type="dxa"/>
            <w:bottom w:w="0" w:type="dxa"/>
            <w:right w:w="108" w:type="dxa"/>
          </w:tblCellMar>
        </w:tblPrEx>
        <w:trPr>
          <w:trHeight w:val="410" w:hRule="atLeast"/>
        </w:trPr>
        <w:tc>
          <w:tcPr>
            <w:tcW w:w="607" w:type="pct"/>
            <w:tcBorders>
              <w:top w:val="single" w:color="auto" w:sz="4" w:space="0"/>
              <w:left w:val="single" w:color="auto" w:sz="4" w:space="0"/>
              <w:bottom w:val="single" w:color="auto" w:sz="4" w:space="0"/>
              <w:right w:val="single" w:color="auto" w:sz="4" w:space="0"/>
            </w:tcBorders>
            <w:shd w:val="clear" w:color="auto" w:fill="auto"/>
            <w:vAlign w:val="center"/>
          </w:tcPr>
          <w:p w14:paraId="1C0E2BC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284</w:t>
            </w:r>
          </w:p>
        </w:tc>
        <w:tc>
          <w:tcPr>
            <w:tcW w:w="746" w:type="pct"/>
            <w:tcBorders>
              <w:top w:val="single" w:color="auto" w:sz="4" w:space="0"/>
              <w:left w:val="nil"/>
              <w:bottom w:val="single" w:color="auto" w:sz="4" w:space="0"/>
              <w:right w:val="single" w:color="auto" w:sz="4" w:space="0"/>
            </w:tcBorders>
            <w:shd w:val="clear" w:color="auto" w:fill="auto"/>
            <w:vAlign w:val="center"/>
          </w:tcPr>
          <w:p w14:paraId="66B1CB6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378318</w:t>
            </w:r>
          </w:p>
        </w:tc>
        <w:tc>
          <w:tcPr>
            <w:tcW w:w="1077" w:type="pct"/>
            <w:tcBorders>
              <w:top w:val="single" w:color="auto" w:sz="4" w:space="0"/>
              <w:left w:val="nil"/>
              <w:bottom w:val="single" w:color="auto" w:sz="4" w:space="0"/>
              <w:right w:val="single" w:color="auto" w:sz="4" w:space="0"/>
            </w:tcBorders>
            <w:shd w:val="clear" w:color="auto" w:fill="auto"/>
            <w:vAlign w:val="center"/>
          </w:tcPr>
          <w:p w14:paraId="4DD4258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359672</w:t>
            </w:r>
          </w:p>
        </w:tc>
        <w:tc>
          <w:tcPr>
            <w:tcW w:w="746" w:type="pct"/>
            <w:tcBorders>
              <w:top w:val="single" w:color="auto" w:sz="4" w:space="0"/>
              <w:left w:val="nil"/>
              <w:bottom w:val="single" w:color="auto" w:sz="4" w:space="0"/>
              <w:right w:val="single" w:color="auto" w:sz="4" w:space="0"/>
            </w:tcBorders>
            <w:shd w:val="clear" w:color="auto" w:fill="auto"/>
            <w:vAlign w:val="center"/>
          </w:tcPr>
          <w:p w14:paraId="5EB064F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w:t>
            </w:r>
          </w:p>
        </w:tc>
        <w:tc>
          <w:tcPr>
            <w:tcW w:w="1077" w:type="pct"/>
            <w:tcBorders>
              <w:top w:val="single" w:color="auto" w:sz="4" w:space="0"/>
              <w:left w:val="nil"/>
              <w:bottom w:val="single" w:color="auto" w:sz="4" w:space="0"/>
              <w:right w:val="single" w:color="auto" w:sz="4" w:space="0"/>
            </w:tcBorders>
            <w:shd w:val="clear" w:color="auto" w:fill="auto"/>
            <w:vAlign w:val="center"/>
          </w:tcPr>
          <w:p w14:paraId="301F198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719344</w:t>
            </w:r>
          </w:p>
        </w:tc>
        <w:tc>
          <w:tcPr>
            <w:tcW w:w="746" w:type="pct"/>
            <w:tcBorders>
              <w:top w:val="single" w:color="auto" w:sz="4" w:space="0"/>
              <w:left w:val="nil"/>
              <w:bottom w:val="single" w:color="auto" w:sz="4" w:space="0"/>
              <w:right w:val="single" w:color="auto" w:sz="4" w:space="0"/>
            </w:tcBorders>
            <w:shd w:val="clear" w:color="auto" w:fill="auto"/>
            <w:vAlign w:val="center"/>
          </w:tcPr>
          <w:p w14:paraId="3423EF5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3143949</w:t>
            </w:r>
          </w:p>
        </w:tc>
      </w:tr>
      <w:tr w14:paraId="786FDB10">
        <w:tblPrEx>
          <w:tblCellMar>
            <w:top w:w="0" w:type="dxa"/>
            <w:left w:w="108" w:type="dxa"/>
            <w:bottom w:w="0" w:type="dxa"/>
            <w:right w:w="108" w:type="dxa"/>
          </w:tblCellMar>
        </w:tblPrEx>
        <w:trPr>
          <w:trHeight w:val="560" w:hRule="atLeast"/>
        </w:trPr>
        <w:tc>
          <w:tcPr>
            <w:tcW w:w="607" w:type="pct"/>
            <w:tcBorders>
              <w:top w:val="single" w:color="auto" w:sz="4" w:space="0"/>
              <w:left w:val="single" w:color="auto" w:sz="4" w:space="0"/>
              <w:bottom w:val="single" w:color="auto" w:sz="4" w:space="0"/>
              <w:right w:val="single" w:color="auto" w:sz="4" w:space="0"/>
            </w:tcBorders>
            <w:shd w:val="clear" w:color="auto" w:fill="auto"/>
            <w:vAlign w:val="center"/>
          </w:tcPr>
          <w:p w14:paraId="73BE373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285</w:t>
            </w:r>
          </w:p>
        </w:tc>
        <w:tc>
          <w:tcPr>
            <w:tcW w:w="746" w:type="pct"/>
            <w:tcBorders>
              <w:top w:val="single" w:color="auto" w:sz="4" w:space="0"/>
              <w:left w:val="nil"/>
              <w:bottom w:val="single" w:color="auto" w:sz="4" w:space="0"/>
              <w:right w:val="single" w:color="auto" w:sz="4" w:space="0"/>
            </w:tcBorders>
            <w:shd w:val="clear" w:color="auto" w:fill="auto"/>
            <w:vAlign w:val="center"/>
          </w:tcPr>
          <w:p w14:paraId="6359234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397290</w:t>
            </w:r>
          </w:p>
        </w:tc>
        <w:tc>
          <w:tcPr>
            <w:tcW w:w="1077" w:type="pct"/>
            <w:tcBorders>
              <w:top w:val="single" w:color="auto" w:sz="4" w:space="0"/>
              <w:left w:val="nil"/>
              <w:bottom w:val="single" w:color="auto" w:sz="4" w:space="0"/>
              <w:right w:val="single" w:color="auto" w:sz="4" w:space="0"/>
            </w:tcBorders>
            <w:shd w:val="clear" w:color="auto" w:fill="auto"/>
            <w:vAlign w:val="center"/>
          </w:tcPr>
          <w:p w14:paraId="6DAC379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387804</w:t>
            </w:r>
          </w:p>
        </w:tc>
        <w:tc>
          <w:tcPr>
            <w:tcW w:w="746" w:type="pct"/>
            <w:tcBorders>
              <w:top w:val="single" w:color="auto" w:sz="4" w:space="0"/>
              <w:left w:val="nil"/>
              <w:bottom w:val="single" w:color="auto" w:sz="4" w:space="0"/>
              <w:right w:val="single" w:color="auto" w:sz="4" w:space="0"/>
            </w:tcBorders>
            <w:shd w:val="clear" w:color="auto" w:fill="auto"/>
            <w:vAlign w:val="center"/>
          </w:tcPr>
          <w:p w14:paraId="02DD3D9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1</w:t>
            </w:r>
          </w:p>
        </w:tc>
        <w:tc>
          <w:tcPr>
            <w:tcW w:w="1077" w:type="pct"/>
            <w:tcBorders>
              <w:top w:val="single" w:color="auto" w:sz="4" w:space="0"/>
              <w:left w:val="nil"/>
              <w:bottom w:val="single" w:color="auto" w:sz="4" w:space="0"/>
              <w:right w:val="single" w:color="auto" w:sz="4" w:space="0"/>
            </w:tcBorders>
            <w:shd w:val="clear" w:color="auto" w:fill="auto"/>
            <w:vAlign w:val="center"/>
          </w:tcPr>
          <w:p w14:paraId="7C90005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387804</w:t>
            </w:r>
          </w:p>
        </w:tc>
        <w:tc>
          <w:tcPr>
            <w:tcW w:w="746" w:type="pct"/>
            <w:tcBorders>
              <w:top w:val="single" w:color="auto" w:sz="4" w:space="0"/>
              <w:left w:val="nil"/>
              <w:bottom w:val="single" w:color="auto" w:sz="4" w:space="0"/>
              <w:right w:val="single" w:color="auto" w:sz="4" w:space="0"/>
            </w:tcBorders>
            <w:shd w:val="clear" w:color="auto" w:fill="auto"/>
            <w:vAlign w:val="center"/>
          </w:tcPr>
          <w:p w14:paraId="3B6A4F4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3531753</w:t>
            </w:r>
          </w:p>
        </w:tc>
      </w:tr>
    </w:tbl>
    <w:p w14:paraId="5D1D1C43">
      <w:pPr>
        <w:spacing w:line="360" w:lineRule="auto"/>
        <w:ind w:firstLine="420" w:firstLineChars="200"/>
        <w:jc w:val="center"/>
        <w:rPr>
          <w:rFonts w:ascii="Calibri" w:hAnsi="Calibri" w:eastAsia="宋体"/>
          <w:color w:val="auto"/>
          <w:sz w:val="21"/>
          <w:szCs w:val="22"/>
        </w:rPr>
      </w:pPr>
    </w:p>
    <w:p w14:paraId="7633DC36">
      <w:pPr>
        <w:spacing w:line="360" w:lineRule="auto"/>
        <w:ind w:firstLine="420" w:firstLineChars="200"/>
        <w:jc w:val="center"/>
        <w:rPr>
          <w:rFonts w:ascii="仿宋_GB2312" w:hAnsi="Times New Roman" w:eastAsia="仿宋_GB2312" w:cs="Times New Roman"/>
          <w:color w:val="auto"/>
          <w:kern w:val="0"/>
          <w:sz w:val="28"/>
          <w:szCs w:val="24"/>
        </w:rPr>
      </w:pPr>
      <w:r>
        <w:rPr>
          <w:rFonts w:ascii="Calibri" w:hAnsi="Calibri" w:eastAsia="宋体"/>
          <w:color w:val="auto"/>
          <w:sz w:val="21"/>
          <w:szCs w:val="22"/>
        </w:rPr>
        <w:drawing>
          <wp:inline distT="0" distB="0" distL="0" distR="0">
            <wp:extent cx="4838700" cy="2741930"/>
            <wp:effectExtent l="0" t="0" r="0" b="127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72"/>
                    <a:stretch>
                      <a:fillRect/>
                    </a:stretch>
                  </pic:blipFill>
                  <pic:spPr>
                    <a:xfrm>
                      <a:off x="0" y="0"/>
                      <a:ext cx="4850595" cy="2748348"/>
                    </a:xfrm>
                    <a:prstGeom prst="rect">
                      <a:avLst/>
                    </a:prstGeom>
                  </pic:spPr>
                </pic:pic>
              </a:graphicData>
            </a:graphic>
          </wp:inline>
        </w:drawing>
      </w:r>
    </w:p>
    <w:p w14:paraId="3E93F6EF">
      <w:pPr>
        <w:bidi w:val="0"/>
        <w:ind w:left="0" w:leftChars="0" w:firstLine="0" w:firstLineChars="0"/>
        <w:jc w:val="center"/>
        <w:rPr>
          <w:color w:val="auto"/>
          <w:lang w:val="en-US" w:eastAsia="zh-CN"/>
        </w:rPr>
      </w:pPr>
      <w:r>
        <w:rPr>
          <w:rFonts w:hint="eastAsia"/>
          <w:color w:val="auto"/>
          <w:lang w:val="en-US" w:eastAsia="zh-CN"/>
        </w:rPr>
        <w:t>图4.3-2   现状工况的</w:t>
      </w:r>
      <w:r>
        <w:rPr>
          <w:color w:val="auto"/>
          <w:lang w:val="en-US" w:eastAsia="zh-CN"/>
        </w:rPr>
        <w:t>调洪库容曲线</w:t>
      </w:r>
    </w:p>
    <w:p w14:paraId="4D74F748">
      <w:pPr>
        <w:bidi w:val="0"/>
        <w:rPr>
          <w:color w:val="auto"/>
        </w:rPr>
      </w:pPr>
      <w:r>
        <w:rPr>
          <w:rFonts w:hint="eastAsia"/>
          <w:color w:val="auto"/>
        </w:rPr>
        <w:t>（</w:t>
      </w:r>
      <w:r>
        <w:rPr>
          <w:color w:val="auto"/>
        </w:rPr>
        <w:t>2</w:t>
      </w:r>
      <w:r>
        <w:rPr>
          <w:rFonts w:hint="eastAsia"/>
          <w:color w:val="auto"/>
        </w:rPr>
        <w:t>）调洪</w:t>
      </w:r>
      <w:r>
        <w:rPr>
          <w:color w:val="auto"/>
        </w:rPr>
        <w:t>演算</w:t>
      </w:r>
    </w:p>
    <w:p w14:paraId="1B3F5170">
      <w:pPr>
        <w:bidi w:val="0"/>
        <w:rPr>
          <w:color w:val="auto"/>
        </w:rPr>
      </w:pPr>
      <w:r>
        <w:rPr>
          <w:color w:val="auto"/>
        </w:rPr>
        <w:t>采用水量平衡法进行调洪演算，计算公式如下：</w:t>
      </w:r>
    </w:p>
    <w:p w14:paraId="6723E5B7">
      <w:pPr>
        <w:bidi w:val="0"/>
        <w:rPr>
          <w:color w:val="auto"/>
        </w:rPr>
      </w:pPr>
      <w:r>
        <w:rPr>
          <w:color w:val="auto"/>
        </w:rPr>
        <w:t>根据水量平衡法进行调洪演算，即尾矿库内任一时段</w:t>
      </w:r>
      <w:r>
        <w:rPr>
          <w:rFonts w:hint="eastAsia"/>
          <w:color w:val="auto"/>
        </w:rPr>
        <w:t>△</w:t>
      </w:r>
      <w:r>
        <w:rPr>
          <w:color w:val="auto"/>
        </w:rPr>
        <w:t>t的水量平衡方程式为</w:t>
      </w:r>
      <w:r>
        <w:rPr>
          <w:color w:val="auto"/>
        </w:rPr>
        <w:fldChar w:fldCharType="begin"/>
      </w:r>
      <w:r>
        <w:rPr>
          <w:color w:val="auto"/>
        </w:rPr>
        <w:instrText xml:space="preserve">EQ</w:instrText>
      </w:r>
      <w:r>
        <w:rPr>
          <w:color w:val="auto"/>
        </w:rPr>
        <w:fldChar w:fldCharType="end"/>
      </w:r>
      <w:r>
        <w:rPr>
          <w:color w:val="auto"/>
        </w:rPr>
        <w:t>：</w:t>
      </w:r>
    </w:p>
    <w:p w14:paraId="673087E0">
      <w:pPr>
        <w:widowControl w:val="0"/>
        <w:jc w:val="center"/>
        <w:rPr>
          <w:rFonts w:ascii="Times New Roman" w:hAnsi="Times New Roman" w:eastAsia="宋体" w:cs="Times New Roman"/>
          <w:b/>
          <w:color w:val="auto"/>
          <w:kern w:val="2"/>
          <w:sz w:val="24"/>
          <w:szCs w:val="24"/>
          <w:lang w:val="en-US" w:eastAsia="zh-CN" w:bidi="ar-SA"/>
        </w:rPr>
      </w:pPr>
      <w:r>
        <w:rPr>
          <w:rFonts w:ascii="Times New Roman" w:hAnsi="Times New Roman" w:eastAsia="宋体" w:cs="Times New Roman"/>
          <w:b/>
          <w:color w:val="auto"/>
          <w:kern w:val="2"/>
          <w:position w:val="-24"/>
          <w:sz w:val="24"/>
          <w:szCs w:val="24"/>
          <w:lang w:val="en-US" w:eastAsia="zh-CN" w:bidi="ar-SA"/>
        </w:rPr>
        <w:object>
          <v:shape id="_x0000_i1050" o:spt="75" type="#_x0000_t75" style="height:30.4pt;width:192.15pt;" o:ole="t" filled="f" o:preferrelative="t" stroked="f" coordsize="21600,21600">
            <v:path/>
            <v:fill on="f" focussize="0,0"/>
            <v:stroke on="f" joinstyle="miter"/>
            <v:imagedata r:id="rId74" o:title=""/>
            <o:lock v:ext="edit" aspectratio="t"/>
            <w10:wrap type="none"/>
            <w10:anchorlock/>
          </v:shape>
          <o:OLEObject Type="Embed" ProgID="Equation.DSMT4" ShapeID="_x0000_i1050" DrawAspect="Content" ObjectID="_1468075750" r:id="rId73">
            <o:LockedField>false</o:LockedField>
          </o:OLEObject>
        </w:object>
      </w:r>
    </w:p>
    <w:p w14:paraId="4BD999E1">
      <w:pPr>
        <w:bidi w:val="0"/>
        <w:rPr>
          <w:color w:val="auto"/>
          <w:lang w:val="en-US" w:eastAsia="zh-CN"/>
        </w:rPr>
      </w:pPr>
      <w:r>
        <w:rPr>
          <w:color w:val="auto"/>
          <w:lang w:val="en-US" w:eastAsia="zh-CN"/>
        </w:rPr>
        <w:t>式中：</w:t>
      </w:r>
    </w:p>
    <w:p w14:paraId="75F13017">
      <w:pPr>
        <w:widowControl w:val="0"/>
        <w:spacing w:line="360" w:lineRule="auto"/>
        <w:ind w:firstLine="480"/>
        <w:jc w:val="left"/>
        <w:rPr>
          <w:rFonts w:ascii="Times New Roman" w:hAnsi="Times New Roman" w:eastAsia="宋体" w:cs="Times New Roman"/>
          <w:b w:val="0"/>
          <w:color w:val="auto"/>
          <w:kern w:val="2"/>
          <w:sz w:val="24"/>
          <w:szCs w:val="24"/>
          <w:lang w:val="en-US" w:eastAsia="zh-CN" w:bidi="ar-SA"/>
        </w:rPr>
      </w:pPr>
      <w:r>
        <w:rPr>
          <w:rFonts w:ascii="Times New Roman" w:hAnsi="Times New Roman" w:eastAsia="宋体" w:cs="Times New Roman"/>
          <w:b w:val="0"/>
          <w:color w:val="auto"/>
          <w:kern w:val="2"/>
          <w:sz w:val="24"/>
          <w:szCs w:val="24"/>
          <w:lang w:val="en-US" w:eastAsia="zh-CN" w:bidi="ar-SA"/>
        </w:rPr>
        <w:t>Q</w:t>
      </w:r>
      <w:r>
        <w:rPr>
          <w:rFonts w:ascii="Times New Roman" w:hAnsi="Times New Roman" w:eastAsia="宋体" w:cs="Times New Roman"/>
          <w:b w:val="0"/>
          <w:color w:val="auto"/>
          <w:kern w:val="2"/>
          <w:sz w:val="24"/>
          <w:szCs w:val="24"/>
          <w:vertAlign w:val="subscript"/>
          <w:lang w:val="en-US" w:eastAsia="zh-CN" w:bidi="ar-SA"/>
        </w:rPr>
        <w:t>S</w:t>
      </w:r>
      <w:r>
        <w:rPr>
          <w:rFonts w:ascii="Times New Roman" w:hAnsi="Times New Roman" w:eastAsia="宋体" w:cs="Times New Roman"/>
          <w:b w:val="0"/>
          <w:color w:val="auto"/>
          <w:kern w:val="2"/>
          <w:sz w:val="24"/>
          <w:szCs w:val="24"/>
          <w:lang w:val="en-US" w:eastAsia="zh-CN" w:bidi="ar-SA"/>
        </w:rPr>
        <w:t>、Q</w:t>
      </w:r>
      <w:r>
        <w:rPr>
          <w:rFonts w:ascii="Times New Roman" w:hAnsi="Times New Roman" w:eastAsia="宋体" w:cs="Times New Roman"/>
          <w:b w:val="0"/>
          <w:color w:val="auto"/>
          <w:kern w:val="2"/>
          <w:sz w:val="24"/>
          <w:szCs w:val="24"/>
          <w:vertAlign w:val="subscript"/>
          <w:lang w:val="en-US" w:eastAsia="zh-CN" w:bidi="ar-SA"/>
        </w:rPr>
        <w:t>Z</w:t>
      </w:r>
      <w:r>
        <w:rPr>
          <w:rFonts w:ascii="Times New Roman" w:hAnsi="Times New Roman" w:eastAsia="宋体" w:cs="Times New Roman"/>
          <w:b w:val="0"/>
          <w:color w:val="auto"/>
          <w:kern w:val="2"/>
          <w:sz w:val="24"/>
          <w:szCs w:val="24"/>
          <w:lang w:val="en-US" w:eastAsia="zh-CN" w:bidi="ar-SA"/>
        </w:rPr>
        <w:t>——时段始、终尾矿库的来洪流量，m</w:t>
      </w:r>
      <w:r>
        <w:rPr>
          <w:rFonts w:ascii="Times New Roman" w:hAnsi="Times New Roman" w:eastAsia="宋体" w:cs="Times New Roman"/>
          <w:b w:val="0"/>
          <w:color w:val="auto"/>
          <w:kern w:val="2"/>
          <w:sz w:val="24"/>
          <w:szCs w:val="24"/>
          <w:vertAlign w:val="superscript"/>
          <w:lang w:val="en-US" w:eastAsia="zh-CN" w:bidi="ar-SA"/>
        </w:rPr>
        <w:t>3</w:t>
      </w:r>
      <w:r>
        <w:rPr>
          <w:rFonts w:ascii="Times New Roman" w:hAnsi="Times New Roman" w:eastAsia="宋体" w:cs="Times New Roman"/>
          <w:b w:val="0"/>
          <w:color w:val="auto"/>
          <w:kern w:val="2"/>
          <w:sz w:val="24"/>
          <w:szCs w:val="24"/>
          <w:lang w:val="en-US" w:eastAsia="zh-CN" w:bidi="ar-SA"/>
        </w:rPr>
        <w:t>/s；</w:t>
      </w:r>
    </w:p>
    <w:p w14:paraId="40CEDD03">
      <w:pPr>
        <w:widowControl w:val="0"/>
        <w:spacing w:line="360" w:lineRule="auto"/>
        <w:ind w:firstLine="480"/>
        <w:jc w:val="left"/>
        <w:rPr>
          <w:rFonts w:ascii="Times New Roman" w:hAnsi="Times New Roman" w:eastAsia="宋体" w:cs="Times New Roman"/>
          <w:b w:val="0"/>
          <w:color w:val="auto"/>
          <w:kern w:val="2"/>
          <w:sz w:val="24"/>
          <w:szCs w:val="24"/>
          <w:lang w:val="en-US" w:eastAsia="zh-CN" w:bidi="ar-SA"/>
        </w:rPr>
      </w:pPr>
      <w:r>
        <w:rPr>
          <w:rFonts w:ascii="Times New Roman" w:hAnsi="Times New Roman" w:eastAsia="宋体" w:cs="Times New Roman"/>
          <w:b w:val="0"/>
          <w:color w:val="auto"/>
          <w:kern w:val="2"/>
          <w:sz w:val="24"/>
          <w:szCs w:val="24"/>
          <w:lang w:val="en-US" w:eastAsia="zh-CN" w:bidi="ar-SA"/>
        </w:rPr>
        <w:t>q</w:t>
      </w:r>
      <w:r>
        <w:rPr>
          <w:rFonts w:ascii="Times New Roman" w:hAnsi="Times New Roman" w:eastAsia="宋体" w:cs="Times New Roman"/>
          <w:b w:val="0"/>
          <w:color w:val="auto"/>
          <w:kern w:val="2"/>
          <w:sz w:val="24"/>
          <w:szCs w:val="24"/>
          <w:vertAlign w:val="subscript"/>
          <w:lang w:val="en-US" w:eastAsia="zh-CN" w:bidi="ar-SA"/>
        </w:rPr>
        <w:t>s</w:t>
      </w:r>
      <w:r>
        <w:rPr>
          <w:rFonts w:ascii="Times New Roman" w:hAnsi="Times New Roman" w:eastAsia="宋体" w:cs="Times New Roman"/>
          <w:b w:val="0"/>
          <w:color w:val="auto"/>
          <w:kern w:val="2"/>
          <w:sz w:val="24"/>
          <w:szCs w:val="24"/>
          <w:lang w:val="en-US" w:eastAsia="zh-CN" w:bidi="ar-SA"/>
        </w:rPr>
        <w:t>、q</w:t>
      </w:r>
      <w:r>
        <w:rPr>
          <w:rFonts w:ascii="Times New Roman" w:hAnsi="Times New Roman" w:eastAsia="宋体" w:cs="Times New Roman"/>
          <w:b w:val="0"/>
          <w:color w:val="auto"/>
          <w:kern w:val="2"/>
          <w:sz w:val="24"/>
          <w:szCs w:val="24"/>
          <w:vertAlign w:val="subscript"/>
          <w:lang w:val="en-US" w:eastAsia="zh-CN" w:bidi="ar-SA"/>
        </w:rPr>
        <w:t>z</w:t>
      </w:r>
      <w:r>
        <w:rPr>
          <w:rFonts w:ascii="Times New Roman" w:hAnsi="Times New Roman" w:eastAsia="宋体" w:cs="Times New Roman"/>
          <w:b w:val="0"/>
          <w:color w:val="auto"/>
          <w:kern w:val="2"/>
          <w:sz w:val="24"/>
          <w:szCs w:val="24"/>
          <w:lang w:val="en-US" w:eastAsia="zh-CN" w:bidi="ar-SA"/>
        </w:rPr>
        <w:t>——时段始、终尾矿库的泄洪流量，m</w:t>
      </w:r>
      <w:r>
        <w:rPr>
          <w:rFonts w:ascii="Times New Roman" w:hAnsi="Times New Roman" w:eastAsia="宋体" w:cs="Times New Roman"/>
          <w:b w:val="0"/>
          <w:color w:val="auto"/>
          <w:kern w:val="2"/>
          <w:sz w:val="24"/>
          <w:szCs w:val="24"/>
          <w:vertAlign w:val="superscript"/>
          <w:lang w:val="en-US" w:eastAsia="zh-CN" w:bidi="ar-SA"/>
        </w:rPr>
        <w:t>3</w:t>
      </w:r>
      <w:r>
        <w:rPr>
          <w:rFonts w:ascii="Times New Roman" w:hAnsi="Times New Roman" w:eastAsia="宋体" w:cs="Times New Roman"/>
          <w:b w:val="0"/>
          <w:color w:val="auto"/>
          <w:kern w:val="2"/>
          <w:sz w:val="24"/>
          <w:szCs w:val="24"/>
          <w:lang w:val="en-US" w:eastAsia="zh-CN" w:bidi="ar-SA"/>
        </w:rPr>
        <w:t>/s；</w:t>
      </w:r>
    </w:p>
    <w:p w14:paraId="5B01A344">
      <w:pPr>
        <w:widowControl w:val="0"/>
        <w:spacing w:line="360" w:lineRule="auto"/>
        <w:ind w:firstLine="480"/>
        <w:jc w:val="left"/>
        <w:rPr>
          <w:rFonts w:ascii="Times New Roman" w:hAnsi="Times New Roman" w:eastAsia="宋体" w:cs="Times New Roman"/>
          <w:b w:val="0"/>
          <w:color w:val="auto"/>
          <w:kern w:val="2"/>
          <w:sz w:val="24"/>
          <w:szCs w:val="24"/>
          <w:lang w:val="en-US" w:eastAsia="zh-CN" w:bidi="ar-SA"/>
        </w:rPr>
      </w:pPr>
      <w:r>
        <w:rPr>
          <w:rFonts w:ascii="Times New Roman" w:hAnsi="Times New Roman" w:eastAsia="宋体" w:cs="Times New Roman"/>
          <w:b w:val="0"/>
          <w:color w:val="auto"/>
          <w:kern w:val="2"/>
          <w:sz w:val="24"/>
          <w:szCs w:val="24"/>
          <w:lang w:val="en-US" w:eastAsia="zh-CN" w:bidi="ar-SA"/>
        </w:rPr>
        <w:t>V</w:t>
      </w:r>
      <w:r>
        <w:rPr>
          <w:rFonts w:ascii="Times New Roman" w:hAnsi="Times New Roman" w:eastAsia="宋体" w:cs="Times New Roman"/>
          <w:b w:val="0"/>
          <w:color w:val="auto"/>
          <w:kern w:val="2"/>
          <w:sz w:val="24"/>
          <w:szCs w:val="24"/>
          <w:vertAlign w:val="subscript"/>
          <w:lang w:val="en-US" w:eastAsia="zh-CN" w:bidi="ar-SA"/>
        </w:rPr>
        <w:t>S</w:t>
      </w:r>
      <w:r>
        <w:rPr>
          <w:rFonts w:ascii="Times New Roman" w:hAnsi="Times New Roman" w:eastAsia="宋体" w:cs="Times New Roman"/>
          <w:b w:val="0"/>
          <w:color w:val="auto"/>
          <w:kern w:val="2"/>
          <w:sz w:val="24"/>
          <w:szCs w:val="24"/>
          <w:lang w:val="en-US" w:eastAsia="zh-CN" w:bidi="ar-SA"/>
        </w:rPr>
        <w:t>、V</w:t>
      </w:r>
      <w:r>
        <w:rPr>
          <w:rFonts w:ascii="Times New Roman" w:hAnsi="Times New Roman" w:eastAsia="宋体" w:cs="Times New Roman"/>
          <w:b w:val="0"/>
          <w:color w:val="auto"/>
          <w:kern w:val="2"/>
          <w:sz w:val="24"/>
          <w:szCs w:val="24"/>
          <w:vertAlign w:val="subscript"/>
          <w:lang w:val="en-US" w:eastAsia="zh-CN" w:bidi="ar-SA"/>
        </w:rPr>
        <w:t>z</w:t>
      </w:r>
      <w:r>
        <w:rPr>
          <w:rFonts w:ascii="Times New Roman" w:hAnsi="Times New Roman" w:eastAsia="宋体" w:cs="Times New Roman"/>
          <w:b w:val="0"/>
          <w:color w:val="auto"/>
          <w:kern w:val="2"/>
          <w:sz w:val="24"/>
          <w:szCs w:val="24"/>
          <w:lang w:val="en-US" w:eastAsia="zh-CN" w:bidi="ar-SA"/>
        </w:rPr>
        <w:t>——时段始、终尾矿库的蓄洪量，m</w:t>
      </w:r>
      <w:r>
        <w:rPr>
          <w:rFonts w:ascii="Times New Roman" w:hAnsi="Times New Roman" w:eastAsia="宋体" w:cs="Times New Roman"/>
          <w:b w:val="0"/>
          <w:color w:val="auto"/>
          <w:kern w:val="2"/>
          <w:sz w:val="24"/>
          <w:szCs w:val="24"/>
          <w:vertAlign w:val="superscript"/>
          <w:lang w:val="en-US" w:eastAsia="zh-CN" w:bidi="ar-SA"/>
        </w:rPr>
        <w:t>3</w:t>
      </w:r>
      <w:r>
        <w:rPr>
          <w:rFonts w:ascii="Times New Roman" w:hAnsi="Times New Roman" w:eastAsia="宋体" w:cs="Times New Roman"/>
          <w:b w:val="0"/>
          <w:color w:val="auto"/>
          <w:kern w:val="2"/>
          <w:sz w:val="24"/>
          <w:szCs w:val="24"/>
          <w:lang w:val="en-US" w:eastAsia="zh-CN" w:bidi="ar-SA"/>
        </w:rPr>
        <w:t>；</w:t>
      </w:r>
    </w:p>
    <w:p w14:paraId="68E1461C">
      <w:pPr>
        <w:widowControl w:val="0"/>
        <w:ind w:firstLine="480"/>
        <w:jc w:val="center"/>
        <w:rPr>
          <w:rFonts w:ascii="Times New Roman" w:hAnsi="Times New Roman" w:eastAsia="宋体" w:cs="Times New Roman"/>
          <w:b w:val="0"/>
          <w:color w:val="auto"/>
          <w:kern w:val="2"/>
          <w:sz w:val="24"/>
          <w:szCs w:val="24"/>
          <w:lang w:val="en-US" w:eastAsia="zh-CN" w:bidi="ar-SA"/>
        </w:rPr>
      </w:pPr>
      <w:r>
        <w:rPr>
          <w:rFonts w:ascii="Times New Roman" w:hAnsi="Times New Roman" w:eastAsia="宋体" w:cs="Times New Roman"/>
          <w:b w:val="0"/>
          <w:color w:val="auto"/>
          <w:kern w:val="2"/>
          <w:sz w:val="24"/>
          <w:szCs w:val="24"/>
          <w:lang w:val="en-US" w:eastAsia="zh-CN" w:bidi="ar-SA"/>
        </w:rPr>
        <w:t>令</w:t>
      </w:r>
      <w:r>
        <w:rPr>
          <w:rFonts w:ascii="Times New Roman" w:hAnsi="Times New Roman" w:eastAsia="宋体" w:cs="Times New Roman"/>
          <w:b w:val="0"/>
          <w:color w:val="auto"/>
          <w:kern w:val="2"/>
          <w:sz w:val="24"/>
          <w:szCs w:val="24"/>
          <w:lang w:val="en-US" w:eastAsia="zh-CN" w:bidi="ar-SA"/>
        </w:rPr>
        <w:object>
          <v:shape id="_x0000_i1051" o:spt="75" type="#_x0000_t75" style="height:30.4pt;width:81.25pt;" o:ole="t" filled="f" o:preferrelative="t" stroked="f" coordsize="21600,21600">
            <v:path/>
            <v:fill on="f" focussize="0,0"/>
            <v:stroke on="f" joinstyle="miter"/>
            <v:imagedata r:id="rId76" o:title=""/>
            <o:lock v:ext="edit" aspectratio="t"/>
            <w10:wrap type="none"/>
            <w10:anchorlock/>
          </v:shape>
          <o:OLEObject Type="Embed" ProgID="Equation.DSMT4" ShapeID="_x0000_i1051" DrawAspect="Content" ObjectID="_1468075751" r:id="rId75">
            <o:LockedField>false</o:LockedField>
          </o:OLEObject>
        </w:object>
      </w:r>
      <w:r>
        <w:rPr>
          <w:rFonts w:ascii="Times New Roman" w:hAnsi="Times New Roman" w:eastAsia="宋体" w:cs="Times New Roman"/>
          <w:b w:val="0"/>
          <w:color w:val="auto"/>
          <w:kern w:val="2"/>
          <w:sz w:val="24"/>
          <w:szCs w:val="24"/>
          <w:lang w:val="en-US" w:eastAsia="zh-CN" w:bidi="ar-SA"/>
        </w:rPr>
        <w:t>，将其代入上式中，整理后得：</w:t>
      </w:r>
    </w:p>
    <w:p w14:paraId="254B9B48">
      <w:pPr>
        <w:spacing w:line="360" w:lineRule="auto"/>
        <w:ind w:firstLine="0" w:firstLineChars="0"/>
        <w:jc w:val="center"/>
        <w:rPr>
          <w:rFonts w:ascii="Calibri" w:hAnsi="Calibri" w:eastAsia="宋体"/>
          <w:b/>
          <w:color w:val="auto"/>
          <w:sz w:val="24"/>
          <w:szCs w:val="22"/>
        </w:rPr>
      </w:pPr>
      <w:r>
        <w:rPr>
          <w:rFonts w:ascii="Calibri" w:hAnsi="Calibri" w:eastAsia="宋体"/>
          <w:color w:val="auto"/>
          <w:sz w:val="21"/>
          <w:szCs w:val="22"/>
        </w:rPr>
        <w:object>
          <v:shape id="_x0000_i1052" o:spt="75" type="#_x0000_t75" style="height:30.4pt;width:160.55pt;" o:ole="t" filled="f" o:preferrelative="t" stroked="f" coordsize="21600,21600">
            <v:path/>
            <v:fill on="f" focussize="0,0"/>
            <v:stroke on="f" joinstyle="miter"/>
            <v:imagedata r:id="rId78" o:title=""/>
            <o:lock v:ext="edit" aspectratio="t"/>
            <w10:wrap type="none"/>
            <w10:anchorlock/>
          </v:shape>
          <o:OLEObject Type="Embed" ProgID="Equation.DSMT4" ShapeID="_x0000_i1052" DrawAspect="Content" ObjectID="_1468075752" r:id="rId77">
            <o:LockedField>false</o:LockedField>
          </o:OLEObject>
        </w:object>
      </w:r>
    </w:p>
    <w:p w14:paraId="6090DD57">
      <w:pPr>
        <w:bidi w:val="0"/>
        <w:rPr>
          <w:color w:val="auto"/>
        </w:rPr>
      </w:pPr>
      <w:r>
        <w:rPr>
          <w:rFonts w:hint="eastAsia"/>
          <w:color w:val="auto"/>
        </w:rPr>
        <w:t>按</w:t>
      </w:r>
      <w:r>
        <w:rPr>
          <w:color w:val="auto"/>
        </w:rPr>
        <w:t>以上</w:t>
      </w:r>
      <w:r>
        <w:rPr>
          <w:rFonts w:hint="eastAsia"/>
          <w:color w:val="auto"/>
        </w:rPr>
        <w:t>公式</w:t>
      </w:r>
      <w:r>
        <w:rPr>
          <w:color w:val="auto"/>
        </w:rPr>
        <w:t>进行调洪演算，</w:t>
      </w:r>
      <w:r>
        <w:rPr>
          <w:rFonts w:hint="eastAsia"/>
          <w:color w:val="auto"/>
        </w:rPr>
        <w:t>计算</w:t>
      </w:r>
      <w:r>
        <w:rPr>
          <w:color w:val="auto"/>
        </w:rPr>
        <w:t>结果</w:t>
      </w:r>
      <w:r>
        <w:rPr>
          <w:rFonts w:hint="eastAsia"/>
          <w:color w:val="auto"/>
        </w:rPr>
        <w:t>见</w:t>
      </w:r>
      <w:r>
        <w:rPr>
          <w:color w:val="auto"/>
        </w:rPr>
        <w:t>下表</w:t>
      </w:r>
      <w:r>
        <w:rPr>
          <w:rFonts w:hint="eastAsia"/>
          <w:color w:val="auto"/>
        </w:rPr>
        <w:t>。</w:t>
      </w:r>
    </w:p>
    <w:p w14:paraId="308837AF">
      <w:pPr>
        <w:bidi w:val="0"/>
        <w:ind w:left="0" w:leftChars="0" w:firstLine="0" w:firstLineChars="0"/>
        <w:jc w:val="center"/>
        <w:rPr>
          <w:rFonts w:hint="eastAsia"/>
          <w:color w:val="auto"/>
          <w:lang w:val="en-GB" w:eastAsia="zh-CN"/>
        </w:rPr>
      </w:pPr>
      <w:r>
        <w:rPr>
          <w:rFonts w:hint="eastAsia"/>
          <w:color w:val="auto"/>
          <w:lang w:val="en-GB" w:eastAsia="zh-CN"/>
        </w:rPr>
        <w:t>表</w:t>
      </w:r>
      <w:r>
        <w:rPr>
          <w:rFonts w:hint="eastAsia"/>
          <w:color w:val="auto"/>
          <w:lang w:val="en-US" w:eastAsia="zh-CN"/>
        </w:rPr>
        <w:t>4.3</w:t>
      </w:r>
      <w:r>
        <w:rPr>
          <w:rFonts w:hint="eastAsia"/>
          <w:color w:val="auto"/>
          <w:lang w:val="en-GB" w:eastAsia="zh-CN"/>
        </w:rPr>
        <w:t>-</w:t>
      </w:r>
      <w:r>
        <w:rPr>
          <w:rFonts w:hint="eastAsia"/>
          <w:color w:val="auto"/>
          <w:lang w:val="en-US" w:eastAsia="zh-CN"/>
        </w:rPr>
        <w:t>7</w:t>
      </w:r>
      <w:r>
        <w:rPr>
          <w:rFonts w:hint="eastAsia"/>
          <w:color w:val="auto"/>
          <w:lang w:val="en-GB" w:eastAsia="zh-CN"/>
        </w:rPr>
        <w:t xml:space="preserve"> 尾矿库现状工况</w:t>
      </w:r>
      <w:r>
        <w:rPr>
          <w:color w:val="auto"/>
          <w:lang w:val="en-GB" w:eastAsia="zh-CN"/>
        </w:rPr>
        <w:t>调洪演算表</w:t>
      </w:r>
    </w:p>
    <w:tbl>
      <w:tblPr>
        <w:tblStyle w:val="19"/>
        <w:tblW w:w="5000" w:type="pct"/>
        <w:tblInd w:w="0" w:type="dxa"/>
        <w:tblLayout w:type="autofit"/>
        <w:tblCellMar>
          <w:top w:w="0" w:type="dxa"/>
          <w:left w:w="108" w:type="dxa"/>
          <w:bottom w:w="0" w:type="dxa"/>
          <w:right w:w="108" w:type="dxa"/>
        </w:tblCellMar>
      </w:tblPr>
      <w:tblGrid>
        <w:gridCol w:w="1114"/>
        <w:gridCol w:w="1114"/>
        <w:gridCol w:w="1115"/>
        <w:gridCol w:w="1661"/>
        <w:gridCol w:w="1661"/>
        <w:gridCol w:w="1115"/>
        <w:gridCol w:w="1508"/>
      </w:tblGrid>
      <w:tr w14:paraId="3046A812">
        <w:tblPrEx>
          <w:tblCellMar>
            <w:top w:w="0" w:type="dxa"/>
            <w:left w:w="108" w:type="dxa"/>
            <w:bottom w:w="0" w:type="dxa"/>
            <w:right w:w="108" w:type="dxa"/>
          </w:tblCellMar>
        </w:tblPrEx>
        <w:trPr>
          <w:trHeight w:val="420" w:hRule="atLeast"/>
          <w:tblHeader/>
        </w:trPr>
        <w:tc>
          <w:tcPr>
            <w:tcW w:w="600" w:type="pct"/>
            <w:tcBorders>
              <w:top w:val="single" w:color="auto" w:sz="4" w:space="0"/>
              <w:left w:val="single" w:color="auto" w:sz="4" w:space="0"/>
              <w:bottom w:val="single" w:color="auto" w:sz="4" w:space="0"/>
              <w:right w:val="single" w:color="auto" w:sz="4" w:space="0"/>
            </w:tcBorders>
            <w:shd w:val="clear" w:color="auto" w:fill="auto"/>
            <w:vAlign w:val="center"/>
          </w:tcPr>
          <w:p w14:paraId="74CD0FA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t</w:t>
            </w:r>
          </w:p>
        </w:tc>
        <w:tc>
          <w:tcPr>
            <w:tcW w:w="600" w:type="pct"/>
            <w:tcBorders>
              <w:top w:val="single" w:color="auto" w:sz="4" w:space="0"/>
              <w:left w:val="nil"/>
              <w:bottom w:val="single" w:color="auto" w:sz="4" w:space="0"/>
              <w:right w:val="single" w:color="auto" w:sz="4" w:space="0"/>
            </w:tcBorders>
            <w:shd w:val="clear" w:color="auto" w:fill="auto"/>
            <w:noWrap/>
            <w:vAlign w:val="center"/>
          </w:tcPr>
          <w:p w14:paraId="79DFA7F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Q</w:t>
            </w:r>
          </w:p>
        </w:tc>
        <w:tc>
          <w:tcPr>
            <w:tcW w:w="600" w:type="pct"/>
            <w:tcBorders>
              <w:top w:val="single" w:color="auto" w:sz="4" w:space="0"/>
              <w:left w:val="nil"/>
              <w:bottom w:val="single" w:color="auto" w:sz="4" w:space="0"/>
              <w:right w:val="single" w:color="auto" w:sz="4" w:space="0"/>
            </w:tcBorders>
            <w:shd w:val="clear" w:color="auto" w:fill="auto"/>
            <w:noWrap/>
            <w:vAlign w:val="center"/>
          </w:tcPr>
          <w:p w14:paraId="143C285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Qav</w:t>
            </w:r>
          </w:p>
        </w:tc>
        <w:tc>
          <w:tcPr>
            <w:tcW w:w="894" w:type="pct"/>
            <w:tcBorders>
              <w:top w:val="single" w:color="auto" w:sz="4" w:space="0"/>
              <w:left w:val="nil"/>
              <w:bottom w:val="single" w:color="auto" w:sz="4" w:space="0"/>
              <w:right w:val="single" w:color="auto" w:sz="4" w:space="0"/>
            </w:tcBorders>
            <w:shd w:val="clear" w:color="auto" w:fill="auto"/>
            <w:noWrap/>
            <w:vAlign w:val="center"/>
          </w:tcPr>
          <w:p w14:paraId="62E3871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Qav△t</w:t>
            </w:r>
          </w:p>
        </w:tc>
        <w:tc>
          <w:tcPr>
            <w:tcW w:w="894" w:type="pct"/>
            <w:tcBorders>
              <w:top w:val="single" w:color="auto" w:sz="4" w:space="0"/>
              <w:left w:val="nil"/>
              <w:bottom w:val="single" w:color="auto" w:sz="4" w:space="0"/>
              <w:right w:val="single" w:color="auto" w:sz="4" w:space="0"/>
            </w:tcBorders>
            <w:shd w:val="clear" w:color="auto" w:fill="auto"/>
            <w:noWrap/>
            <w:vAlign w:val="center"/>
          </w:tcPr>
          <w:p w14:paraId="4DC1504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V+1/2q△t</w:t>
            </w:r>
          </w:p>
        </w:tc>
        <w:tc>
          <w:tcPr>
            <w:tcW w:w="600" w:type="pct"/>
            <w:tcBorders>
              <w:top w:val="single" w:color="auto" w:sz="4" w:space="0"/>
              <w:left w:val="nil"/>
              <w:bottom w:val="single" w:color="auto" w:sz="4" w:space="0"/>
              <w:right w:val="single" w:color="auto" w:sz="4" w:space="0"/>
            </w:tcBorders>
            <w:shd w:val="clear" w:color="auto" w:fill="auto"/>
            <w:noWrap/>
            <w:vAlign w:val="center"/>
          </w:tcPr>
          <w:p w14:paraId="0C3150A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q</w:t>
            </w:r>
          </w:p>
        </w:tc>
        <w:tc>
          <w:tcPr>
            <w:tcW w:w="812" w:type="pct"/>
            <w:tcBorders>
              <w:top w:val="single" w:color="auto" w:sz="4" w:space="0"/>
              <w:left w:val="nil"/>
              <w:bottom w:val="single" w:color="auto" w:sz="4" w:space="0"/>
              <w:right w:val="single" w:color="auto" w:sz="4" w:space="0"/>
            </w:tcBorders>
            <w:shd w:val="clear" w:color="auto" w:fill="auto"/>
            <w:noWrap/>
            <w:vAlign w:val="center"/>
          </w:tcPr>
          <w:p w14:paraId="5AEF7AC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V-1/2q△t</w:t>
            </w:r>
          </w:p>
        </w:tc>
      </w:tr>
      <w:tr w14:paraId="03DEF911">
        <w:tblPrEx>
          <w:tblCellMar>
            <w:top w:w="0" w:type="dxa"/>
            <w:left w:w="108" w:type="dxa"/>
            <w:bottom w:w="0" w:type="dxa"/>
            <w:right w:w="108" w:type="dxa"/>
          </w:tblCellMar>
        </w:tblPrEx>
        <w:trPr>
          <w:trHeight w:val="345" w:hRule="atLeast"/>
          <w:tblHeader/>
        </w:trPr>
        <w:tc>
          <w:tcPr>
            <w:tcW w:w="600" w:type="pct"/>
            <w:tcBorders>
              <w:top w:val="nil"/>
              <w:left w:val="single" w:color="auto" w:sz="4" w:space="0"/>
              <w:bottom w:val="single" w:color="auto" w:sz="4" w:space="0"/>
              <w:right w:val="single" w:color="auto" w:sz="4" w:space="0"/>
            </w:tcBorders>
            <w:shd w:val="clear" w:color="auto" w:fill="auto"/>
            <w:noWrap/>
            <w:vAlign w:val="center"/>
          </w:tcPr>
          <w:p w14:paraId="21AA8AB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(h)</w:t>
            </w:r>
          </w:p>
        </w:tc>
        <w:tc>
          <w:tcPr>
            <w:tcW w:w="600" w:type="pct"/>
            <w:tcBorders>
              <w:top w:val="nil"/>
              <w:left w:val="nil"/>
              <w:bottom w:val="single" w:color="auto" w:sz="4" w:space="0"/>
              <w:right w:val="single" w:color="auto" w:sz="4" w:space="0"/>
            </w:tcBorders>
            <w:shd w:val="clear" w:color="auto" w:fill="auto"/>
            <w:noWrap/>
            <w:vAlign w:val="center"/>
          </w:tcPr>
          <w:p w14:paraId="26984F9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(m3/s)</w:t>
            </w:r>
          </w:p>
        </w:tc>
        <w:tc>
          <w:tcPr>
            <w:tcW w:w="600" w:type="pct"/>
            <w:tcBorders>
              <w:top w:val="nil"/>
              <w:left w:val="nil"/>
              <w:bottom w:val="single" w:color="auto" w:sz="4" w:space="0"/>
              <w:right w:val="single" w:color="auto" w:sz="4" w:space="0"/>
            </w:tcBorders>
            <w:shd w:val="clear" w:color="auto" w:fill="auto"/>
            <w:noWrap/>
            <w:vAlign w:val="center"/>
          </w:tcPr>
          <w:p w14:paraId="3C324E2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(m3/s)</w:t>
            </w:r>
          </w:p>
        </w:tc>
        <w:tc>
          <w:tcPr>
            <w:tcW w:w="894" w:type="pct"/>
            <w:tcBorders>
              <w:top w:val="nil"/>
              <w:left w:val="nil"/>
              <w:bottom w:val="single" w:color="auto" w:sz="4" w:space="0"/>
              <w:right w:val="single" w:color="auto" w:sz="4" w:space="0"/>
            </w:tcBorders>
            <w:shd w:val="clear" w:color="auto" w:fill="auto"/>
            <w:noWrap/>
            <w:vAlign w:val="center"/>
          </w:tcPr>
          <w:p w14:paraId="70EC7F5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(m3)</w:t>
            </w:r>
          </w:p>
        </w:tc>
        <w:tc>
          <w:tcPr>
            <w:tcW w:w="894" w:type="pct"/>
            <w:tcBorders>
              <w:top w:val="nil"/>
              <w:left w:val="nil"/>
              <w:bottom w:val="single" w:color="auto" w:sz="4" w:space="0"/>
              <w:right w:val="single" w:color="auto" w:sz="4" w:space="0"/>
            </w:tcBorders>
            <w:shd w:val="clear" w:color="auto" w:fill="auto"/>
            <w:noWrap/>
            <w:vAlign w:val="center"/>
          </w:tcPr>
          <w:p w14:paraId="3BDDF24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(m3)</w:t>
            </w:r>
          </w:p>
        </w:tc>
        <w:tc>
          <w:tcPr>
            <w:tcW w:w="600" w:type="pct"/>
            <w:tcBorders>
              <w:top w:val="nil"/>
              <w:left w:val="nil"/>
              <w:bottom w:val="single" w:color="auto" w:sz="4" w:space="0"/>
              <w:right w:val="single" w:color="auto" w:sz="4" w:space="0"/>
            </w:tcBorders>
            <w:shd w:val="clear" w:color="auto" w:fill="auto"/>
            <w:noWrap/>
            <w:vAlign w:val="center"/>
          </w:tcPr>
          <w:p w14:paraId="4CA4D80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(m3/s)</w:t>
            </w:r>
          </w:p>
        </w:tc>
        <w:tc>
          <w:tcPr>
            <w:tcW w:w="812" w:type="pct"/>
            <w:tcBorders>
              <w:top w:val="nil"/>
              <w:left w:val="nil"/>
              <w:bottom w:val="single" w:color="auto" w:sz="4" w:space="0"/>
              <w:right w:val="single" w:color="auto" w:sz="4" w:space="0"/>
            </w:tcBorders>
            <w:shd w:val="clear" w:color="auto" w:fill="auto"/>
            <w:noWrap/>
            <w:vAlign w:val="center"/>
          </w:tcPr>
          <w:p w14:paraId="6B00418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(m3)</w:t>
            </w:r>
          </w:p>
        </w:tc>
      </w:tr>
      <w:tr w14:paraId="2C8DC46B">
        <w:tblPrEx>
          <w:tblCellMar>
            <w:top w:w="0" w:type="dxa"/>
            <w:left w:w="108" w:type="dxa"/>
            <w:bottom w:w="0" w:type="dxa"/>
            <w:right w:w="108" w:type="dxa"/>
          </w:tblCellMar>
        </w:tblPrEx>
        <w:trPr>
          <w:trHeight w:val="300" w:hRule="atLeast"/>
          <w:tblHeader/>
        </w:trPr>
        <w:tc>
          <w:tcPr>
            <w:tcW w:w="600" w:type="pct"/>
            <w:tcBorders>
              <w:top w:val="nil"/>
              <w:left w:val="single" w:color="auto" w:sz="4" w:space="0"/>
              <w:bottom w:val="single" w:color="auto" w:sz="4" w:space="0"/>
              <w:right w:val="single" w:color="auto" w:sz="4" w:space="0"/>
            </w:tcBorders>
            <w:shd w:val="clear" w:color="auto" w:fill="auto"/>
            <w:noWrap/>
            <w:vAlign w:val="center"/>
          </w:tcPr>
          <w:p w14:paraId="1C05C1F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0.00</w:t>
            </w:r>
          </w:p>
        </w:tc>
        <w:tc>
          <w:tcPr>
            <w:tcW w:w="600" w:type="pct"/>
            <w:tcBorders>
              <w:top w:val="nil"/>
              <w:left w:val="nil"/>
              <w:bottom w:val="single" w:color="auto" w:sz="4" w:space="0"/>
              <w:right w:val="single" w:color="auto" w:sz="4" w:space="0"/>
            </w:tcBorders>
            <w:shd w:val="clear" w:color="auto" w:fill="auto"/>
            <w:noWrap/>
            <w:vAlign w:val="center"/>
          </w:tcPr>
          <w:p w14:paraId="23EFE55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0.00</w:t>
            </w:r>
          </w:p>
        </w:tc>
        <w:tc>
          <w:tcPr>
            <w:tcW w:w="600" w:type="pct"/>
            <w:tcBorders>
              <w:top w:val="nil"/>
              <w:left w:val="nil"/>
              <w:bottom w:val="single" w:color="auto" w:sz="4" w:space="0"/>
              <w:right w:val="single" w:color="auto" w:sz="4" w:space="0"/>
            </w:tcBorders>
            <w:shd w:val="clear" w:color="auto" w:fill="auto"/>
            <w:noWrap/>
            <w:vAlign w:val="center"/>
          </w:tcPr>
          <w:p w14:paraId="453D4F8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0.00</w:t>
            </w:r>
          </w:p>
        </w:tc>
        <w:tc>
          <w:tcPr>
            <w:tcW w:w="894" w:type="pct"/>
            <w:tcBorders>
              <w:top w:val="nil"/>
              <w:left w:val="nil"/>
              <w:bottom w:val="single" w:color="auto" w:sz="4" w:space="0"/>
              <w:right w:val="single" w:color="auto" w:sz="4" w:space="0"/>
            </w:tcBorders>
            <w:shd w:val="clear" w:color="auto" w:fill="auto"/>
            <w:noWrap/>
            <w:vAlign w:val="center"/>
          </w:tcPr>
          <w:p w14:paraId="5C20FEF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0.0</w:t>
            </w:r>
          </w:p>
        </w:tc>
        <w:tc>
          <w:tcPr>
            <w:tcW w:w="894" w:type="pct"/>
            <w:tcBorders>
              <w:top w:val="nil"/>
              <w:left w:val="nil"/>
              <w:bottom w:val="single" w:color="auto" w:sz="4" w:space="0"/>
              <w:right w:val="single" w:color="auto" w:sz="4" w:space="0"/>
            </w:tcBorders>
            <w:shd w:val="clear" w:color="auto" w:fill="auto"/>
            <w:noWrap/>
            <w:vAlign w:val="center"/>
          </w:tcPr>
          <w:p w14:paraId="78E1BBB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0.0</w:t>
            </w:r>
          </w:p>
        </w:tc>
        <w:tc>
          <w:tcPr>
            <w:tcW w:w="600" w:type="pct"/>
            <w:tcBorders>
              <w:top w:val="nil"/>
              <w:left w:val="nil"/>
              <w:bottom w:val="single" w:color="auto" w:sz="4" w:space="0"/>
              <w:right w:val="single" w:color="auto" w:sz="4" w:space="0"/>
            </w:tcBorders>
            <w:shd w:val="clear" w:color="auto" w:fill="auto"/>
            <w:noWrap/>
            <w:vAlign w:val="center"/>
          </w:tcPr>
          <w:p w14:paraId="06EB5CF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0.00</w:t>
            </w:r>
          </w:p>
        </w:tc>
        <w:tc>
          <w:tcPr>
            <w:tcW w:w="812" w:type="pct"/>
            <w:tcBorders>
              <w:top w:val="nil"/>
              <w:left w:val="nil"/>
              <w:bottom w:val="single" w:color="auto" w:sz="4" w:space="0"/>
              <w:right w:val="single" w:color="auto" w:sz="4" w:space="0"/>
            </w:tcBorders>
            <w:shd w:val="clear" w:color="auto" w:fill="auto"/>
            <w:noWrap/>
            <w:vAlign w:val="center"/>
          </w:tcPr>
          <w:p w14:paraId="0E59F80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0.0</w:t>
            </w:r>
          </w:p>
        </w:tc>
      </w:tr>
      <w:tr w14:paraId="3E83EBB8">
        <w:tblPrEx>
          <w:tblCellMar>
            <w:top w:w="0" w:type="dxa"/>
            <w:left w:w="108" w:type="dxa"/>
            <w:bottom w:w="0" w:type="dxa"/>
            <w:right w:w="108" w:type="dxa"/>
          </w:tblCellMar>
        </w:tblPrEx>
        <w:trPr>
          <w:trHeight w:val="300" w:hRule="atLeast"/>
          <w:tblHeader/>
        </w:trPr>
        <w:tc>
          <w:tcPr>
            <w:tcW w:w="600" w:type="pct"/>
            <w:tcBorders>
              <w:top w:val="nil"/>
              <w:left w:val="single" w:color="auto" w:sz="4" w:space="0"/>
              <w:bottom w:val="single" w:color="auto" w:sz="4" w:space="0"/>
              <w:right w:val="single" w:color="auto" w:sz="4" w:space="0"/>
            </w:tcBorders>
            <w:shd w:val="clear" w:color="auto" w:fill="auto"/>
            <w:noWrap/>
            <w:vAlign w:val="center"/>
          </w:tcPr>
          <w:p w14:paraId="55B5117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1.00</w:t>
            </w:r>
          </w:p>
        </w:tc>
        <w:tc>
          <w:tcPr>
            <w:tcW w:w="600" w:type="pct"/>
            <w:tcBorders>
              <w:top w:val="nil"/>
              <w:left w:val="nil"/>
              <w:bottom w:val="single" w:color="auto" w:sz="4" w:space="0"/>
              <w:right w:val="single" w:color="auto" w:sz="4" w:space="0"/>
            </w:tcBorders>
            <w:shd w:val="clear" w:color="auto" w:fill="auto"/>
            <w:noWrap/>
            <w:vAlign w:val="center"/>
          </w:tcPr>
          <w:p w14:paraId="1E6BDED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51.02</w:t>
            </w:r>
          </w:p>
        </w:tc>
        <w:tc>
          <w:tcPr>
            <w:tcW w:w="600" w:type="pct"/>
            <w:tcBorders>
              <w:top w:val="nil"/>
              <w:left w:val="nil"/>
              <w:bottom w:val="single" w:color="auto" w:sz="4" w:space="0"/>
              <w:right w:val="single" w:color="auto" w:sz="4" w:space="0"/>
            </w:tcBorders>
            <w:shd w:val="clear" w:color="auto" w:fill="auto"/>
            <w:noWrap/>
            <w:vAlign w:val="center"/>
          </w:tcPr>
          <w:p w14:paraId="2B50CB6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25.51</w:t>
            </w:r>
          </w:p>
        </w:tc>
        <w:tc>
          <w:tcPr>
            <w:tcW w:w="894" w:type="pct"/>
            <w:tcBorders>
              <w:top w:val="nil"/>
              <w:left w:val="nil"/>
              <w:bottom w:val="single" w:color="auto" w:sz="4" w:space="0"/>
              <w:right w:val="single" w:color="auto" w:sz="4" w:space="0"/>
            </w:tcBorders>
            <w:shd w:val="clear" w:color="auto" w:fill="auto"/>
            <w:noWrap/>
            <w:vAlign w:val="center"/>
          </w:tcPr>
          <w:p w14:paraId="5598EEF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91843.5</w:t>
            </w:r>
          </w:p>
        </w:tc>
        <w:tc>
          <w:tcPr>
            <w:tcW w:w="894" w:type="pct"/>
            <w:tcBorders>
              <w:top w:val="nil"/>
              <w:left w:val="nil"/>
              <w:bottom w:val="single" w:color="auto" w:sz="4" w:space="0"/>
              <w:right w:val="single" w:color="auto" w:sz="4" w:space="0"/>
            </w:tcBorders>
            <w:shd w:val="clear" w:color="auto" w:fill="auto"/>
            <w:noWrap/>
            <w:vAlign w:val="center"/>
          </w:tcPr>
          <w:p w14:paraId="67142F7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91843.5</w:t>
            </w:r>
          </w:p>
        </w:tc>
        <w:tc>
          <w:tcPr>
            <w:tcW w:w="600" w:type="pct"/>
            <w:tcBorders>
              <w:top w:val="nil"/>
              <w:left w:val="nil"/>
              <w:bottom w:val="single" w:color="auto" w:sz="4" w:space="0"/>
              <w:right w:val="single" w:color="auto" w:sz="4" w:space="0"/>
            </w:tcBorders>
            <w:shd w:val="clear" w:color="auto" w:fill="auto"/>
            <w:noWrap/>
            <w:vAlign w:val="center"/>
          </w:tcPr>
          <w:p w14:paraId="0C6D580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8.06</w:t>
            </w:r>
          </w:p>
        </w:tc>
        <w:tc>
          <w:tcPr>
            <w:tcW w:w="812" w:type="pct"/>
            <w:tcBorders>
              <w:top w:val="nil"/>
              <w:left w:val="nil"/>
              <w:bottom w:val="single" w:color="auto" w:sz="4" w:space="0"/>
              <w:right w:val="single" w:color="auto" w:sz="4" w:space="0"/>
            </w:tcBorders>
            <w:shd w:val="clear" w:color="auto" w:fill="auto"/>
            <w:noWrap/>
            <w:vAlign w:val="center"/>
          </w:tcPr>
          <w:p w14:paraId="59D7953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62824.9</w:t>
            </w:r>
          </w:p>
        </w:tc>
      </w:tr>
      <w:tr w14:paraId="7F046C6B">
        <w:tblPrEx>
          <w:tblCellMar>
            <w:top w:w="0" w:type="dxa"/>
            <w:left w:w="108" w:type="dxa"/>
            <w:bottom w:w="0" w:type="dxa"/>
            <w:right w:w="108" w:type="dxa"/>
          </w:tblCellMar>
        </w:tblPrEx>
        <w:trPr>
          <w:trHeight w:val="300" w:hRule="atLeast"/>
          <w:tblHeader/>
        </w:trPr>
        <w:tc>
          <w:tcPr>
            <w:tcW w:w="600" w:type="pct"/>
            <w:tcBorders>
              <w:top w:val="nil"/>
              <w:left w:val="single" w:color="auto" w:sz="4" w:space="0"/>
              <w:bottom w:val="single" w:color="auto" w:sz="4" w:space="0"/>
              <w:right w:val="single" w:color="auto" w:sz="4" w:space="0"/>
            </w:tcBorders>
            <w:shd w:val="clear" w:color="auto" w:fill="auto"/>
            <w:noWrap/>
            <w:vAlign w:val="center"/>
          </w:tcPr>
          <w:p w14:paraId="65F6C70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2.00</w:t>
            </w:r>
          </w:p>
        </w:tc>
        <w:tc>
          <w:tcPr>
            <w:tcW w:w="600" w:type="pct"/>
            <w:tcBorders>
              <w:top w:val="nil"/>
              <w:left w:val="nil"/>
              <w:bottom w:val="single" w:color="auto" w:sz="4" w:space="0"/>
              <w:right w:val="single" w:color="auto" w:sz="4" w:space="0"/>
            </w:tcBorders>
            <w:shd w:val="clear" w:color="auto" w:fill="auto"/>
            <w:noWrap/>
            <w:vAlign w:val="center"/>
          </w:tcPr>
          <w:p w14:paraId="473E924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214.64</w:t>
            </w:r>
          </w:p>
        </w:tc>
        <w:tc>
          <w:tcPr>
            <w:tcW w:w="600" w:type="pct"/>
            <w:tcBorders>
              <w:top w:val="nil"/>
              <w:left w:val="nil"/>
              <w:bottom w:val="single" w:color="auto" w:sz="4" w:space="0"/>
              <w:right w:val="single" w:color="auto" w:sz="4" w:space="0"/>
            </w:tcBorders>
            <w:shd w:val="clear" w:color="auto" w:fill="auto"/>
            <w:noWrap/>
            <w:vAlign w:val="center"/>
          </w:tcPr>
          <w:p w14:paraId="467E070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132.83</w:t>
            </w:r>
          </w:p>
        </w:tc>
        <w:tc>
          <w:tcPr>
            <w:tcW w:w="894" w:type="pct"/>
            <w:tcBorders>
              <w:top w:val="nil"/>
              <w:left w:val="nil"/>
              <w:bottom w:val="single" w:color="auto" w:sz="4" w:space="0"/>
              <w:right w:val="single" w:color="auto" w:sz="4" w:space="0"/>
            </w:tcBorders>
            <w:shd w:val="clear" w:color="auto" w:fill="auto"/>
            <w:noWrap/>
            <w:vAlign w:val="center"/>
          </w:tcPr>
          <w:p w14:paraId="6BE1817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478190.3</w:t>
            </w:r>
          </w:p>
        </w:tc>
        <w:tc>
          <w:tcPr>
            <w:tcW w:w="894" w:type="pct"/>
            <w:tcBorders>
              <w:top w:val="nil"/>
              <w:left w:val="nil"/>
              <w:bottom w:val="single" w:color="auto" w:sz="4" w:space="0"/>
              <w:right w:val="single" w:color="auto" w:sz="4" w:space="0"/>
            </w:tcBorders>
            <w:shd w:val="clear" w:color="auto" w:fill="auto"/>
            <w:noWrap/>
            <w:vAlign w:val="center"/>
          </w:tcPr>
          <w:p w14:paraId="452FD8B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541015.2</w:t>
            </w:r>
          </w:p>
        </w:tc>
        <w:tc>
          <w:tcPr>
            <w:tcW w:w="600" w:type="pct"/>
            <w:tcBorders>
              <w:top w:val="nil"/>
              <w:left w:val="nil"/>
              <w:bottom w:val="single" w:color="auto" w:sz="4" w:space="0"/>
              <w:right w:val="single" w:color="auto" w:sz="4" w:space="0"/>
            </w:tcBorders>
            <w:shd w:val="clear" w:color="auto" w:fill="auto"/>
            <w:noWrap/>
            <w:vAlign w:val="center"/>
          </w:tcPr>
          <w:p w14:paraId="5798D5E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20.80</w:t>
            </w:r>
          </w:p>
        </w:tc>
        <w:tc>
          <w:tcPr>
            <w:tcW w:w="812" w:type="pct"/>
            <w:tcBorders>
              <w:top w:val="nil"/>
              <w:left w:val="nil"/>
              <w:bottom w:val="single" w:color="auto" w:sz="4" w:space="0"/>
              <w:right w:val="single" w:color="auto" w:sz="4" w:space="0"/>
            </w:tcBorders>
            <w:shd w:val="clear" w:color="auto" w:fill="auto"/>
            <w:noWrap/>
            <w:vAlign w:val="center"/>
          </w:tcPr>
          <w:p w14:paraId="1D5272A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466130.8</w:t>
            </w:r>
          </w:p>
        </w:tc>
      </w:tr>
      <w:tr w14:paraId="4F032FBA">
        <w:tblPrEx>
          <w:tblCellMar>
            <w:top w:w="0" w:type="dxa"/>
            <w:left w:w="108" w:type="dxa"/>
            <w:bottom w:w="0" w:type="dxa"/>
            <w:right w:w="108" w:type="dxa"/>
          </w:tblCellMar>
        </w:tblPrEx>
        <w:trPr>
          <w:trHeight w:val="300" w:hRule="atLeast"/>
          <w:tblHeader/>
        </w:trPr>
        <w:tc>
          <w:tcPr>
            <w:tcW w:w="600" w:type="pct"/>
            <w:tcBorders>
              <w:top w:val="nil"/>
              <w:left w:val="single" w:color="auto" w:sz="4" w:space="0"/>
              <w:bottom w:val="single" w:color="auto" w:sz="4" w:space="0"/>
              <w:right w:val="single" w:color="auto" w:sz="4" w:space="0"/>
            </w:tcBorders>
            <w:shd w:val="clear" w:color="auto" w:fill="auto"/>
            <w:noWrap/>
            <w:vAlign w:val="center"/>
          </w:tcPr>
          <w:p w14:paraId="67C02E3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3.00</w:t>
            </w:r>
          </w:p>
        </w:tc>
        <w:tc>
          <w:tcPr>
            <w:tcW w:w="600" w:type="pct"/>
            <w:tcBorders>
              <w:top w:val="nil"/>
              <w:left w:val="nil"/>
              <w:bottom w:val="single" w:color="auto" w:sz="4" w:space="0"/>
              <w:right w:val="single" w:color="auto" w:sz="4" w:space="0"/>
            </w:tcBorders>
            <w:shd w:val="clear" w:color="auto" w:fill="auto"/>
            <w:noWrap/>
            <w:vAlign w:val="center"/>
          </w:tcPr>
          <w:p w14:paraId="52BA032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146.44</w:t>
            </w:r>
          </w:p>
        </w:tc>
        <w:tc>
          <w:tcPr>
            <w:tcW w:w="600" w:type="pct"/>
            <w:tcBorders>
              <w:top w:val="nil"/>
              <w:left w:val="nil"/>
              <w:bottom w:val="single" w:color="auto" w:sz="4" w:space="0"/>
              <w:right w:val="single" w:color="auto" w:sz="4" w:space="0"/>
            </w:tcBorders>
            <w:shd w:val="clear" w:color="auto" w:fill="auto"/>
            <w:noWrap/>
            <w:vAlign w:val="center"/>
          </w:tcPr>
          <w:p w14:paraId="451866E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180.54</w:t>
            </w:r>
          </w:p>
        </w:tc>
        <w:tc>
          <w:tcPr>
            <w:tcW w:w="894" w:type="pct"/>
            <w:tcBorders>
              <w:top w:val="nil"/>
              <w:left w:val="nil"/>
              <w:bottom w:val="single" w:color="auto" w:sz="4" w:space="0"/>
              <w:right w:val="single" w:color="auto" w:sz="4" w:space="0"/>
            </w:tcBorders>
            <w:shd w:val="clear" w:color="auto" w:fill="auto"/>
            <w:noWrap/>
            <w:vAlign w:val="center"/>
          </w:tcPr>
          <w:p w14:paraId="542FB2E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649943.2</w:t>
            </w:r>
          </w:p>
        </w:tc>
        <w:tc>
          <w:tcPr>
            <w:tcW w:w="894" w:type="pct"/>
            <w:tcBorders>
              <w:top w:val="nil"/>
              <w:left w:val="nil"/>
              <w:bottom w:val="single" w:color="auto" w:sz="4" w:space="0"/>
              <w:right w:val="single" w:color="auto" w:sz="4" w:space="0"/>
            </w:tcBorders>
            <w:shd w:val="clear" w:color="auto" w:fill="auto"/>
            <w:noWrap/>
            <w:vAlign w:val="center"/>
          </w:tcPr>
          <w:p w14:paraId="44EF611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1116074.0</w:t>
            </w:r>
          </w:p>
        </w:tc>
        <w:tc>
          <w:tcPr>
            <w:tcW w:w="600" w:type="pct"/>
            <w:tcBorders>
              <w:top w:val="nil"/>
              <w:left w:val="nil"/>
              <w:bottom w:val="single" w:color="auto" w:sz="4" w:space="0"/>
              <w:right w:val="single" w:color="auto" w:sz="4" w:space="0"/>
            </w:tcBorders>
            <w:shd w:val="clear" w:color="auto" w:fill="auto"/>
            <w:noWrap/>
            <w:vAlign w:val="center"/>
          </w:tcPr>
          <w:p w14:paraId="2E6BD3D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21.44</w:t>
            </w:r>
          </w:p>
        </w:tc>
        <w:tc>
          <w:tcPr>
            <w:tcW w:w="812" w:type="pct"/>
            <w:tcBorders>
              <w:top w:val="nil"/>
              <w:left w:val="nil"/>
              <w:bottom w:val="single" w:color="auto" w:sz="4" w:space="0"/>
              <w:right w:val="single" w:color="auto" w:sz="4" w:space="0"/>
            </w:tcBorders>
            <w:shd w:val="clear" w:color="auto" w:fill="auto"/>
            <w:noWrap/>
            <w:vAlign w:val="center"/>
          </w:tcPr>
          <w:p w14:paraId="79ABCDC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1038882.3</w:t>
            </w:r>
          </w:p>
        </w:tc>
      </w:tr>
      <w:tr w14:paraId="615D27C6">
        <w:tblPrEx>
          <w:tblCellMar>
            <w:top w:w="0" w:type="dxa"/>
            <w:left w:w="108" w:type="dxa"/>
            <w:bottom w:w="0" w:type="dxa"/>
            <w:right w:w="108" w:type="dxa"/>
          </w:tblCellMar>
        </w:tblPrEx>
        <w:trPr>
          <w:trHeight w:val="300" w:hRule="atLeast"/>
          <w:tblHeader/>
        </w:trPr>
        <w:tc>
          <w:tcPr>
            <w:tcW w:w="600" w:type="pct"/>
            <w:tcBorders>
              <w:top w:val="nil"/>
              <w:left w:val="single" w:color="auto" w:sz="4" w:space="0"/>
              <w:bottom w:val="single" w:color="auto" w:sz="4" w:space="0"/>
              <w:right w:val="single" w:color="auto" w:sz="4" w:space="0"/>
            </w:tcBorders>
            <w:shd w:val="clear" w:color="auto" w:fill="auto"/>
            <w:noWrap/>
            <w:vAlign w:val="center"/>
          </w:tcPr>
          <w:p w14:paraId="484ACEF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4.00</w:t>
            </w:r>
          </w:p>
        </w:tc>
        <w:tc>
          <w:tcPr>
            <w:tcW w:w="600" w:type="pct"/>
            <w:tcBorders>
              <w:top w:val="nil"/>
              <w:left w:val="nil"/>
              <w:bottom w:val="single" w:color="auto" w:sz="4" w:space="0"/>
              <w:right w:val="single" w:color="auto" w:sz="4" w:space="0"/>
            </w:tcBorders>
            <w:shd w:val="clear" w:color="auto" w:fill="auto"/>
            <w:noWrap/>
            <w:vAlign w:val="center"/>
          </w:tcPr>
          <w:p w14:paraId="78F2656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60.80</w:t>
            </w:r>
          </w:p>
        </w:tc>
        <w:tc>
          <w:tcPr>
            <w:tcW w:w="600" w:type="pct"/>
            <w:tcBorders>
              <w:top w:val="nil"/>
              <w:left w:val="nil"/>
              <w:bottom w:val="single" w:color="auto" w:sz="4" w:space="0"/>
              <w:right w:val="single" w:color="auto" w:sz="4" w:space="0"/>
            </w:tcBorders>
            <w:shd w:val="clear" w:color="auto" w:fill="auto"/>
            <w:noWrap/>
            <w:vAlign w:val="center"/>
          </w:tcPr>
          <w:p w14:paraId="0629A09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103.62</w:t>
            </w:r>
          </w:p>
        </w:tc>
        <w:tc>
          <w:tcPr>
            <w:tcW w:w="894" w:type="pct"/>
            <w:tcBorders>
              <w:top w:val="nil"/>
              <w:left w:val="nil"/>
              <w:bottom w:val="single" w:color="auto" w:sz="4" w:space="0"/>
              <w:right w:val="single" w:color="auto" w:sz="4" w:space="0"/>
            </w:tcBorders>
            <w:shd w:val="clear" w:color="auto" w:fill="auto"/>
            <w:noWrap/>
            <w:vAlign w:val="center"/>
          </w:tcPr>
          <w:p w14:paraId="0602E8A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373036.3</w:t>
            </w:r>
          </w:p>
        </w:tc>
        <w:tc>
          <w:tcPr>
            <w:tcW w:w="894" w:type="pct"/>
            <w:tcBorders>
              <w:top w:val="nil"/>
              <w:left w:val="nil"/>
              <w:bottom w:val="single" w:color="auto" w:sz="4" w:space="0"/>
              <w:right w:val="single" w:color="auto" w:sz="4" w:space="0"/>
            </w:tcBorders>
            <w:shd w:val="clear" w:color="auto" w:fill="auto"/>
            <w:noWrap/>
            <w:vAlign w:val="center"/>
          </w:tcPr>
          <w:p w14:paraId="38A2E9D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1411918.6</w:t>
            </w:r>
          </w:p>
        </w:tc>
        <w:tc>
          <w:tcPr>
            <w:tcW w:w="600" w:type="pct"/>
            <w:tcBorders>
              <w:top w:val="nil"/>
              <w:left w:val="nil"/>
              <w:bottom w:val="single" w:color="auto" w:sz="4" w:space="0"/>
              <w:right w:val="single" w:color="auto" w:sz="4" w:space="0"/>
            </w:tcBorders>
            <w:shd w:val="clear" w:color="auto" w:fill="auto"/>
            <w:noWrap/>
            <w:vAlign w:val="center"/>
          </w:tcPr>
          <w:p w14:paraId="5CF19AE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21.71</w:t>
            </w:r>
          </w:p>
        </w:tc>
        <w:tc>
          <w:tcPr>
            <w:tcW w:w="812" w:type="pct"/>
            <w:tcBorders>
              <w:top w:val="nil"/>
              <w:left w:val="nil"/>
              <w:bottom w:val="single" w:color="auto" w:sz="4" w:space="0"/>
              <w:right w:val="single" w:color="auto" w:sz="4" w:space="0"/>
            </w:tcBorders>
            <w:shd w:val="clear" w:color="auto" w:fill="auto"/>
            <w:noWrap/>
            <w:vAlign w:val="center"/>
          </w:tcPr>
          <w:p w14:paraId="3BD123F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1333749.9</w:t>
            </w:r>
          </w:p>
        </w:tc>
      </w:tr>
      <w:tr w14:paraId="48675200">
        <w:tblPrEx>
          <w:tblCellMar>
            <w:top w:w="0" w:type="dxa"/>
            <w:left w:w="108" w:type="dxa"/>
            <w:bottom w:w="0" w:type="dxa"/>
            <w:right w:w="108" w:type="dxa"/>
          </w:tblCellMar>
        </w:tblPrEx>
        <w:trPr>
          <w:trHeight w:val="300" w:hRule="atLeast"/>
          <w:tblHeader/>
        </w:trPr>
        <w:tc>
          <w:tcPr>
            <w:tcW w:w="600" w:type="pct"/>
            <w:tcBorders>
              <w:top w:val="nil"/>
              <w:left w:val="single" w:color="auto" w:sz="4" w:space="0"/>
              <w:bottom w:val="single" w:color="auto" w:sz="4" w:space="0"/>
              <w:right w:val="single" w:color="auto" w:sz="4" w:space="0"/>
            </w:tcBorders>
            <w:shd w:val="clear" w:color="auto" w:fill="auto"/>
            <w:noWrap/>
            <w:vAlign w:val="center"/>
          </w:tcPr>
          <w:p w14:paraId="4DCBB27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5.00</w:t>
            </w:r>
          </w:p>
        </w:tc>
        <w:tc>
          <w:tcPr>
            <w:tcW w:w="600" w:type="pct"/>
            <w:tcBorders>
              <w:top w:val="nil"/>
              <w:left w:val="nil"/>
              <w:bottom w:val="single" w:color="auto" w:sz="4" w:space="0"/>
              <w:right w:val="single" w:color="auto" w:sz="4" w:space="0"/>
            </w:tcBorders>
            <w:shd w:val="clear" w:color="auto" w:fill="auto"/>
            <w:noWrap/>
            <w:vAlign w:val="center"/>
          </w:tcPr>
          <w:p w14:paraId="1A8B644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40.35</w:t>
            </w:r>
          </w:p>
        </w:tc>
        <w:tc>
          <w:tcPr>
            <w:tcW w:w="600" w:type="pct"/>
            <w:tcBorders>
              <w:top w:val="nil"/>
              <w:left w:val="nil"/>
              <w:bottom w:val="single" w:color="auto" w:sz="4" w:space="0"/>
              <w:right w:val="single" w:color="auto" w:sz="4" w:space="0"/>
            </w:tcBorders>
            <w:shd w:val="clear" w:color="auto" w:fill="auto"/>
            <w:noWrap/>
            <w:vAlign w:val="center"/>
          </w:tcPr>
          <w:p w14:paraId="70924C0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50.57</w:t>
            </w:r>
          </w:p>
        </w:tc>
        <w:tc>
          <w:tcPr>
            <w:tcW w:w="894" w:type="pct"/>
            <w:tcBorders>
              <w:top w:val="nil"/>
              <w:left w:val="nil"/>
              <w:bottom w:val="single" w:color="auto" w:sz="4" w:space="0"/>
              <w:right w:val="single" w:color="auto" w:sz="4" w:space="0"/>
            </w:tcBorders>
            <w:shd w:val="clear" w:color="auto" w:fill="auto"/>
            <w:noWrap/>
            <w:vAlign w:val="center"/>
          </w:tcPr>
          <w:p w14:paraId="377BCC1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182067.8</w:t>
            </w:r>
          </w:p>
        </w:tc>
        <w:tc>
          <w:tcPr>
            <w:tcW w:w="894" w:type="pct"/>
            <w:tcBorders>
              <w:top w:val="nil"/>
              <w:left w:val="nil"/>
              <w:bottom w:val="single" w:color="auto" w:sz="4" w:space="0"/>
              <w:right w:val="single" w:color="auto" w:sz="4" w:space="0"/>
            </w:tcBorders>
            <w:shd w:val="clear" w:color="auto" w:fill="auto"/>
            <w:noWrap/>
            <w:vAlign w:val="center"/>
          </w:tcPr>
          <w:p w14:paraId="23523C1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1515817.7</w:t>
            </w:r>
          </w:p>
        </w:tc>
        <w:tc>
          <w:tcPr>
            <w:tcW w:w="600" w:type="pct"/>
            <w:tcBorders>
              <w:top w:val="nil"/>
              <w:left w:val="nil"/>
              <w:bottom w:val="single" w:color="auto" w:sz="4" w:space="0"/>
              <w:right w:val="single" w:color="auto" w:sz="4" w:space="0"/>
            </w:tcBorders>
            <w:shd w:val="clear" w:color="auto" w:fill="auto"/>
            <w:noWrap/>
            <w:vAlign w:val="center"/>
          </w:tcPr>
          <w:p w14:paraId="24D82A1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21.81</w:t>
            </w:r>
          </w:p>
        </w:tc>
        <w:tc>
          <w:tcPr>
            <w:tcW w:w="812" w:type="pct"/>
            <w:tcBorders>
              <w:top w:val="nil"/>
              <w:left w:val="nil"/>
              <w:bottom w:val="single" w:color="auto" w:sz="4" w:space="0"/>
              <w:right w:val="single" w:color="auto" w:sz="4" w:space="0"/>
            </w:tcBorders>
            <w:shd w:val="clear" w:color="auto" w:fill="auto"/>
            <w:noWrap/>
            <w:vAlign w:val="center"/>
          </w:tcPr>
          <w:p w14:paraId="13D408E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1437314.2</w:t>
            </w:r>
          </w:p>
        </w:tc>
      </w:tr>
      <w:tr w14:paraId="4CDCC5D0">
        <w:tblPrEx>
          <w:tblCellMar>
            <w:top w:w="0" w:type="dxa"/>
            <w:left w:w="108" w:type="dxa"/>
            <w:bottom w:w="0" w:type="dxa"/>
            <w:right w:w="108" w:type="dxa"/>
          </w:tblCellMar>
        </w:tblPrEx>
        <w:trPr>
          <w:trHeight w:val="300" w:hRule="atLeast"/>
          <w:tblHeader/>
        </w:trPr>
        <w:tc>
          <w:tcPr>
            <w:tcW w:w="600" w:type="pct"/>
            <w:tcBorders>
              <w:top w:val="nil"/>
              <w:left w:val="single" w:color="auto" w:sz="4" w:space="0"/>
              <w:bottom w:val="single" w:color="auto" w:sz="4" w:space="0"/>
              <w:right w:val="single" w:color="auto" w:sz="4" w:space="0"/>
            </w:tcBorders>
            <w:shd w:val="clear" w:color="auto" w:fill="auto"/>
            <w:noWrap/>
            <w:vAlign w:val="center"/>
          </w:tcPr>
          <w:p w14:paraId="3EC1A50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6.00</w:t>
            </w:r>
          </w:p>
        </w:tc>
        <w:tc>
          <w:tcPr>
            <w:tcW w:w="600" w:type="pct"/>
            <w:tcBorders>
              <w:top w:val="nil"/>
              <w:left w:val="nil"/>
              <w:bottom w:val="single" w:color="auto" w:sz="4" w:space="0"/>
              <w:right w:val="single" w:color="auto" w:sz="4" w:space="0"/>
            </w:tcBorders>
            <w:shd w:val="clear" w:color="auto" w:fill="auto"/>
            <w:noWrap/>
            <w:vAlign w:val="center"/>
          </w:tcPr>
          <w:p w14:paraId="25E53EB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30.51</w:t>
            </w:r>
          </w:p>
        </w:tc>
        <w:tc>
          <w:tcPr>
            <w:tcW w:w="600" w:type="pct"/>
            <w:tcBorders>
              <w:top w:val="nil"/>
              <w:left w:val="nil"/>
              <w:bottom w:val="single" w:color="auto" w:sz="4" w:space="0"/>
              <w:right w:val="single" w:color="auto" w:sz="4" w:space="0"/>
            </w:tcBorders>
            <w:shd w:val="clear" w:color="auto" w:fill="auto"/>
            <w:noWrap/>
            <w:vAlign w:val="center"/>
          </w:tcPr>
          <w:p w14:paraId="66A389E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35.43</w:t>
            </w:r>
          </w:p>
        </w:tc>
        <w:tc>
          <w:tcPr>
            <w:tcW w:w="894" w:type="pct"/>
            <w:tcBorders>
              <w:top w:val="nil"/>
              <w:left w:val="nil"/>
              <w:bottom w:val="single" w:color="auto" w:sz="4" w:space="0"/>
              <w:right w:val="single" w:color="auto" w:sz="4" w:space="0"/>
            </w:tcBorders>
            <w:shd w:val="clear" w:color="auto" w:fill="auto"/>
            <w:noWrap/>
            <w:vAlign w:val="center"/>
          </w:tcPr>
          <w:p w14:paraId="2AEF6A0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127546.4</w:t>
            </w:r>
          </w:p>
        </w:tc>
        <w:tc>
          <w:tcPr>
            <w:tcW w:w="894" w:type="pct"/>
            <w:tcBorders>
              <w:top w:val="nil"/>
              <w:left w:val="nil"/>
              <w:bottom w:val="single" w:color="auto" w:sz="4" w:space="0"/>
              <w:right w:val="single" w:color="auto" w:sz="4" w:space="0"/>
            </w:tcBorders>
            <w:shd w:val="clear" w:color="auto" w:fill="auto"/>
            <w:noWrap/>
            <w:vAlign w:val="center"/>
          </w:tcPr>
          <w:p w14:paraId="3DC4082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1564860.7</w:t>
            </w:r>
          </w:p>
        </w:tc>
        <w:tc>
          <w:tcPr>
            <w:tcW w:w="600" w:type="pct"/>
            <w:tcBorders>
              <w:top w:val="nil"/>
              <w:left w:val="nil"/>
              <w:bottom w:val="single" w:color="auto" w:sz="4" w:space="0"/>
              <w:right w:val="single" w:color="auto" w:sz="4" w:space="0"/>
            </w:tcBorders>
            <w:shd w:val="clear" w:color="auto" w:fill="auto"/>
            <w:noWrap/>
            <w:vAlign w:val="center"/>
          </w:tcPr>
          <w:p w14:paraId="2478B58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21.85</w:t>
            </w:r>
          </w:p>
        </w:tc>
        <w:tc>
          <w:tcPr>
            <w:tcW w:w="812" w:type="pct"/>
            <w:tcBorders>
              <w:top w:val="nil"/>
              <w:left w:val="nil"/>
              <w:bottom w:val="single" w:color="auto" w:sz="4" w:space="0"/>
              <w:right w:val="single" w:color="auto" w:sz="4" w:space="0"/>
            </w:tcBorders>
            <w:shd w:val="clear" w:color="auto" w:fill="auto"/>
            <w:noWrap/>
            <w:vAlign w:val="center"/>
          </w:tcPr>
          <w:p w14:paraId="45D9BAB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1486187.0</w:t>
            </w:r>
          </w:p>
        </w:tc>
      </w:tr>
      <w:tr w14:paraId="3C5447EE">
        <w:tblPrEx>
          <w:tblCellMar>
            <w:top w:w="0" w:type="dxa"/>
            <w:left w:w="108" w:type="dxa"/>
            <w:bottom w:w="0" w:type="dxa"/>
            <w:right w:w="108" w:type="dxa"/>
          </w:tblCellMar>
        </w:tblPrEx>
        <w:trPr>
          <w:trHeight w:val="300" w:hRule="atLeast"/>
          <w:tblHeader/>
        </w:trPr>
        <w:tc>
          <w:tcPr>
            <w:tcW w:w="600" w:type="pct"/>
            <w:tcBorders>
              <w:top w:val="nil"/>
              <w:left w:val="single" w:color="auto" w:sz="4" w:space="0"/>
              <w:bottom w:val="single" w:color="auto" w:sz="4" w:space="0"/>
              <w:right w:val="single" w:color="auto" w:sz="4" w:space="0"/>
            </w:tcBorders>
            <w:shd w:val="clear" w:color="auto" w:fill="auto"/>
            <w:noWrap/>
            <w:vAlign w:val="center"/>
          </w:tcPr>
          <w:p w14:paraId="4C9D936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7.00</w:t>
            </w:r>
          </w:p>
        </w:tc>
        <w:tc>
          <w:tcPr>
            <w:tcW w:w="600" w:type="pct"/>
            <w:tcBorders>
              <w:top w:val="nil"/>
              <w:left w:val="nil"/>
              <w:bottom w:val="single" w:color="auto" w:sz="4" w:space="0"/>
              <w:right w:val="single" w:color="auto" w:sz="4" w:space="0"/>
            </w:tcBorders>
            <w:shd w:val="clear" w:color="auto" w:fill="auto"/>
            <w:noWrap/>
            <w:vAlign w:val="center"/>
          </w:tcPr>
          <w:p w14:paraId="542CC44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20.67</w:t>
            </w:r>
          </w:p>
        </w:tc>
        <w:tc>
          <w:tcPr>
            <w:tcW w:w="600" w:type="pct"/>
            <w:tcBorders>
              <w:top w:val="nil"/>
              <w:left w:val="nil"/>
              <w:bottom w:val="single" w:color="auto" w:sz="4" w:space="0"/>
              <w:right w:val="single" w:color="auto" w:sz="4" w:space="0"/>
            </w:tcBorders>
            <w:shd w:val="clear" w:color="auto" w:fill="auto"/>
            <w:noWrap/>
            <w:vAlign w:val="center"/>
          </w:tcPr>
          <w:p w14:paraId="5472231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25.59</w:t>
            </w:r>
          </w:p>
        </w:tc>
        <w:tc>
          <w:tcPr>
            <w:tcW w:w="894" w:type="pct"/>
            <w:tcBorders>
              <w:top w:val="nil"/>
              <w:left w:val="nil"/>
              <w:bottom w:val="single" w:color="auto" w:sz="4" w:space="0"/>
              <w:right w:val="single" w:color="auto" w:sz="4" w:space="0"/>
            </w:tcBorders>
            <w:shd w:val="clear" w:color="auto" w:fill="auto"/>
            <w:noWrap/>
            <w:vAlign w:val="center"/>
          </w:tcPr>
          <w:p w14:paraId="39BA1B8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92127.6</w:t>
            </w:r>
          </w:p>
        </w:tc>
        <w:tc>
          <w:tcPr>
            <w:tcW w:w="894" w:type="pct"/>
            <w:tcBorders>
              <w:top w:val="nil"/>
              <w:left w:val="nil"/>
              <w:bottom w:val="single" w:color="auto" w:sz="4" w:space="0"/>
              <w:right w:val="single" w:color="auto" w:sz="4" w:space="0"/>
            </w:tcBorders>
            <w:shd w:val="clear" w:color="auto" w:fill="auto"/>
            <w:noWrap/>
            <w:vAlign w:val="center"/>
          </w:tcPr>
          <w:p w14:paraId="33BDE30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1578314.6</w:t>
            </w:r>
          </w:p>
        </w:tc>
        <w:tc>
          <w:tcPr>
            <w:tcW w:w="600" w:type="pct"/>
            <w:tcBorders>
              <w:top w:val="nil"/>
              <w:left w:val="nil"/>
              <w:bottom w:val="single" w:color="auto" w:sz="4" w:space="0"/>
              <w:right w:val="single" w:color="auto" w:sz="4" w:space="0"/>
            </w:tcBorders>
            <w:shd w:val="clear" w:color="auto" w:fill="auto"/>
            <w:noWrap/>
            <w:vAlign w:val="center"/>
          </w:tcPr>
          <w:p w14:paraId="16BB621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21.87</w:t>
            </w:r>
          </w:p>
        </w:tc>
        <w:tc>
          <w:tcPr>
            <w:tcW w:w="812" w:type="pct"/>
            <w:tcBorders>
              <w:top w:val="nil"/>
              <w:left w:val="nil"/>
              <w:bottom w:val="single" w:color="auto" w:sz="4" w:space="0"/>
              <w:right w:val="single" w:color="auto" w:sz="4" w:space="0"/>
            </w:tcBorders>
            <w:shd w:val="clear" w:color="auto" w:fill="auto"/>
            <w:noWrap/>
            <w:vAlign w:val="center"/>
          </w:tcPr>
          <w:p w14:paraId="2DAF622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1499594.3</w:t>
            </w:r>
          </w:p>
        </w:tc>
      </w:tr>
      <w:tr w14:paraId="2EF3856C">
        <w:tblPrEx>
          <w:tblCellMar>
            <w:top w:w="0" w:type="dxa"/>
            <w:left w:w="108" w:type="dxa"/>
            <w:bottom w:w="0" w:type="dxa"/>
            <w:right w:w="108" w:type="dxa"/>
          </w:tblCellMar>
        </w:tblPrEx>
        <w:trPr>
          <w:trHeight w:val="300" w:hRule="atLeast"/>
          <w:tblHeader/>
        </w:trPr>
        <w:tc>
          <w:tcPr>
            <w:tcW w:w="600" w:type="pct"/>
            <w:tcBorders>
              <w:top w:val="nil"/>
              <w:left w:val="single" w:color="auto" w:sz="4" w:space="0"/>
              <w:bottom w:val="single" w:color="auto" w:sz="4" w:space="0"/>
              <w:right w:val="single" w:color="auto" w:sz="4" w:space="0"/>
            </w:tcBorders>
            <w:shd w:val="clear" w:color="auto" w:fill="auto"/>
            <w:noWrap/>
            <w:vAlign w:val="center"/>
          </w:tcPr>
          <w:p w14:paraId="08585B4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8.00</w:t>
            </w:r>
          </w:p>
        </w:tc>
        <w:tc>
          <w:tcPr>
            <w:tcW w:w="600" w:type="pct"/>
            <w:tcBorders>
              <w:top w:val="nil"/>
              <w:left w:val="nil"/>
              <w:bottom w:val="single" w:color="auto" w:sz="4" w:space="0"/>
              <w:right w:val="single" w:color="auto" w:sz="4" w:space="0"/>
            </w:tcBorders>
            <w:shd w:val="clear" w:color="auto" w:fill="auto"/>
            <w:noWrap/>
            <w:vAlign w:val="center"/>
          </w:tcPr>
          <w:p w14:paraId="40B2F9F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10.83</w:t>
            </w:r>
          </w:p>
        </w:tc>
        <w:tc>
          <w:tcPr>
            <w:tcW w:w="600" w:type="pct"/>
            <w:tcBorders>
              <w:top w:val="nil"/>
              <w:left w:val="nil"/>
              <w:bottom w:val="single" w:color="auto" w:sz="4" w:space="0"/>
              <w:right w:val="single" w:color="auto" w:sz="4" w:space="0"/>
            </w:tcBorders>
            <w:shd w:val="clear" w:color="auto" w:fill="auto"/>
            <w:noWrap/>
            <w:vAlign w:val="center"/>
          </w:tcPr>
          <w:p w14:paraId="2D2BD7D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15.75</w:t>
            </w:r>
          </w:p>
        </w:tc>
        <w:tc>
          <w:tcPr>
            <w:tcW w:w="894" w:type="pct"/>
            <w:tcBorders>
              <w:top w:val="nil"/>
              <w:left w:val="nil"/>
              <w:bottom w:val="single" w:color="auto" w:sz="4" w:space="0"/>
              <w:right w:val="single" w:color="auto" w:sz="4" w:space="0"/>
            </w:tcBorders>
            <w:shd w:val="clear" w:color="auto" w:fill="auto"/>
            <w:noWrap/>
            <w:vAlign w:val="center"/>
          </w:tcPr>
          <w:p w14:paraId="0604108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56708.8</w:t>
            </w:r>
          </w:p>
        </w:tc>
        <w:tc>
          <w:tcPr>
            <w:tcW w:w="894" w:type="pct"/>
            <w:tcBorders>
              <w:top w:val="nil"/>
              <w:left w:val="nil"/>
              <w:bottom w:val="single" w:color="auto" w:sz="4" w:space="0"/>
              <w:right w:val="single" w:color="auto" w:sz="4" w:space="0"/>
            </w:tcBorders>
            <w:shd w:val="clear" w:color="auto" w:fill="auto"/>
            <w:noWrap/>
            <w:vAlign w:val="center"/>
          </w:tcPr>
          <w:p w14:paraId="64FBA29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1556303.1</w:t>
            </w:r>
          </w:p>
        </w:tc>
        <w:tc>
          <w:tcPr>
            <w:tcW w:w="600" w:type="pct"/>
            <w:tcBorders>
              <w:top w:val="nil"/>
              <w:left w:val="nil"/>
              <w:bottom w:val="single" w:color="auto" w:sz="4" w:space="0"/>
              <w:right w:val="single" w:color="auto" w:sz="4" w:space="0"/>
            </w:tcBorders>
            <w:shd w:val="clear" w:color="auto" w:fill="auto"/>
            <w:noWrap/>
            <w:vAlign w:val="center"/>
          </w:tcPr>
          <w:p w14:paraId="2499BC5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21.85</w:t>
            </w:r>
          </w:p>
        </w:tc>
        <w:tc>
          <w:tcPr>
            <w:tcW w:w="812" w:type="pct"/>
            <w:tcBorders>
              <w:top w:val="nil"/>
              <w:left w:val="nil"/>
              <w:bottom w:val="single" w:color="auto" w:sz="4" w:space="0"/>
              <w:right w:val="single" w:color="auto" w:sz="4" w:space="0"/>
            </w:tcBorders>
            <w:shd w:val="clear" w:color="auto" w:fill="auto"/>
            <w:noWrap/>
            <w:vAlign w:val="center"/>
          </w:tcPr>
          <w:p w14:paraId="38DA6F7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1477659.2</w:t>
            </w:r>
          </w:p>
        </w:tc>
      </w:tr>
      <w:tr w14:paraId="3901D56A">
        <w:tblPrEx>
          <w:tblCellMar>
            <w:top w:w="0" w:type="dxa"/>
            <w:left w:w="108" w:type="dxa"/>
            <w:bottom w:w="0" w:type="dxa"/>
            <w:right w:w="108" w:type="dxa"/>
          </w:tblCellMar>
        </w:tblPrEx>
        <w:trPr>
          <w:trHeight w:val="300" w:hRule="atLeast"/>
          <w:tblHeader/>
        </w:trPr>
        <w:tc>
          <w:tcPr>
            <w:tcW w:w="600" w:type="pct"/>
            <w:tcBorders>
              <w:top w:val="nil"/>
              <w:left w:val="single" w:color="auto" w:sz="4" w:space="0"/>
              <w:bottom w:val="single" w:color="auto" w:sz="4" w:space="0"/>
              <w:right w:val="single" w:color="auto" w:sz="4" w:space="0"/>
            </w:tcBorders>
            <w:shd w:val="clear" w:color="auto" w:fill="auto"/>
            <w:noWrap/>
            <w:vAlign w:val="center"/>
          </w:tcPr>
          <w:p w14:paraId="4F523B8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9.00</w:t>
            </w:r>
          </w:p>
        </w:tc>
        <w:tc>
          <w:tcPr>
            <w:tcW w:w="600" w:type="pct"/>
            <w:tcBorders>
              <w:top w:val="nil"/>
              <w:left w:val="nil"/>
              <w:bottom w:val="single" w:color="auto" w:sz="4" w:space="0"/>
              <w:right w:val="single" w:color="auto" w:sz="4" w:space="0"/>
            </w:tcBorders>
            <w:shd w:val="clear" w:color="auto" w:fill="auto"/>
            <w:noWrap/>
            <w:vAlign w:val="center"/>
          </w:tcPr>
          <w:p w14:paraId="20C1915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7.30</w:t>
            </w:r>
          </w:p>
        </w:tc>
        <w:tc>
          <w:tcPr>
            <w:tcW w:w="600" w:type="pct"/>
            <w:tcBorders>
              <w:top w:val="nil"/>
              <w:left w:val="nil"/>
              <w:bottom w:val="single" w:color="auto" w:sz="4" w:space="0"/>
              <w:right w:val="single" w:color="auto" w:sz="4" w:space="0"/>
            </w:tcBorders>
            <w:shd w:val="clear" w:color="auto" w:fill="auto"/>
            <w:noWrap/>
            <w:vAlign w:val="center"/>
          </w:tcPr>
          <w:p w14:paraId="3CF1896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9.07</w:t>
            </w:r>
          </w:p>
        </w:tc>
        <w:tc>
          <w:tcPr>
            <w:tcW w:w="894" w:type="pct"/>
            <w:tcBorders>
              <w:top w:val="nil"/>
              <w:left w:val="nil"/>
              <w:bottom w:val="single" w:color="auto" w:sz="4" w:space="0"/>
              <w:right w:val="single" w:color="auto" w:sz="4" w:space="0"/>
            </w:tcBorders>
            <w:shd w:val="clear" w:color="auto" w:fill="auto"/>
            <w:noWrap/>
            <w:vAlign w:val="center"/>
          </w:tcPr>
          <w:p w14:paraId="1931033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32636.8</w:t>
            </w:r>
          </w:p>
        </w:tc>
        <w:tc>
          <w:tcPr>
            <w:tcW w:w="894" w:type="pct"/>
            <w:tcBorders>
              <w:top w:val="nil"/>
              <w:left w:val="nil"/>
              <w:bottom w:val="single" w:color="auto" w:sz="4" w:space="0"/>
              <w:right w:val="single" w:color="auto" w:sz="4" w:space="0"/>
            </w:tcBorders>
            <w:shd w:val="clear" w:color="auto" w:fill="auto"/>
            <w:noWrap/>
            <w:vAlign w:val="center"/>
          </w:tcPr>
          <w:p w14:paraId="08563EA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1510296.0</w:t>
            </w:r>
          </w:p>
        </w:tc>
        <w:tc>
          <w:tcPr>
            <w:tcW w:w="600" w:type="pct"/>
            <w:tcBorders>
              <w:top w:val="nil"/>
              <w:left w:val="nil"/>
              <w:bottom w:val="single" w:color="auto" w:sz="4" w:space="0"/>
              <w:right w:val="single" w:color="auto" w:sz="4" w:space="0"/>
            </w:tcBorders>
            <w:shd w:val="clear" w:color="auto" w:fill="auto"/>
            <w:noWrap/>
            <w:vAlign w:val="center"/>
          </w:tcPr>
          <w:p w14:paraId="6FAEAAC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21.80</w:t>
            </w:r>
          </w:p>
        </w:tc>
        <w:tc>
          <w:tcPr>
            <w:tcW w:w="812" w:type="pct"/>
            <w:tcBorders>
              <w:top w:val="nil"/>
              <w:left w:val="nil"/>
              <w:bottom w:val="single" w:color="auto" w:sz="4" w:space="0"/>
              <w:right w:val="single" w:color="auto" w:sz="4" w:space="0"/>
            </w:tcBorders>
            <w:shd w:val="clear" w:color="auto" w:fill="auto"/>
            <w:noWrap/>
            <w:vAlign w:val="center"/>
          </w:tcPr>
          <w:p w14:paraId="1ADA051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1431811.7</w:t>
            </w:r>
          </w:p>
        </w:tc>
      </w:tr>
      <w:tr w14:paraId="19BF5E8D">
        <w:tblPrEx>
          <w:tblCellMar>
            <w:top w:w="0" w:type="dxa"/>
            <w:left w:w="108" w:type="dxa"/>
            <w:bottom w:w="0" w:type="dxa"/>
            <w:right w:w="108" w:type="dxa"/>
          </w:tblCellMar>
        </w:tblPrEx>
        <w:trPr>
          <w:trHeight w:val="300" w:hRule="atLeast"/>
          <w:tblHeader/>
        </w:trPr>
        <w:tc>
          <w:tcPr>
            <w:tcW w:w="600" w:type="pct"/>
            <w:tcBorders>
              <w:top w:val="nil"/>
              <w:left w:val="single" w:color="auto" w:sz="4" w:space="0"/>
              <w:bottom w:val="single" w:color="auto" w:sz="4" w:space="0"/>
              <w:right w:val="single" w:color="auto" w:sz="4" w:space="0"/>
            </w:tcBorders>
            <w:shd w:val="clear" w:color="auto" w:fill="auto"/>
            <w:noWrap/>
            <w:vAlign w:val="center"/>
          </w:tcPr>
          <w:p w14:paraId="166514B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10.00</w:t>
            </w:r>
          </w:p>
        </w:tc>
        <w:tc>
          <w:tcPr>
            <w:tcW w:w="600" w:type="pct"/>
            <w:tcBorders>
              <w:top w:val="nil"/>
              <w:left w:val="nil"/>
              <w:bottom w:val="single" w:color="auto" w:sz="4" w:space="0"/>
              <w:right w:val="single" w:color="auto" w:sz="4" w:space="0"/>
            </w:tcBorders>
            <w:shd w:val="clear" w:color="auto" w:fill="auto"/>
            <w:noWrap/>
            <w:vAlign w:val="center"/>
          </w:tcPr>
          <w:p w14:paraId="3ED91FE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6.34</w:t>
            </w:r>
          </w:p>
        </w:tc>
        <w:tc>
          <w:tcPr>
            <w:tcW w:w="600" w:type="pct"/>
            <w:tcBorders>
              <w:top w:val="nil"/>
              <w:left w:val="nil"/>
              <w:bottom w:val="single" w:color="auto" w:sz="4" w:space="0"/>
              <w:right w:val="single" w:color="auto" w:sz="4" w:space="0"/>
            </w:tcBorders>
            <w:shd w:val="clear" w:color="auto" w:fill="auto"/>
            <w:noWrap/>
            <w:vAlign w:val="center"/>
          </w:tcPr>
          <w:p w14:paraId="2AA8BB5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6.82</w:t>
            </w:r>
          </w:p>
        </w:tc>
        <w:tc>
          <w:tcPr>
            <w:tcW w:w="894" w:type="pct"/>
            <w:tcBorders>
              <w:top w:val="nil"/>
              <w:left w:val="nil"/>
              <w:bottom w:val="single" w:color="auto" w:sz="4" w:space="0"/>
              <w:right w:val="single" w:color="auto" w:sz="4" w:space="0"/>
            </w:tcBorders>
            <w:shd w:val="clear" w:color="auto" w:fill="auto"/>
            <w:noWrap/>
            <w:vAlign w:val="center"/>
          </w:tcPr>
          <w:p w14:paraId="26274F0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24546.2</w:t>
            </w:r>
          </w:p>
        </w:tc>
        <w:tc>
          <w:tcPr>
            <w:tcW w:w="894" w:type="pct"/>
            <w:tcBorders>
              <w:top w:val="nil"/>
              <w:left w:val="nil"/>
              <w:bottom w:val="single" w:color="auto" w:sz="4" w:space="0"/>
              <w:right w:val="single" w:color="auto" w:sz="4" w:space="0"/>
            </w:tcBorders>
            <w:shd w:val="clear" w:color="auto" w:fill="auto"/>
            <w:noWrap/>
            <w:vAlign w:val="center"/>
          </w:tcPr>
          <w:p w14:paraId="4D0F53E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1456358.0</w:t>
            </w:r>
          </w:p>
        </w:tc>
        <w:tc>
          <w:tcPr>
            <w:tcW w:w="600" w:type="pct"/>
            <w:tcBorders>
              <w:top w:val="nil"/>
              <w:left w:val="nil"/>
              <w:bottom w:val="single" w:color="auto" w:sz="4" w:space="0"/>
              <w:right w:val="single" w:color="auto" w:sz="4" w:space="0"/>
            </w:tcBorders>
            <w:shd w:val="clear" w:color="auto" w:fill="auto"/>
            <w:noWrap/>
            <w:vAlign w:val="center"/>
          </w:tcPr>
          <w:p w14:paraId="60136E2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21.75</w:t>
            </w:r>
          </w:p>
        </w:tc>
        <w:tc>
          <w:tcPr>
            <w:tcW w:w="812" w:type="pct"/>
            <w:tcBorders>
              <w:top w:val="nil"/>
              <w:left w:val="nil"/>
              <w:bottom w:val="single" w:color="auto" w:sz="4" w:space="0"/>
              <w:right w:val="single" w:color="auto" w:sz="4" w:space="0"/>
            </w:tcBorders>
            <w:shd w:val="clear" w:color="auto" w:fill="auto"/>
            <w:noWrap/>
            <w:vAlign w:val="center"/>
          </w:tcPr>
          <w:p w14:paraId="6475E42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1378046.8</w:t>
            </w:r>
          </w:p>
        </w:tc>
      </w:tr>
      <w:tr w14:paraId="40A73F9C">
        <w:tblPrEx>
          <w:tblCellMar>
            <w:top w:w="0" w:type="dxa"/>
            <w:left w:w="108" w:type="dxa"/>
            <w:bottom w:w="0" w:type="dxa"/>
            <w:right w:w="108" w:type="dxa"/>
          </w:tblCellMar>
        </w:tblPrEx>
        <w:trPr>
          <w:trHeight w:val="300" w:hRule="atLeast"/>
          <w:tblHeader/>
        </w:trPr>
        <w:tc>
          <w:tcPr>
            <w:tcW w:w="600" w:type="pct"/>
            <w:tcBorders>
              <w:top w:val="nil"/>
              <w:left w:val="single" w:color="auto" w:sz="4" w:space="0"/>
              <w:bottom w:val="single" w:color="auto" w:sz="4" w:space="0"/>
              <w:right w:val="single" w:color="auto" w:sz="4" w:space="0"/>
            </w:tcBorders>
            <w:shd w:val="clear" w:color="auto" w:fill="auto"/>
            <w:noWrap/>
            <w:vAlign w:val="center"/>
          </w:tcPr>
          <w:p w14:paraId="5D9B16A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11.00</w:t>
            </w:r>
          </w:p>
        </w:tc>
        <w:tc>
          <w:tcPr>
            <w:tcW w:w="600" w:type="pct"/>
            <w:tcBorders>
              <w:top w:val="nil"/>
              <w:left w:val="nil"/>
              <w:bottom w:val="single" w:color="auto" w:sz="4" w:space="0"/>
              <w:right w:val="single" w:color="auto" w:sz="4" w:space="0"/>
            </w:tcBorders>
            <w:shd w:val="clear" w:color="auto" w:fill="auto"/>
            <w:noWrap/>
            <w:vAlign w:val="center"/>
          </w:tcPr>
          <w:p w14:paraId="21C0A67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5.38</w:t>
            </w:r>
          </w:p>
        </w:tc>
        <w:tc>
          <w:tcPr>
            <w:tcW w:w="600" w:type="pct"/>
            <w:tcBorders>
              <w:top w:val="nil"/>
              <w:left w:val="nil"/>
              <w:bottom w:val="single" w:color="auto" w:sz="4" w:space="0"/>
              <w:right w:val="single" w:color="auto" w:sz="4" w:space="0"/>
            </w:tcBorders>
            <w:shd w:val="clear" w:color="auto" w:fill="auto"/>
            <w:noWrap/>
            <w:vAlign w:val="center"/>
          </w:tcPr>
          <w:p w14:paraId="76BED3A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5.86</w:t>
            </w:r>
          </w:p>
        </w:tc>
        <w:tc>
          <w:tcPr>
            <w:tcW w:w="894" w:type="pct"/>
            <w:tcBorders>
              <w:top w:val="nil"/>
              <w:left w:val="nil"/>
              <w:bottom w:val="single" w:color="auto" w:sz="4" w:space="0"/>
              <w:right w:val="single" w:color="auto" w:sz="4" w:space="0"/>
            </w:tcBorders>
            <w:shd w:val="clear" w:color="auto" w:fill="auto"/>
            <w:noWrap/>
            <w:vAlign w:val="center"/>
          </w:tcPr>
          <w:p w14:paraId="11C9D4B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21090.2</w:t>
            </w:r>
          </w:p>
        </w:tc>
        <w:tc>
          <w:tcPr>
            <w:tcW w:w="894" w:type="pct"/>
            <w:tcBorders>
              <w:top w:val="nil"/>
              <w:left w:val="nil"/>
              <w:bottom w:val="single" w:color="auto" w:sz="4" w:space="0"/>
              <w:right w:val="single" w:color="auto" w:sz="4" w:space="0"/>
            </w:tcBorders>
            <w:shd w:val="clear" w:color="auto" w:fill="auto"/>
            <w:noWrap/>
            <w:vAlign w:val="center"/>
          </w:tcPr>
          <w:p w14:paraId="06F2CC8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1399137.1</w:t>
            </w:r>
          </w:p>
        </w:tc>
        <w:tc>
          <w:tcPr>
            <w:tcW w:w="600" w:type="pct"/>
            <w:tcBorders>
              <w:top w:val="nil"/>
              <w:left w:val="nil"/>
              <w:bottom w:val="single" w:color="auto" w:sz="4" w:space="0"/>
              <w:right w:val="single" w:color="auto" w:sz="4" w:space="0"/>
            </w:tcBorders>
            <w:shd w:val="clear" w:color="auto" w:fill="auto"/>
            <w:noWrap/>
            <w:vAlign w:val="center"/>
          </w:tcPr>
          <w:p w14:paraId="2B9DDCB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21.70</w:t>
            </w:r>
          </w:p>
        </w:tc>
        <w:tc>
          <w:tcPr>
            <w:tcW w:w="812" w:type="pct"/>
            <w:tcBorders>
              <w:top w:val="nil"/>
              <w:left w:val="nil"/>
              <w:bottom w:val="single" w:color="auto" w:sz="4" w:space="0"/>
              <w:right w:val="single" w:color="auto" w:sz="4" w:space="0"/>
            </w:tcBorders>
            <w:shd w:val="clear" w:color="auto" w:fill="auto"/>
            <w:noWrap/>
            <w:vAlign w:val="center"/>
          </w:tcPr>
          <w:p w14:paraId="6228573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1321009.3</w:t>
            </w:r>
          </w:p>
        </w:tc>
      </w:tr>
      <w:tr w14:paraId="289F189E">
        <w:tblPrEx>
          <w:tblCellMar>
            <w:top w:w="0" w:type="dxa"/>
            <w:left w:w="108" w:type="dxa"/>
            <w:bottom w:w="0" w:type="dxa"/>
            <w:right w:w="108" w:type="dxa"/>
          </w:tblCellMar>
        </w:tblPrEx>
        <w:trPr>
          <w:trHeight w:val="300" w:hRule="atLeast"/>
          <w:tblHeader/>
        </w:trPr>
        <w:tc>
          <w:tcPr>
            <w:tcW w:w="600" w:type="pct"/>
            <w:tcBorders>
              <w:top w:val="nil"/>
              <w:left w:val="single" w:color="auto" w:sz="4" w:space="0"/>
              <w:bottom w:val="single" w:color="auto" w:sz="4" w:space="0"/>
              <w:right w:val="single" w:color="auto" w:sz="4" w:space="0"/>
            </w:tcBorders>
            <w:shd w:val="clear" w:color="auto" w:fill="auto"/>
            <w:noWrap/>
            <w:vAlign w:val="center"/>
          </w:tcPr>
          <w:p w14:paraId="6B4020F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12.00</w:t>
            </w:r>
          </w:p>
        </w:tc>
        <w:tc>
          <w:tcPr>
            <w:tcW w:w="600" w:type="pct"/>
            <w:tcBorders>
              <w:top w:val="nil"/>
              <w:left w:val="nil"/>
              <w:bottom w:val="single" w:color="auto" w:sz="4" w:space="0"/>
              <w:right w:val="single" w:color="auto" w:sz="4" w:space="0"/>
            </w:tcBorders>
            <w:shd w:val="clear" w:color="auto" w:fill="auto"/>
            <w:noWrap/>
            <w:vAlign w:val="center"/>
          </w:tcPr>
          <w:p w14:paraId="163D365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4.41</w:t>
            </w:r>
          </w:p>
        </w:tc>
        <w:tc>
          <w:tcPr>
            <w:tcW w:w="600" w:type="pct"/>
            <w:tcBorders>
              <w:top w:val="nil"/>
              <w:left w:val="nil"/>
              <w:bottom w:val="single" w:color="auto" w:sz="4" w:space="0"/>
              <w:right w:val="single" w:color="auto" w:sz="4" w:space="0"/>
            </w:tcBorders>
            <w:shd w:val="clear" w:color="auto" w:fill="auto"/>
            <w:noWrap/>
            <w:vAlign w:val="center"/>
          </w:tcPr>
          <w:p w14:paraId="455976B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4.89</w:t>
            </w:r>
          </w:p>
        </w:tc>
        <w:tc>
          <w:tcPr>
            <w:tcW w:w="894" w:type="pct"/>
            <w:tcBorders>
              <w:top w:val="nil"/>
              <w:left w:val="nil"/>
              <w:bottom w:val="single" w:color="auto" w:sz="4" w:space="0"/>
              <w:right w:val="single" w:color="auto" w:sz="4" w:space="0"/>
            </w:tcBorders>
            <w:shd w:val="clear" w:color="auto" w:fill="auto"/>
            <w:noWrap/>
            <w:vAlign w:val="center"/>
          </w:tcPr>
          <w:p w14:paraId="142B907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17621.5</w:t>
            </w:r>
          </w:p>
        </w:tc>
        <w:tc>
          <w:tcPr>
            <w:tcW w:w="894" w:type="pct"/>
            <w:tcBorders>
              <w:top w:val="nil"/>
              <w:left w:val="nil"/>
              <w:bottom w:val="single" w:color="auto" w:sz="4" w:space="0"/>
              <w:right w:val="single" w:color="auto" w:sz="4" w:space="0"/>
            </w:tcBorders>
            <w:shd w:val="clear" w:color="auto" w:fill="auto"/>
            <w:noWrap/>
            <w:vAlign w:val="center"/>
          </w:tcPr>
          <w:p w14:paraId="6652CE9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1338630.7</w:t>
            </w:r>
          </w:p>
        </w:tc>
        <w:tc>
          <w:tcPr>
            <w:tcW w:w="600" w:type="pct"/>
            <w:tcBorders>
              <w:top w:val="nil"/>
              <w:left w:val="nil"/>
              <w:bottom w:val="single" w:color="auto" w:sz="4" w:space="0"/>
              <w:right w:val="single" w:color="auto" w:sz="4" w:space="0"/>
            </w:tcBorders>
            <w:shd w:val="clear" w:color="auto" w:fill="auto"/>
            <w:noWrap/>
            <w:vAlign w:val="center"/>
          </w:tcPr>
          <w:p w14:paraId="11CD80F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21.65</w:t>
            </w:r>
          </w:p>
        </w:tc>
        <w:tc>
          <w:tcPr>
            <w:tcW w:w="812" w:type="pct"/>
            <w:tcBorders>
              <w:top w:val="nil"/>
              <w:left w:val="nil"/>
              <w:bottom w:val="single" w:color="auto" w:sz="4" w:space="0"/>
              <w:right w:val="single" w:color="auto" w:sz="4" w:space="0"/>
            </w:tcBorders>
            <w:shd w:val="clear" w:color="auto" w:fill="auto"/>
            <w:noWrap/>
            <w:vAlign w:val="center"/>
          </w:tcPr>
          <w:p w14:paraId="13D9E12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1260694.0</w:t>
            </w:r>
          </w:p>
        </w:tc>
      </w:tr>
      <w:tr w14:paraId="21E2A7EF">
        <w:tblPrEx>
          <w:tblCellMar>
            <w:top w:w="0" w:type="dxa"/>
            <w:left w:w="108" w:type="dxa"/>
            <w:bottom w:w="0" w:type="dxa"/>
            <w:right w:w="108" w:type="dxa"/>
          </w:tblCellMar>
        </w:tblPrEx>
        <w:trPr>
          <w:trHeight w:val="300" w:hRule="atLeast"/>
          <w:tblHeader/>
        </w:trPr>
        <w:tc>
          <w:tcPr>
            <w:tcW w:w="600" w:type="pct"/>
            <w:tcBorders>
              <w:top w:val="nil"/>
              <w:left w:val="single" w:color="auto" w:sz="4" w:space="0"/>
              <w:bottom w:val="single" w:color="auto" w:sz="4" w:space="0"/>
              <w:right w:val="single" w:color="auto" w:sz="4" w:space="0"/>
            </w:tcBorders>
            <w:shd w:val="clear" w:color="auto" w:fill="auto"/>
            <w:noWrap/>
            <w:vAlign w:val="center"/>
          </w:tcPr>
          <w:p w14:paraId="7A80268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13.00</w:t>
            </w:r>
          </w:p>
        </w:tc>
        <w:tc>
          <w:tcPr>
            <w:tcW w:w="600" w:type="pct"/>
            <w:tcBorders>
              <w:top w:val="nil"/>
              <w:left w:val="nil"/>
              <w:bottom w:val="single" w:color="auto" w:sz="4" w:space="0"/>
              <w:right w:val="single" w:color="auto" w:sz="4" w:space="0"/>
            </w:tcBorders>
            <w:shd w:val="clear" w:color="auto" w:fill="auto"/>
            <w:noWrap/>
            <w:vAlign w:val="center"/>
          </w:tcPr>
          <w:p w14:paraId="2152438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3.45</w:t>
            </w:r>
          </w:p>
        </w:tc>
        <w:tc>
          <w:tcPr>
            <w:tcW w:w="600" w:type="pct"/>
            <w:tcBorders>
              <w:top w:val="nil"/>
              <w:left w:val="nil"/>
              <w:bottom w:val="single" w:color="auto" w:sz="4" w:space="0"/>
              <w:right w:val="single" w:color="auto" w:sz="4" w:space="0"/>
            </w:tcBorders>
            <w:shd w:val="clear" w:color="auto" w:fill="auto"/>
            <w:noWrap/>
            <w:vAlign w:val="center"/>
          </w:tcPr>
          <w:p w14:paraId="6BF4BCD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3.93</w:t>
            </w:r>
          </w:p>
        </w:tc>
        <w:tc>
          <w:tcPr>
            <w:tcW w:w="894" w:type="pct"/>
            <w:tcBorders>
              <w:top w:val="nil"/>
              <w:left w:val="nil"/>
              <w:bottom w:val="single" w:color="auto" w:sz="4" w:space="0"/>
              <w:right w:val="single" w:color="auto" w:sz="4" w:space="0"/>
            </w:tcBorders>
            <w:shd w:val="clear" w:color="auto" w:fill="auto"/>
            <w:noWrap/>
            <w:vAlign w:val="center"/>
          </w:tcPr>
          <w:p w14:paraId="26FDBCE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14147.5</w:t>
            </w:r>
          </w:p>
        </w:tc>
        <w:tc>
          <w:tcPr>
            <w:tcW w:w="894" w:type="pct"/>
            <w:tcBorders>
              <w:top w:val="nil"/>
              <w:left w:val="nil"/>
              <w:bottom w:val="single" w:color="auto" w:sz="4" w:space="0"/>
              <w:right w:val="single" w:color="auto" w:sz="4" w:space="0"/>
            </w:tcBorders>
            <w:shd w:val="clear" w:color="auto" w:fill="auto"/>
            <w:noWrap/>
            <w:vAlign w:val="center"/>
          </w:tcPr>
          <w:p w14:paraId="6F43DAE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1274841.5</w:t>
            </w:r>
          </w:p>
        </w:tc>
        <w:tc>
          <w:tcPr>
            <w:tcW w:w="600" w:type="pct"/>
            <w:tcBorders>
              <w:top w:val="nil"/>
              <w:left w:val="nil"/>
              <w:bottom w:val="single" w:color="auto" w:sz="4" w:space="0"/>
              <w:right w:val="single" w:color="auto" w:sz="4" w:space="0"/>
            </w:tcBorders>
            <w:shd w:val="clear" w:color="auto" w:fill="auto"/>
            <w:noWrap/>
            <w:vAlign w:val="center"/>
          </w:tcPr>
          <w:p w14:paraId="1930CD1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21.59</w:t>
            </w:r>
          </w:p>
        </w:tc>
        <w:tc>
          <w:tcPr>
            <w:tcW w:w="812" w:type="pct"/>
            <w:tcBorders>
              <w:top w:val="nil"/>
              <w:left w:val="nil"/>
              <w:bottom w:val="single" w:color="auto" w:sz="4" w:space="0"/>
              <w:right w:val="single" w:color="auto" w:sz="4" w:space="0"/>
            </w:tcBorders>
            <w:shd w:val="clear" w:color="auto" w:fill="auto"/>
            <w:noWrap/>
            <w:vAlign w:val="center"/>
          </w:tcPr>
          <w:p w14:paraId="0038E62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1197104.2</w:t>
            </w:r>
          </w:p>
        </w:tc>
      </w:tr>
      <w:tr w14:paraId="77827D67">
        <w:tblPrEx>
          <w:tblCellMar>
            <w:top w:w="0" w:type="dxa"/>
            <w:left w:w="108" w:type="dxa"/>
            <w:bottom w:w="0" w:type="dxa"/>
            <w:right w:w="108" w:type="dxa"/>
          </w:tblCellMar>
        </w:tblPrEx>
        <w:trPr>
          <w:trHeight w:val="300" w:hRule="atLeast"/>
          <w:tblHeader/>
        </w:trPr>
        <w:tc>
          <w:tcPr>
            <w:tcW w:w="600" w:type="pct"/>
            <w:tcBorders>
              <w:top w:val="nil"/>
              <w:left w:val="single" w:color="auto" w:sz="4" w:space="0"/>
              <w:bottom w:val="single" w:color="auto" w:sz="4" w:space="0"/>
              <w:right w:val="single" w:color="auto" w:sz="4" w:space="0"/>
            </w:tcBorders>
            <w:shd w:val="clear" w:color="auto" w:fill="auto"/>
            <w:noWrap/>
            <w:vAlign w:val="center"/>
          </w:tcPr>
          <w:p w14:paraId="0F514B0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14.00</w:t>
            </w:r>
          </w:p>
        </w:tc>
        <w:tc>
          <w:tcPr>
            <w:tcW w:w="600" w:type="pct"/>
            <w:tcBorders>
              <w:top w:val="nil"/>
              <w:left w:val="nil"/>
              <w:bottom w:val="single" w:color="auto" w:sz="4" w:space="0"/>
              <w:right w:val="single" w:color="auto" w:sz="4" w:space="0"/>
            </w:tcBorders>
            <w:shd w:val="clear" w:color="auto" w:fill="auto"/>
            <w:noWrap/>
            <w:vAlign w:val="center"/>
          </w:tcPr>
          <w:p w14:paraId="3CB80D2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2.49</w:t>
            </w:r>
          </w:p>
        </w:tc>
        <w:tc>
          <w:tcPr>
            <w:tcW w:w="600" w:type="pct"/>
            <w:tcBorders>
              <w:top w:val="nil"/>
              <w:left w:val="nil"/>
              <w:bottom w:val="single" w:color="auto" w:sz="4" w:space="0"/>
              <w:right w:val="single" w:color="auto" w:sz="4" w:space="0"/>
            </w:tcBorders>
            <w:shd w:val="clear" w:color="auto" w:fill="auto"/>
            <w:noWrap/>
            <w:vAlign w:val="center"/>
          </w:tcPr>
          <w:p w14:paraId="7BDE7C0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2.97</w:t>
            </w:r>
          </w:p>
        </w:tc>
        <w:tc>
          <w:tcPr>
            <w:tcW w:w="894" w:type="pct"/>
            <w:tcBorders>
              <w:top w:val="nil"/>
              <w:left w:val="nil"/>
              <w:bottom w:val="single" w:color="auto" w:sz="4" w:space="0"/>
              <w:right w:val="single" w:color="auto" w:sz="4" w:space="0"/>
            </w:tcBorders>
            <w:shd w:val="clear" w:color="auto" w:fill="auto"/>
            <w:noWrap/>
            <w:vAlign w:val="center"/>
          </w:tcPr>
          <w:p w14:paraId="2149A62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10686.2</w:t>
            </w:r>
          </w:p>
        </w:tc>
        <w:tc>
          <w:tcPr>
            <w:tcW w:w="894" w:type="pct"/>
            <w:tcBorders>
              <w:top w:val="nil"/>
              <w:left w:val="nil"/>
              <w:bottom w:val="single" w:color="auto" w:sz="4" w:space="0"/>
              <w:right w:val="single" w:color="auto" w:sz="4" w:space="0"/>
            </w:tcBorders>
            <w:shd w:val="clear" w:color="auto" w:fill="auto"/>
            <w:noWrap/>
            <w:vAlign w:val="center"/>
          </w:tcPr>
          <w:p w14:paraId="2177552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1207790.4</w:t>
            </w:r>
          </w:p>
        </w:tc>
        <w:tc>
          <w:tcPr>
            <w:tcW w:w="600" w:type="pct"/>
            <w:tcBorders>
              <w:top w:val="nil"/>
              <w:left w:val="nil"/>
              <w:bottom w:val="single" w:color="auto" w:sz="4" w:space="0"/>
              <w:right w:val="single" w:color="auto" w:sz="4" w:space="0"/>
            </w:tcBorders>
            <w:shd w:val="clear" w:color="auto" w:fill="auto"/>
            <w:noWrap/>
            <w:vAlign w:val="center"/>
          </w:tcPr>
          <w:p w14:paraId="7A0B454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21.53</w:t>
            </w:r>
          </w:p>
        </w:tc>
        <w:tc>
          <w:tcPr>
            <w:tcW w:w="812" w:type="pct"/>
            <w:tcBorders>
              <w:top w:val="nil"/>
              <w:left w:val="nil"/>
              <w:bottom w:val="single" w:color="auto" w:sz="4" w:space="0"/>
              <w:right w:val="single" w:color="auto" w:sz="4" w:space="0"/>
            </w:tcBorders>
            <w:shd w:val="clear" w:color="auto" w:fill="auto"/>
            <w:noWrap/>
            <w:vAlign w:val="center"/>
          </w:tcPr>
          <w:p w14:paraId="1D6CF1B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1130276.0</w:t>
            </w:r>
          </w:p>
        </w:tc>
      </w:tr>
      <w:tr w14:paraId="0E3D8412">
        <w:tblPrEx>
          <w:tblCellMar>
            <w:top w:w="0" w:type="dxa"/>
            <w:left w:w="108" w:type="dxa"/>
            <w:bottom w:w="0" w:type="dxa"/>
            <w:right w:w="108" w:type="dxa"/>
          </w:tblCellMar>
        </w:tblPrEx>
        <w:trPr>
          <w:trHeight w:val="300" w:hRule="atLeast"/>
          <w:tblHeader/>
        </w:trPr>
        <w:tc>
          <w:tcPr>
            <w:tcW w:w="600" w:type="pct"/>
            <w:tcBorders>
              <w:top w:val="nil"/>
              <w:left w:val="single" w:color="auto" w:sz="4" w:space="0"/>
              <w:bottom w:val="single" w:color="auto" w:sz="4" w:space="0"/>
              <w:right w:val="single" w:color="auto" w:sz="4" w:space="0"/>
            </w:tcBorders>
            <w:shd w:val="clear" w:color="auto" w:fill="auto"/>
            <w:noWrap/>
            <w:vAlign w:val="center"/>
          </w:tcPr>
          <w:p w14:paraId="6411DCE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15.00</w:t>
            </w:r>
          </w:p>
        </w:tc>
        <w:tc>
          <w:tcPr>
            <w:tcW w:w="600" w:type="pct"/>
            <w:tcBorders>
              <w:top w:val="nil"/>
              <w:left w:val="nil"/>
              <w:bottom w:val="single" w:color="auto" w:sz="4" w:space="0"/>
              <w:right w:val="single" w:color="auto" w:sz="4" w:space="0"/>
            </w:tcBorders>
            <w:shd w:val="clear" w:color="auto" w:fill="auto"/>
            <w:noWrap/>
            <w:vAlign w:val="center"/>
          </w:tcPr>
          <w:p w14:paraId="1C53F61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1.53</w:t>
            </w:r>
          </w:p>
        </w:tc>
        <w:tc>
          <w:tcPr>
            <w:tcW w:w="600" w:type="pct"/>
            <w:tcBorders>
              <w:top w:val="nil"/>
              <w:left w:val="nil"/>
              <w:bottom w:val="single" w:color="auto" w:sz="4" w:space="0"/>
              <w:right w:val="single" w:color="auto" w:sz="4" w:space="0"/>
            </w:tcBorders>
            <w:shd w:val="clear" w:color="auto" w:fill="auto"/>
            <w:noWrap/>
            <w:vAlign w:val="center"/>
          </w:tcPr>
          <w:p w14:paraId="5C13987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2.01</w:t>
            </w:r>
          </w:p>
        </w:tc>
        <w:tc>
          <w:tcPr>
            <w:tcW w:w="894" w:type="pct"/>
            <w:tcBorders>
              <w:top w:val="nil"/>
              <w:left w:val="nil"/>
              <w:bottom w:val="single" w:color="auto" w:sz="4" w:space="0"/>
              <w:right w:val="single" w:color="auto" w:sz="4" w:space="0"/>
            </w:tcBorders>
            <w:shd w:val="clear" w:color="auto" w:fill="auto"/>
            <w:noWrap/>
            <w:vAlign w:val="center"/>
          </w:tcPr>
          <w:p w14:paraId="76CD8A4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7230.2</w:t>
            </w:r>
          </w:p>
        </w:tc>
        <w:tc>
          <w:tcPr>
            <w:tcW w:w="894" w:type="pct"/>
            <w:tcBorders>
              <w:top w:val="nil"/>
              <w:left w:val="nil"/>
              <w:bottom w:val="single" w:color="auto" w:sz="4" w:space="0"/>
              <w:right w:val="single" w:color="auto" w:sz="4" w:space="0"/>
            </w:tcBorders>
            <w:shd w:val="clear" w:color="auto" w:fill="auto"/>
            <w:noWrap/>
            <w:vAlign w:val="center"/>
          </w:tcPr>
          <w:p w14:paraId="463E158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1137506.3</w:t>
            </w:r>
          </w:p>
        </w:tc>
        <w:tc>
          <w:tcPr>
            <w:tcW w:w="600" w:type="pct"/>
            <w:tcBorders>
              <w:top w:val="nil"/>
              <w:left w:val="nil"/>
              <w:bottom w:val="single" w:color="auto" w:sz="4" w:space="0"/>
              <w:right w:val="single" w:color="auto" w:sz="4" w:space="0"/>
            </w:tcBorders>
            <w:shd w:val="clear" w:color="auto" w:fill="auto"/>
            <w:noWrap/>
            <w:vAlign w:val="center"/>
          </w:tcPr>
          <w:p w14:paraId="56CD29D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21.46</w:t>
            </w:r>
          </w:p>
        </w:tc>
        <w:tc>
          <w:tcPr>
            <w:tcW w:w="812" w:type="pct"/>
            <w:tcBorders>
              <w:top w:val="nil"/>
              <w:left w:val="nil"/>
              <w:bottom w:val="single" w:color="auto" w:sz="4" w:space="0"/>
              <w:right w:val="single" w:color="auto" w:sz="4" w:space="0"/>
            </w:tcBorders>
            <w:shd w:val="clear" w:color="auto" w:fill="auto"/>
            <w:noWrap/>
            <w:vAlign w:val="center"/>
          </w:tcPr>
          <w:p w14:paraId="17CC289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1060235.0</w:t>
            </w:r>
          </w:p>
        </w:tc>
      </w:tr>
      <w:tr w14:paraId="5DEDA00A">
        <w:tblPrEx>
          <w:tblCellMar>
            <w:top w:w="0" w:type="dxa"/>
            <w:left w:w="108" w:type="dxa"/>
            <w:bottom w:w="0" w:type="dxa"/>
            <w:right w:w="108" w:type="dxa"/>
          </w:tblCellMar>
        </w:tblPrEx>
        <w:trPr>
          <w:trHeight w:val="300" w:hRule="atLeast"/>
          <w:tblHeader/>
        </w:trPr>
        <w:tc>
          <w:tcPr>
            <w:tcW w:w="600" w:type="pct"/>
            <w:tcBorders>
              <w:top w:val="nil"/>
              <w:left w:val="single" w:color="auto" w:sz="4" w:space="0"/>
              <w:bottom w:val="single" w:color="auto" w:sz="4" w:space="0"/>
              <w:right w:val="single" w:color="auto" w:sz="4" w:space="0"/>
            </w:tcBorders>
            <w:shd w:val="clear" w:color="auto" w:fill="auto"/>
            <w:noWrap/>
            <w:vAlign w:val="center"/>
          </w:tcPr>
          <w:p w14:paraId="690052E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16.00</w:t>
            </w:r>
          </w:p>
        </w:tc>
        <w:tc>
          <w:tcPr>
            <w:tcW w:w="600" w:type="pct"/>
            <w:tcBorders>
              <w:top w:val="nil"/>
              <w:left w:val="nil"/>
              <w:bottom w:val="single" w:color="auto" w:sz="4" w:space="0"/>
              <w:right w:val="single" w:color="auto" w:sz="4" w:space="0"/>
            </w:tcBorders>
            <w:shd w:val="clear" w:color="auto" w:fill="auto"/>
            <w:noWrap/>
            <w:vAlign w:val="center"/>
          </w:tcPr>
          <w:p w14:paraId="4C79096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0.56</w:t>
            </w:r>
          </w:p>
        </w:tc>
        <w:tc>
          <w:tcPr>
            <w:tcW w:w="600" w:type="pct"/>
            <w:tcBorders>
              <w:top w:val="nil"/>
              <w:left w:val="nil"/>
              <w:bottom w:val="single" w:color="auto" w:sz="4" w:space="0"/>
              <w:right w:val="single" w:color="auto" w:sz="4" w:space="0"/>
            </w:tcBorders>
            <w:shd w:val="clear" w:color="auto" w:fill="auto"/>
            <w:noWrap/>
            <w:vAlign w:val="center"/>
          </w:tcPr>
          <w:p w14:paraId="5A6AE26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1.04</w:t>
            </w:r>
          </w:p>
        </w:tc>
        <w:tc>
          <w:tcPr>
            <w:tcW w:w="894" w:type="pct"/>
            <w:tcBorders>
              <w:top w:val="nil"/>
              <w:left w:val="nil"/>
              <w:bottom w:val="single" w:color="auto" w:sz="4" w:space="0"/>
              <w:right w:val="single" w:color="auto" w:sz="4" w:space="0"/>
            </w:tcBorders>
            <w:shd w:val="clear" w:color="auto" w:fill="auto"/>
            <w:noWrap/>
            <w:vAlign w:val="center"/>
          </w:tcPr>
          <w:p w14:paraId="517C5A6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3761.5</w:t>
            </w:r>
          </w:p>
        </w:tc>
        <w:tc>
          <w:tcPr>
            <w:tcW w:w="894" w:type="pct"/>
            <w:tcBorders>
              <w:top w:val="nil"/>
              <w:left w:val="nil"/>
              <w:bottom w:val="single" w:color="auto" w:sz="4" w:space="0"/>
              <w:right w:val="single" w:color="auto" w:sz="4" w:space="0"/>
            </w:tcBorders>
            <w:shd w:val="clear" w:color="auto" w:fill="auto"/>
            <w:noWrap/>
            <w:vAlign w:val="center"/>
          </w:tcPr>
          <w:p w14:paraId="2AA57BE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1063996.5</w:t>
            </w:r>
          </w:p>
        </w:tc>
        <w:tc>
          <w:tcPr>
            <w:tcW w:w="600" w:type="pct"/>
            <w:tcBorders>
              <w:top w:val="nil"/>
              <w:left w:val="nil"/>
              <w:bottom w:val="single" w:color="auto" w:sz="4" w:space="0"/>
              <w:right w:val="single" w:color="auto" w:sz="4" w:space="0"/>
            </w:tcBorders>
            <w:shd w:val="clear" w:color="auto" w:fill="auto"/>
            <w:noWrap/>
            <w:vAlign w:val="center"/>
          </w:tcPr>
          <w:p w14:paraId="298F669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21.39</w:t>
            </w:r>
          </w:p>
        </w:tc>
        <w:tc>
          <w:tcPr>
            <w:tcW w:w="812" w:type="pct"/>
            <w:tcBorders>
              <w:top w:val="nil"/>
              <w:left w:val="nil"/>
              <w:bottom w:val="single" w:color="auto" w:sz="4" w:space="0"/>
              <w:right w:val="single" w:color="auto" w:sz="4" w:space="0"/>
            </w:tcBorders>
            <w:shd w:val="clear" w:color="auto" w:fill="auto"/>
            <w:noWrap/>
            <w:vAlign w:val="center"/>
          </w:tcPr>
          <w:p w14:paraId="7D5FC3F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987001.2</w:t>
            </w:r>
          </w:p>
        </w:tc>
      </w:tr>
      <w:tr w14:paraId="3C8263D1">
        <w:tblPrEx>
          <w:tblCellMar>
            <w:top w:w="0" w:type="dxa"/>
            <w:left w:w="108" w:type="dxa"/>
            <w:bottom w:w="0" w:type="dxa"/>
            <w:right w:w="108" w:type="dxa"/>
          </w:tblCellMar>
        </w:tblPrEx>
        <w:trPr>
          <w:trHeight w:val="300" w:hRule="atLeast"/>
          <w:tblHeader/>
        </w:trPr>
        <w:tc>
          <w:tcPr>
            <w:tcW w:w="600" w:type="pct"/>
            <w:tcBorders>
              <w:top w:val="nil"/>
              <w:left w:val="single" w:color="auto" w:sz="4" w:space="0"/>
              <w:bottom w:val="single" w:color="auto" w:sz="4" w:space="0"/>
              <w:right w:val="single" w:color="auto" w:sz="4" w:space="0"/>
            </w:tcBorders>
            <w:shd w:val="clear" w:color="auto" w:fill="auto"/>
            <w:noWrap/>
            <w:vAlign w:val="center"/>
          </w:tcPr>
          <w:p w14:paraId="00217A3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17.00</w:t>
            </w:r>
          </w:p>
        </w:tc>
        <w:tc>
          <w:tcPr>
            <w:tcW w:w="600" w:type="pct"/>
            <w:tcBorders>
              <w:top w:val="nil"/>
              <w:left w:val="nil"/>
              <w:bottom w:val="single" w:color="auto" w:sz="4" w:space="0"/>
              <w:right w:val="single" w:color="auto" w:sz="4" w:space="0"/>
            </w:tcBorders>
            <w:shd w:val="clear" w:color="auto" w:fill="auto"/>
            <w:noWrap/>
            <w:vAlign w:val="center"/>
          </w:tcPr>
          <w:p w14:paraId="1F5AA75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c>
          <w:tcPr>
            <w:tcW w:w="600" w:type="pct"/>
            <w:tcBorders>
              <w:top w:val="nil"/>
              <w:left w:val="nil"/>
              <w:bottom w:val="single" w:color="auto" w:sz="4" w:space="0"/>
              <w:right w:val="single" w:color="auto" w:sz="4" w:space="0"/>
            </w:tcBorders>
            <w:shd w:val="clear" w:color="auto" w:fill="auto"/>
            <w:noWrap/>
            <w:vAlign w:val="center"/>
          </w:tcPr>
          <w:p w14:paraId="73D264C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0.08</w:t>
            </w:r>
          </w:p>
        </w:tc>
        <w:tc>
          <w:tcPr>
            <w:tcW w:w="894" w:type="pct"/>
            <w:tcBorders>
              <w:top w:val="nil"/>
              <w:left w:val="nil"/>
              <w:bottom w:val="single" w:color="auto" w:sz="4" w:space="0"/>
              <w:right w:val="single" w:color="auto" w:sz="4" w:space="0"/>
            </w:tcBorders>
            <w:shd w:val="clear" w:color="auto" w:fill="auto"/>
            <w:noWrap/>
            <w:vAlign w:val="center"/>
          </w:tcPr>
          <w:p w14:paraId="6971536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274.7</w:t>
            </w:r>
          </w:p>
        </w:tc>
        <w:tc>
          <w:tcPr>
            <w:tcW w:w="894" w:type="pct"/>
            <w:tcBorders>
              <w:top w:val="nil"/>
              <w:left w:val="nil"/>
              <w:bottom w:val="single" w:color="auto" w:sz="4" w:space="0"/>
              <w:right w:val="single" w:color="auto" w:sz="4" w:space="0"/>
            </w:tcBorders>
            <w:shd w:val="clear" w:color="auto" w:fill="auto"/>
            <w:noWrap/>
            <w:vAlign w:val="center"/>
          </w:tcPr>
          <w:p w14:paraId="3B987A7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987275.9</w:t>
            </w:r>
          </w:p>
        </w:tc>
        <w:tc>
          <w:tcPr>
            <w:tcW w:w="600" w:type="pct"/>
            <w:tcBorders>
              <w:top w:val="nil"/>
              <w:left w:val="nil"/>
              <w:bottom w:val="single" w:color="auto" w:sz="4" w:space="0"/>
              <w:right w:val="single" w:color="auto" w:sz="4" w:space="0"/>
            </w:tcBorders>
            <w:shd w:val="clear" w:color="auto" w:fill="auto"/>
            <w:noWrap/>
            <w:vAlign w:val="center"/>
          </w:tcPr>
          <w:p w14:paraId="63A00DD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21.31</w:t>
            </w:r>
          </w:p>
        </w:tc>
        <w:tc>
          <w:tcPr>
            <w:tcW w:w="812" w:type="pct"/>
            <w:tcBorders>
              <w:top w:val="nil"/>
              <w:left w:val="nil"/>
              <w:bottom w:val="single" w:color="auto" w:sz="4" w:space="0"/>
              <w:right w:val="single" w:color="auto" w:sz="4" w:space="0"/>
            </w:tcBorders>
            <w:shd w:val="clear" w:color="auto" w:fill="auto"/>
            <w:noWrap/>
            <w:vAlign w:val="center"/>
          </w:tcPr>
          <w:p w14:paraId="0E3FB15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910560.3</w:t>
            </w:r>
          </w:p>
        </w:tc>
      </w:tr>
      <w:tr w14:paraId="7CD3780F">
        <w:tblPrEx>
          <w:tblCellMar>
            <w:top w:w="0" w:type="dxa"/>
            <w:left w:w="108" w:type="dxa"/>
            <w:bottom w:w="0" w:type="dxa"/>
            <w:right w:w="108" w:type="dxa"/>
          </w:tblCellMar>
        </w:tblPrEx>
        <w:trPr>
          <w:trHeight w:val="300" w:hRule="atLeast"/>
          <w:tblHeader/>
        </w:trPr>
        <w:tc>
          <w:tcPr>
            <w:tcW w:w="600" w:type="pct"/>
            <w:tcBorders>
              <w:top w:val="nil"/>
              <w:left w:val="single" w:color="auto" w:sz="4" w:space="0"/>
              <w:bottom w:val="single" w:color="auto" w:sz="4" w:space="0"/>
              <w:right w:val="single" w:color="auto" w:sz="4" w:space="0"/>
            </w:tcBorders>
            <w:shd w:val="clear" w:color="auto" w:fill="auto"/>
            <w:noWrap/>
            <w:vAlign w:val="center"/>
          </w:tcPr>
          <w:p w14:paraId="713C184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18.00</w:t>
            </w:r>
          </w:p>
        </w:tc>
        <w:tc>
          <w:tcPr>
            <w:tcW w:w="600" w:type="pct"/>
            <w:tcBorders>
              <w:top w:val="nil"/>
              <w:left w:val="nil"/>
              <w:bottom w:val="single" w:color="auto" w:sz="4" w:space="0"/>
              <w:right w:val="single" w:color="auto" w:sz="4" w:space="0"/>
            </w:tcBorders>
            <w:shd w:val="clear" w:color="auto" w:fill="auto"/>
            <w:noWrap/>
            <w:vAlign w:val="center"/>
          </w:tcPr>
          <w:p w14:paraId="297C1CF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c>
          <w:tcPr>
            <w:tcW w:w="600" w:type="pct"/>
            <w:tcBorders>
              <w:top w:val="nil"/>
              <w:left w:val="nil"/>
              <w:bottom w:val="single" w:color="auto" w:sz="4" w:space="0"/>
              <w:right w:val="single" w:color="auto" w:sz="4" w:space="0"/>
            </w:tcBorders>
            <w:shd w:val="clear" w:color="auto" w:fill="auto"/>
            <w:noWrap/>
            <w:vAlign w:val="center"/>
          </w:tcPr>
          <w:p w14:paraId="1970A43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c>
          <w:tcPr>
            <w:tcW w:w="894" w:type="pct"/>
            <w:tcBorders>
              <w:top w:val="nil"/>
              <w:left w:val="nil"/>
              <w:bottom w:val="single" w:color="auto" w:sz="4" w:space="0"/>
              <w:right w:val="single" w:color="auto" w:sz="4" w:space="0"/>
            </w:tcBorders>
            <w:shd w:val="clear" w:color="auto" w:fill="auto"/>
            <w:noWrap/>
            <w:vAlign w:val="center"/>
          </w:tcPr>
          <w:p w14:paraId="1158ECC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c>
          <w:tcPr>
            <w:tcW w:w="894" w:type="pct"/>
            <w:tcBorders>
              <w:top w:val="nil"/>
              <w:left w:val="nil"/>
              <w:bottom w:val="single" w:color="auto" w:sz="4" w:space="0"/>
              <w:right w:val="single" w:color="auto" w:sz="4" w:space="0"/>
            </w:tcBorders>
            <w:shd w:val="clear" w:color="auto" w:fill="auto"/>
            <w:noWrap/>
            <w:vAlign w:val="center"/>
          </w:tcPr>
          <w:p w14:paraId="1B8098D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907343.0</w:t>
            </w:r>
          </w:p>
        </w:tc>
        <w:tc>
          <w:tcPr>
            <w:tcW w:w="600" w:type="pct"/>
            <w:tcBorders>
              <w:top w:val="nil"/>
              <w:left w:val="nil"/>
              <w:bottom w:val="single" w:color="auto" w:sz="4" w:space="0"/>
              <w:right w:val="single" w:color="auto" w:sz="4" w:space="0"/>
            </w:tcBorders>
            <w:shd w:val="clear" w:color="auto" w:fill="auto"/>
            <w:noWrap/>
            <w:vAlign w:val="center"/>
          </w:tcPr>
          <w:p w14:paraId="2F741DF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21.23</w:t>
            </w:r>
          </w:p>
        </w:tc>
        <w:tc>
          <w:tcPr>
            <w:tcW w:w="812" w:type="pct"/>
            <w:tcBorders>
              <w:top w:val="nil"/>
              <w:left w:val="nil"/>
              <w:bottom w:val="single" w:color="auto" w:sz="4" w:space="0"/>
              <w:right w:val="single" w:color="auto" w:sz="4" w:space="0"/>
            </w:tcBorders>
            <w:shd w:val="clear" w:color="auto" w:fill="auto"/>
            <w:noWrap/>
            <w:vAlign w:val="center"/>
          </w:tcPr>
          <w:p w14:paraId="14AE468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830903.9</w:t>
            </w:r>
          </w:p>
        </w:tc>
      </w:tr>
      <w:tr w14:paraId="338DFEA5">
        <w:tblPrEx>
          <w:tblCellMar>
            <w:top w:w="0" w:type="dxa"/>
            <w:left w:w="108" w:type="dxa"/>
            <w:bottom w:w="0" w:type="dxa"/>
            <w:right w:w="108" w:type="dxa"/>
          </w:tblCellMar>
        </w:tblPrEx>
        <w:trPr>
          <w:trHeight w:val="300" w:hRule="atLeast"/>
          <w:tblHeader/>
        </w:trPr>
        <w:tc>
          <w:tcPr>
            <w:tcW w:w="600" w:type="pct"/>
            <w:tcBorders>
              <w:top w:val="nil"/>
              <w:left w:val="single" w:color="auto" w:sz="4" w:space="0"/>
              <w:bottom w:val="single" w:color="auto" w:sz="4" w:space="0"/>
              <w:right w:val="single" w:color="auto" w:sz="4" w:space="0"/>
            </w:tcBorders>
            <w:shd w:val="clear" w:color="auto" w:fill="auto"/>
            <w:noWrap/>
            <w:vAlign w:val="center"/>
          </w:tcPr>
          <w:p w14:paraId="57B1D64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19.00</w:t>
            </w:r>
          </w:p>
        </w:tc>
        <w:tc>
          <w:tcPr>
            <w:tcW w:w="600" w:type="pct"/>
            <w:tcBorders>
              <w:top w:val="nil"/>
              <w:left w:val="nil"/>
              <w:bottom w:val="single" w:color="auto" w:sz="4" w:space="0"/>
              <w:right w:val="single" w:color="auto" w:sz="4" w:space="0"/>
            </w:tcBorders>
            <w:shd w:val="clear" w:color="auto" w:fill="auto"/>
            <w:noWrap/>
            <w:vAlign w:val="center"/>
          </w:tcPr>
          <w:p w14:paraId="5C7735B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c>
          <w:tcPr>
            <w:tcW w:w="600" w:type="pct"/>
            <w:tcBorders>
              <w:top w:val="nil"/>
              <w:left w:val="nil"/>
              <w:bottom w:val="single" w:color="auto" w:sz="4" w:space="0"/>
              <w:right w:val="single" w:color="auto" w:sz="4" w:space="0"/>
            </w:tcBorders>
            <w:shd w:val="clear" w:color="auto" w:fill="auto"/>
            <w:noWrap/>
            <w:vAlign w:val="center"/>
          </w:tcPr>
          <w:p w14:paraId="645597D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c>
          <w:tcPr>
            <w:tcW w:w="894" w:type="pct"/>
            <w:tcBorders>
              <w:top w:val="nil"/>
              <w:left w:val="nil"/>
              <w:bottom w:val="single" w:color="auto" w:sz="4" w:space="0"/>
              <w:right w:val="single" w:color="auto" w:sz="4" w:space="0"/>
            </w:tcBorders>
            <w:shd w:val="clear" w:color="auto" w:fill="auto"/>
            <w:noWrap/>
            <w:vAlign w:val="center"/>
          </w:tcPr>
          <w:p w14:paraId="42AEB01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c>
          <w:tcPr>
            <w:tcW w:w="894" w:type="pct"/>
            <w:tcBorders>
              <w:top w:val="nil"/>
              <w:left w:val="nil"/>
              <w:bottom w:val="single" w:color="auto" w:sz="4" w:space="0"/>
              <w:right w:val="single" w:color="auto" w:sz="4" w:space="0"/>
            </w:tcBorders>
            <w:shd w:val="clear" w:color="auto" w:fill="auto"/>
            <w:noWrap/>
            <w:vAlign w:val="center"/>
          </w:tcPr>
          <w:p w14:paraId="42A6BA9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824194.6</w:t>
            </w:r>
          </w:p>
        </w:tc>
        <w:tc>
          <w:tcPr>
            <w:tcW w:w="600" w:type="pct"/>
            <w:tcBorders>
              <w:top w:val="nil"/>
              <w:left w:val="nil"/>
              <w:bottom w:val="single" w:color="auto" w:sz="4" w:space="0"/>
              <w:right w:val="single" w:color="auto" w:sz="4" w:space="0"/>
            </w:tcBorders>
            <w:shd w:val="clear" w:color="auto" w:fill="auto"/>
            <w:noWrap/>
            <w:vAlign w:val="center"/>
          </w:tcPr>
          <w:p w14:paraId="115161A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21.14</w:t>
            </w:r>
          </w:p>
        </w:tc>
        <w:tc>
          <w:tcPr>
            <w:tcW w:w="812" w:type="pct"/>
            <w:tcBorders>
              <w:top w:val="nil"/>
              <w:left w:val="nil"/>
              <w:bottom w:val="single" w:color="auto" w:sz="4" w:space="0"/>
              <w:right w:val="single" w:color="auto" w:sz="4" w:space="0"/>
            </w:tcBorders>
            <w:shd w:val="clear" w:color="auto" w:fill="auto"/>
            <w:noWrap/>
            <w:vAlign w:val="center"/>
          </w:tcPr>
          <w:p w14:paraId="7A1C87A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748088.7</w:t>
            </w:r>
          </w:p>
        </w:tc>
      </w:tr>
      <w:tr w14:paraId="1E2267BC">
        <w:tblPrEx>
          <w:tblCellMar>
            <w:top w:w="0" w:type="dxa"/>
            <w:left w:w="108" w:type="dxa"/>
            <w:bottom w:w="0" w:type="dxa"/>
            <w:right w:w="108" w:type="dxa"/>
          </w:tblCellMar>
        </w:tblPrEx>
        <w:trPr>
          <w:trHeight w:val="300" w:hRule="atLeast"/>
          <w:tblHeader/>
        </w:trPr>
        <w:tc>
          <w:tcPr>
            <w:tcW w:w="600" w:type="pct"/>
            <w:tcBorders>
              <w:top w:val="nil"/>
              <w:left w:val="single" w:color="auto" w:sz="4" w:space="0"/>
              <w:bottom w:val="single" w:color="auto" w:sz="4" w:space="0"/>
              <w:right w:val="single" w:color="auto" w:sz="4" w:space="0"/>
            </w:tcBorders>
            <w:shd w:val="clear" w:color="auto" w:fill="auto"/>
            <w:noWrap/>
            <w:vAlign w:val="center"/>
          </w:tcPr>
          <w:p w14:paraId="696ED11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20.00</w:t>
            </w:r>
          </w:p>
        </w:tc>
        <w:tc>
          <w:tcPr>
            <w:tcW w:w="600" w:type="pct"/>
            <w:tcBorders>
              <w:top w:val="nil"/>
              <w:left w:val="nil"/>
              <w:bottom w:val="single" w:color="auto" w:sz="4" w:space="0"/>
              <w:right w:val="single" w:color="auto" w:sz="4" w:space="0"/>
            </w:tcBorders>
            <w:shd w:val="clear" w:color="auto" w:fill="auto"/>
            <w:noWrap/>
            <w:vAlign w:val="center"/>
          </w:tcPr>
          <w:p w14:paraId="5B582E5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c>
          <w:tcPr>
            <w:tcW w:w="600" w:type="pct"/>
            <w:tcBorders>
              <w:top w:val="nil"/>
              <w:left w:val="nil"/>
              <w:bottom w:val="single" w:color="auto" w:sz="4" w:space="0"/>
              <w:right w:val="single" w:color="auto" w:sz="4" w:space="0"/>
            </w:tcBorders>
            <w:shd w:val="clear" w:color="auto" w:fill="auto"/>
            <w:noWrap/>
            <w:vAlign w:val="center"/>
          </w:tcPr>
          <w:p w14:paraId="60F6379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c>
          <w:tcPr>
            <w:tcW w:w="894" w:type="pct"/>
            <w:tcBorders>
              <w:top w:val="nil"/>
              <w:left w:val="nil"/>
              <w:bottom w:val="single" w:color="auto" w:sz="4" w:space="0"/>
              <w:right w:val="single" w:color="auto" w:sz="4" w:space="0"/>
            </w:tcBorders>
            <w:shd w:val="clear" w:color="auto" w:fill="auto"/>
            <w:noWrap/>
            <w:vAlign w:val="center"/>
          </w:tcPr>
          <w:p w14:paraId="60BF64F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c>
          <w:tcPr>
            <w:tcW w:w="894" w:type="pct"/>
            <w:tcBorders>
              <w:top w:val="nil"/>
              <w:left w:val="nil"/>
              <w:bottom w:val="single" w:color="auto" w:sz="4" w:space="0"/>
              <w:right w:val="single" w:color="auto" w:sz="4" w:space="0"/>
            </w:tcBorders>
            <w:shd w:val="clear" w:color="auto" w:fill="auto"/>
            <w:noWrap/>
            <w:vAlign w:val="center"/>
          </w:tcPr>
          <w:p w14:paraId="2991FC2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737887.4</w:t>
            </w:r>
          </w:p>
        </w:tc>
        <w:tc>
          <w:tcPr>
            <w:tcW w:w="600" w:type="pct"/>
            <w:tcBorders>
              <w:top w:val="nil"/>
              <w:left w:val="nil"/>
              <w:bottom w:val="single" w:color="auto" w:sz="4" w:space="0"/>
              <w:right w:val="single" w:color="auto" w:sz="4" w:space="0"/>
            </w:tcBorders>
            <w:shd w:val="clear" w:color="auto" w:fill="auto"/>
            <w:noWrap/>
            <w:vAlign w:val="center"/>
          </w:tcPr>
          <w:p w14:paraId="6084220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21.04</w:t>
            </w:r>
          </w:p>
        </w:tc>
        <w:tc>
          <w:tcPr>
            <w:tcW w:w="812" w:type="pct"/>
            <w:tcBorders>
              <w:top w:val="nil"/>
              <w:left w:val="nil"/>
              <w:bottom w:val="single" w:color="auto" w:sz="4" w:space="0"/>
              <w:right w:val="single" w:color="auto" w:sz="4" w:space="0"/>
            </w:tcBorders>
            <w:shd w:val="clear" w:color="auto" w:fill="auto"/>
            <w:noWrap/>
            <w:vAlign w:val="center"/>
          </w:tcPr>
          <w:p w14:paraId="4819BAD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662134.1</w:t>
            </w:r>
          </w:p>
        </w:tc>
      </w:tr>
      <w:tr w14:paraId="437F74B7">
        <w:tblPrEx>
          <w:tblCellMar>
            <w:top w:w="0" w:type="dxa"/>
            <w:left w:w="108" w:type="dxa"/>
            <w:bottom w:w="0" w:type="dxa"/>
            <w:right w:w="108" w:type="dxa"/>
          </w:tblCellMar>
        </w:tblPrEx>
        <w:trPr>
          <w:trHeight w:val="300" w:hRule="atLeast"/>
          <w:tblHeader/>
        </w:trPr>
        <w:tc>
          <w:tcPr>
            <w:tcW w:w="600" w:type="pct"/>
            <w:tcBorders>
              <w:top w:val="nil"/>
              <w:left w:val="single" w:color="auto" w:sz="4" w:space="0"/>
              <w:bottom w:val="single" w:color="auto" w:sz="4" w:space="0"/>
              <w:right w:val="single" w:color="auto" w:sz="4" w:space="0"/>
            </w:tcBorders>
            <w:shd w:val="clear" w:color="auto" w:fill="auto"/>
            <w:noWrap/>
            <w:vAlign w:val="center"/>
          </w:tcPr>
          <w:p w14:paraId="28F25AA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21.00</w:t>
            </w:r>
          </w:p>
        </w:tc>
        <w:tc>
          <w:tcPr>
            <w:tcW w:w="600" w:type="pct"/>
            <w:tcBorders>
              <w:top w:val="nil"/>
              <w:left w:val="nil"/>
              <w:bottom w:val="single" w:color="auto" w:sz="4" w:space="0"/>
              <w:right w:val="single" w:color="auto" w:sz="4" w:space="0"/>
            </w:tcBorders>
            <w:shd w:val="clear" w:color="auto" w:fill="auto"/>
            <w:noWrap/>
            <w:vAlign w:val="center"/>
          </w:tcPr>
          <w:p w14:paraId="748CC42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c>
          <w:tcPr>
            <w:tcW w:w="600" w:type="pct"/>
            <w:tcBorders>
              <w:top w:val="nil"/>
              <w:left w:val="nil"/>
              <w:bottom w:val="single" w:color="auto" w:sz="4" w:space="0"/>
              <w:right w:val="single" w:color="auto" w:sz="4" w:space="0"/>
            </w:tcBorders>
            <w:shd w:val="clear" w:color="auto" w:fill="auto"/>
            <w:noWrap/>
            <w:vAlign w:val="center"/>
          </w:tcPr>
          <w:p w14:paraId="574F212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c>
          <w:tcPr>
            <w:tcW w:w="894" w:type="pct"/>
            <w:tcBorders>
              <w:top w:val="nil"/>
              <w:left w:val="nil"/>
              <w:bottom w:val="single" w:color="auto" w:sz="4" w:space="0"/>
              <w:right w:val="single" w:color="auto" w:sz="4" w:space="0"/>
            </w:tcBorders>
            <w:shd w:val="clear" w:color="auto" w:fill="auto"/>
            <w:noWrap/>
            <w:vAlign w:val="center"/>
          </w:tcPr>
          <w:p w14:paraId="11B7CC8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c>
          <w:tcPr>
            <w:tcW w:w="894" w:type="pct"/>
            <w:tcBorders>
              <w:top w:val="nil"/>
              <w:left w:val="nil"/>
              <w:bottom w:val="single" w:color="auto" w:sz="4" w:space="0"/>
              <w:right w:val="single" w:color="auto" w:sz="4" w:space="0"/>
            </w:tcBorders>
            <w:shd w:val="clear" w:color="auto" w:fill="auto"/>
            <w:noWrap/>
            <w:vAlign w:val="center"/>
          </w:tcPr>
          <w:p w14:paraId="532E3E7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571044.3</w:t>
            </w:r>
          </w:p>
        </w:tc>
        <w:tc>
          <w:tcPr>
            <w:tcW w:w="600" w:type="pct"/>
            <w:tcBorders>
              <w:top w:val="nil"/>
              <w:left w:val="nil"/>
              <w:bottom w:val="single" w:color="auto" w:sz="4" w:space="0"/>
              <w:right w:val="single" w:color="auto" w:sz="4" w:space="0"/>
            </w:tcBorders>
            <w:shd w:val="clear" w:color="auto" w:fill="auto"/>
            <w:noWrap/>
            <w:vAlign w:val="center"/>
          </w:tcPr>
          <w:p w14:paraId="301E685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22.29</w:t>
            </w:r>
          </w:p>
        </w:tc>
        <w:tc>
          <w:tcPr>
            <w:tcW w:w="812" w:type="pct"/>
            <w:tcBorders>
              <w:top w:val="nil"/>
              <w:left w:val="nil"/>
              <w:bottom w:val="single" w:color="auto" w:sz="4" w:space="0"/>
              <w:right w:val="single" w:color="auto" w:sz="4" w:space="0"/>
            </w:tcBorders>
            <w:shd w:val="clear" w:color="auto" w:fill="auto"/>
            <w:noWrap/>
            <w:vAlign w:val="center"/>
          </w:tcPr>
          <w:p w14:paraId="1996A68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490790.5</w:t>
            </w:r>
          </w:p>
        </w:tc>
      </w:tr>
      <w:tr w14:paraId="41864871">
        <w:tblPrEx>
          <w:tblCellMar>
            <w:top w:w="0" w:type="dxa"/>
            <w:left w:w="108" w:type="dxa"/>
            <w:bottom w:w="0" w:type="dxa"/>
            <w:right w:w="108" w:type="dxa"/>
          </w:tblCellMar>
        </w:tblPrEx>
        <w:trPr>
          <w:trHeight w:val="300" w:hRule="atLeast"/>
          <w:tblHeader/>
        </w:trPr>
        <w:tc>
          <w:tcPr>
            <w:tcW w:w="600" w:type="pct"/>
            <w:tcBorders>
              <w:top w:val="nil"/>
              <w:left w:val="single" w:color="auto" w:sz="4" w:space="0"/>
              <w:bottom w:val="single" w:color="auto" w:sz="4" w:space="0"/>
              <w:right w:val="single" w:color="auto" w:sz="4" w:space="0"/>
            </w:tcBorders>
            <w:shd w:val="clear" w:color="auto" w:fill="auto"/>
            <w:noWrap/>
            <w:vAlign w:val="center"/>
          </w:tcPr>
          <w:p w14:paraId="0BAD6AF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22.00</w:t>
            </w:r>
          </w:p>
        </w:tc>
        <w:tc>
          <w:tcPr>
            <w:tcW w:w="600" w:type="pct"/>
            <w:tcBorders>
              <w:top w:val="nil"/>
              <w:left w:val="nil"/>
              <w:bottom w:val="single" w:color="auto" w:sz="4" w:space="0"/>
              <w:right w:val="single" w:color="auto" w:sz="4" w:space="0"/>
            </w:tcBorders>
            <w:shd w:val="clear" w:color="auto" w:fill="auto"/>
            <w:noWrap/>
            <w:vAlign w:val="center"/>
          </w:tcPr>
          <w:p w14:paraId="16EE7C4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c>
          <w:tcPr>
            <w:tcW w:w="600" w:type="pct"/>
            <w:tcBorders>
              <w:top w:val="nil"/>
              <w:left w:val="nil"/>
              <w:bottom w:val="single" w:color="auto" w:sz="4" w:space="0"/>
              <w:right w:val="single" w:color="auto" w:sz="4" w:space="0"/>
            </w:tcBorders>
            <w:shd w:val="clear" w:color="auto" w:fill="auto"/>
            <w:noWrap/>
            <w:vAlign w:val="center"/>
          </w:tcPr>
          <w:p w14:paraId="56234A4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c>
          <w:tcPr>
            <w:tcW w:w="894" w:type="pct"/>
            <w:tcBorders>
              <w:top w:val="nil"/>
              <w:left w:val="nil"/>
              <w:bottom w:val="single" w:color="auto" w:sz="4" w:space="0"/>
              <w:right w:val="single" w:color="auto" w:sz="4" w:space="0"/>
            </w:tcBorders>
            <w:shd w:val="clear" w:color="auto" w:fill="auto"/>
            <w:noWrap/>
            <w:vAlign w:val="center"/>
          </w:tcPr>
          <w:p w14:paraId="22E5310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c>
          <w:tcPr>
            <w:tcW w:w="894" w:type="pct"/>
            <w:tcBorders>
              <w:top w:val="nil"/>
              <w:left w:val="nil"/>
              <w:bottom w:val="single" w:color="auto" w:sz="4" w:space="0"/>
              <w:right w:val="single" w:color="auto" w:sz="4" w:space="0"/>
            </w:tcBorders>
            <w:shd w:val="clear" w:color="auto" w:fill="auto"/>
            <w:noWrap/>
            <w:vAlign w:val="center"/>
          </w:tcPr>
          <w:p w14:paraId="4D96ABF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473605.2</w:t>
            </w:r>
          </w:p>
        </w:tc>
        <w:tc>
          <w:tcPr>
            <w:tcW w:w="600" w:type="pct"/>
            <w:tcBorders>
              <w:top w:val="nil"/>
              <w:left w:val="nil"/>
              <w:bottom w:val="single" w:color="auto" w:sz="4" w:space="0"/>
              <w:right w:val="single" w:color="auto" w:sz="4" w:space="0"/>
            </w:tcBorders>
            <w:shd w:val="clear" w:color="auto" w:fill="auto"/>
            <w:noWrap/>
            <w:vAlign w:val="center"/>
          </w:tcPr>
          <w:p w14:paraId="284FF51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22.22</w:t>
            </w:r>
          </w:p>
        </w:tc>
        <w:tc>
          <w:tcPr>
            <w:tcW w:w="812" w:type="pct"/>
            <w:tcBorders>
              <w:top w:val="nil"/>
              <w:left w:val="nil"/>
              <w:bottom w:val="single" w:color="auto" w:sz="4" w:space="0"/>
              <w:right w:val="single" w:color="auto" w:sz="4" w:space="0"/>
            </w:tcBorders>
            <w:shd w:val="clear" w:color="auto" w:fill="auto"/>
            <w:noWrap/>
            <w:vAlign w:val="center"/>
          </w:tcPr>
          <w:p w14:paraId="1E79CBA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393618.1</w:t>
            </w:r>
          </w:p>
        </w:tc>
      </w:tr>
      <w:tr w14:paraId="56D1B41B">
        <w:tblPrEx>
          <w:tblCellMar>
            <w:top w:w="0" w:type="dxa"/>
            <w:left w:w="108" w:type="dxa"/>
            <w:bottom w:w="0" w:type="dxa"/>
            <w:right w:w="108" w:type="dxa"/>
          </w:tblCellMar>
        </w:tblPrEx>
        <w:trPr>
          <w:trHeight w:val="300" w:hRule="atLeast"/>
          <w:tblHeader/>
        </w:trPr>
        <w:tc>
          <w:tcPr>
            <w:tcW w:w="600" w:type="pct"/>
            <w:tcBorders>
              <w:top w:val="nil"/>
              <w:left w:val="single" w:color="auto" w:sz="4" w:space="0"/>
              <w:bottom w:val="single" w:color="auto" w:sz="4" w:space="0"/>
              <w:right w:val="single" w:color="auto" w:sz="4" w:space="0"/>
            </w:tcBorders>
            <w:shd w:val="clear" w:color="auto" w:fill="auto"/>
            <w:noWrap/>
            <w:vAlign w:val="center"/>
          </w:tcPr>
          <w:p w14:paraId="5795E62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23.00</w:t>
            </w:r>
          </w:p>
        </w:tc>
        <w:tc>
          <w:tcPr>
            <w:tcW w:w="600" w:type="pct"/>
            <w:tcBorders>
              <w:top w:val="nil"/>
              <w:left w:val="nil"/>
              <w:bottom w:val="single" w:color="auto" w:sz="4" w:space="0"/>
              <w:right w:val="single" w:color="auto" w:sz="4" w:space="0"/>
            </w:tcBorders>
            <w:shd w:val="clear" w:color="auto" w:fill="auto"/>
            <w:noWrap/>
            <w:vAlign w:val="center"/>
          </w:tcPr>
          <w:p w14:paraId="2CAC1EF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c>
          <w:tcPr>
            <w:tcW w:w="600" w:type="pct"/>
            <w:tcBorders>
              <w:top w:val="nil"/>
              <w:left w:val="nil"/>
              <w:bottom w:val="single" w:color="auto" w:sz="4" w:space="0"/>
              <w:right w:val="single" w:color="auto" w:sz="4" w:space="0"/>
            </w:tcBorders>
            <w:shd w:val="clear" w:color="auto" w:fill="auto"/>
            <w:noWrap/>
            <w:vAlign w:val="center"/>
          </w:tcPr>
          <w:p w14:paraId="622DDD8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c>
          <w:tcPr>
            <w:tcW w:w="894" w:type="pct"/>
            <w:tcBorders>
              <w:top w:val="nil"/>
              <w:left w:val="nil"/>
              <w:bottom w:val="single" w:color="auto" w:sz="4" w:space="0"/>
              <w:right w:val="single" w:color="auto" w:sz="4" w:space="0"/>
            </w:tcBorders>
            <w:shd w:val="clear" w:color="auto" w:fill="auto"/>
            <w:noWrap/>
            <w:vAlign w:val="center"/>
          </w:tcPr>
          <w:p w14:paraId="1498431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c>
          <w:tcPr>
            <w:tcW w:w="894" w:type="pct"/>
            <w:tcBorders>
              <w:top w:val="nil"/>
              <w:left w:val="nil"/>
              <w:bottom w:val="single" w:color="auto" w:sz="4" w:space="0"/>
              <w:right w:val="single" w:color="auto" w:sz="4" w:space="0"/>
            </w:tcBorders>
            <w:shd w:val="clear" w:color="auto" w:fill="auto"/>
            <w:noWrap/>
            <w:vAlign w:val="center"/>
          </w:tcPr>
          <w:p w14:paraId="3051671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372940.8</w:t>
            </w:r>
          </w:p>
        </w:tc>
        <w:tc>
          <w:tcPr>
            <w:tcW w:w="600" w:type="pct"/>
            <w:tcBorders>
              <w:top w:val="nil"/>
              <w:left w:val="nil"/>
              <w:bottom w:val="single" w:color="auto" w:sz="4" w:space="0"/>
              <w:right w:val="single" w:color="auto" w:sz="4" w:space="0"/>
            </w:tcBorders>
            <w:shd w:val="clear" w:color="auto" w:fill="auto"/>
            <w:noWrap/>
            <w:vAlign w:val="center"/>
          </w:tcPr>
          <w:p w14:paraId="3DEC087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22.11</w:t>
            </w:r>
          </w:p>
        </w:tc>
        <w:tc>
          <w:tcPr>
            <w:tcW w:w="812" w:type="pct"/>
            <w:tcBorders>
              <w:top w:val="nil"/>
              <w:left w:val="nil"/>
              <w:bottom w:val="single" w:color="auto" w:sz="4" w:space="0"/>
              <w:right w:val="single" w:color="auto" w:sz="4" w:space="0"/>
            </w:tcBorders>
            <w:shd w:val="clear" w:color="auto" w:fill="auto"/>
            <w:noWrap/>
            <w:vAlign w:val="center"/>
          </w:tcPr>
          <w:p w14:paraId="230D786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293336.1</w:t>
            </w:r>
          </w:p>
        </w:tc>
      </w:tr>
      <w:tr w14:paraId="60901A05">
        <w:tblPrEx>
          <w:tblCellMar>
            <w:top w:w="0" w:type="dxa"/>
            <w:left w:w="108" w:type="dxa"/>
            <w:bottom w:w="0" w:type="dxa"/>
            <w:right w:w="108" w:type="dxa"/>
          </w:tblCellMar>
        </w:tblPrEx>
        <w:trPr>
          <w:trHeight w:val="300" w:hRule="atLeast"/>
          <w:tblHeader/>
        </w:trPr>
        <w:tc>
          <w:tcPr>
            <w:tcW w:w="600" w:type="pct"/>
            <w:tcBorders>
              <w:top w:val="nil"/>
              <w:left w:val="single" w:color="auto" w:sz="4" w:space="0"/>
              <w:bottom w:val="single" w:color="auto" w:sz="4" w:space="0"/>
              <w:right w:val="single" w:color="auto" w:sz="4" w:space="0"/>
            </w:tcBorders>
            <w:shd w:val="clear" w:color="auto" w:fill="auto"/>
            <w:noWrap/>
            <w:vAlign w:val="center"/>
          </w:tcPr>
          <w:p w14:paraId="45F746B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24.00</w:t>
            </w:r>
          </w:p>
        </w:tc>
        <w:tc>
          <w:tcPr>
            <w:tcW w:w="600" w:type="pct"/>
            <w:tcBorders>
              <w:top w:val="nil"/>
              <w:left w:val="nil"/>
              <w:bottom w:val="single" w:color="auto" w:sz="4" w:space="0"/>
              <w:right w:val="single" w:color="auto" w:sz="4" w:space="0"/>
            </w:tcBorders>
            <w:shd w:val="clear" w:color="auto" w:fill="auto"/>
            <w:noWrap/>
            <w:vAlign w:val="center"/>
          </w:tcPr>
          <w:p w14:paraId="3A611C0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c>
          <w:tcPr>
            <w:tcW w:w="600" w:type="pct"/>
            <w:tcBorders>
              <w:top w:val="nil"/>
              <w:left w:val="nil"/>
              <w:bottom w:val="single" w:color="auto" w:sz="4" w:space="0"/>
              <w:right w:val="single" w:color="auto" w:sz="4" w:space="0"/>
            </w:tcBorders>
            <w:shd w:val="clear" w:color="auto" w:fill="auto"/>
            <w:noWrap/>
            <w:vAlign w:val="center"/>
          </w:tcPr>
          <w:p w14:paraId="3A7CCC7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c>
          <w:tcPr>
            <w:tcW w:w="894" w:type="pct"/>
            <w:tcBorders>
              <w:top w:val="nil"/>
              <w:left w:val="nil"/>
              <w:bottom w:val="single" w:color="auto" w:sz="4" w:space="0"/>
              <w:right w:val="single" w:color="auto" w:sz="4" w:space="0"/>
            </w:tcBorders>
            <w:shd w:val="clear" w:color="auto" w:fill="auto"/>
            <w:noWrap/>
            <w:vAlign w:val="center"/>
          </w:tcPr>
          <w:p w14:paraId="60BD23E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c>
          <w:tcPr>
            <w:tcW w:w="894" w:type="pct"/>
            <w:tcBorders>
              <w:top w:val="nil"/>
              <w:left w:val="nil"/>
              <w:bottom w:val="single" w:color="auto" w:sz="4" w:space="0"/>
              <w:right w:val="single" w:color="auto" w:sz="4" w:space="0"/>
            </w:tcBorders>
            <w:shd w:val="clear" w:color="auto" w:fill="auto"/>
            <w:noWrap/>
            <w:vAlign w:val="center"/>
          </w:tcPr>
          <w:p w14:paraId="531869D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269166.8</w:t>
            </w:r>
          </w:p>
        </w:tc>
        <w:tc>
          <w:tcPr>
            <w:tcW w:w="600" w:type="pct"/>
            <w:tcBorders>
              <w:top w:val="nil"/>
              <w:left w:val="nil"/>
              <w:bottom w:val="single" w:color="auto" w:sz="4" w:space="0"/>
              <w:right w:val="single" w:color="auto" w:sz="4" w:space="0"/>
            </w:tcBorders>
            <w:shd w:val="clear" w:color="auto" w:fill="auto"/>
            <w:noWrap/>
            <w:vAlign w:val="center"/>
          </w:tcPr>
          <w:p w14:paraId="6AA0DA5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19.67</w:t>
            </w:r>
          </w:p>
        </w:tc>
        <w:tc>
          <w:tcPr>
            <w:tcW w:w="812" w:type="pct"/>
            <w:tcBorders>
              <w:top w:val="nil"/>
              <w:left w:val="nil"/>
              <w:bottom w:val="single" w:color="auto" w:sz="4" w:space="0"/>
              <w:right w:val="single" w:color="auto" w:sz="4" w:space="0"/>
            </w:tcBorders>
            <w:shd w:val="clear" w:color="auto" w:fill="auto"/>
            <w:noWrap/>
            <w:vAlign w:val="center"/>
          </w:tcPr>
          <w:p w14:paraId="37E4D36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198363.3</w:t>
            </w:r>
          </w:p>
        </w:tc>
      </w:tr>
      <w:tr w14:paraId="79B0CE80">
        <w:tblPrEx>
          <w:tblCellMar>
            <w:top w:w="0" w:type="dxa"/>
            <w:left w:w="108" w:type="dxa"/>
            <w:bottom w:w="0" w:type="dxa"/>
            <w:right w:w="108" w:type="dxa"/>
          </w:tblCellMar>
        </w:tblPrEx>
        <w:trPr>
          <w:trHeight w:val="300" w:hRule="atLeast"/>
          <w:tblHeader/>
        </w:trPr>
        <w:tc>
          <w:tcPr>
            <w:tcW w:w="600" w:type="pct"/>
            <w:tcBorders>
              <w:top w:val="nil"/>
              <w:left w:val="single" w:color="auto" w:sz="4" w:space="0"/>
              <w:bottom w:val="single" w:color="auto" w:sz="4" w:space="0"/>
              <w:right w:val="single" w:color="auto" w:sz="4" w:space="0"/>
            </w:tcBorders>
            <w:shd w:val="clear" w:color="auto" w:fill="auto"/>
            <w:noWrap/>
            <w:vAlign w:val="center"/>
          </w:tcPr>
          <w:p w14:paraId="134323B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25.00</w:t>
            </w:r>
          </w:p>
        </w:tc>
        <w:tc>
          <w:tcPr>
            <w:tcW w:w="600" w:type="pct"/>
            <w:tcBorders>
              <w:top w:val="nil"/>
              <w:left w:val="nil"/>
              <w:bottom w:val="single" w:color="auto" w:sz="4" w:space="0"/>
              <w:right w:val="single" w:color="auto" w:sz="4" w:space="0"/>
            </w:tcBorders>
            <w:shd w:val="clear" w:color="auto" w:fill="auto"/>
            <w:noWrap/>
            <w:vAlign w:val="center"/>
          </w:tcPr>
          <w:p w14:paraId="11BDB43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c>
          <w:tcPr>
            <w:tcW w:w="600" w:type="pct"/>
            <w:tcBorders>
              <w:top w:val="nil"/>
              <w:left w:val="nil"/>
              <w:bottom w:val="single" w:color="auto" w:sz="4" w:space="0"/>
              <w:right w:val="single" w:color="auto" w:sz="4" w:space="0"/>
            </w:tcBorders>
            <w:shd w:val="clear" w:color="auto" w:fill="auto"/>
            <w:noWrap/>
            <w:vAlign w:val="center"/>
          </w:tcPr>
          <w:p w14:paraId="35B682A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c>
          <w:tcPr>
            <w:tcW w:w="894" w:type="pct"/>
            <w:tcBorders>
              <w:top w:val="nil"/>
              <w:left w:val="nil"/>
              <w:bottom w:val="single" w:color="auto" w:sz="4" w:space="0"/>
              <w:right w:val="single" w:color="auto" w:sz="4" w:space="0"/>
            </w:tcBorders>
            <w:shd w:val="clear" w:color="auto" w:fill="auto"/>
            <w:noWrap/>
            <w:vAlign w:val="center"/>
          </w:tcPr>
          <w:p w14:paraId="35C046F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c>
          <w:tcPr>
            <w:tcW w:w="894" w:type="pct"/>
            <w:tcBorders>
              <w:top w:val="nil"/>
              <w:left w:val="nil"/>
              <w:bottom w:val="single" w:color="auto" w:sz="4" w:space="0"/>
              <w:right w:val="single" w:color="auto" w:sz="4" w:space="0"/>
            </w:tcBorders>
            <w:shd w:val="clear" w:color="auto" w:fill="auto"/>
            <w:noWrap/>
            <w:vAlign w:val="center"/>
          </w:tcPr>
          <w:p w14:paraId="2C6F784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170702.0</w:t>
            </w:r>
          </w:p>
        </w:tc>
        <w:tc>
          <w:tcPr>
            <w:tcW w:w="600" w:type="pct"/>
            <w:tcBorders>
              <w:top w:val="nil"/>
              <w:left w:val="nil"/>
              <w:bottom w:val="single" w:color="auto" w:sz="4" w:space="0"/>
              <w:right w:val="single" w:color="auto" w:sz="4" w:space="0"/>
            </w:tcBorders>
            <w:shd w:val="clear" w:color="auto" w:fill="auto"/>
            <w:noWrap/>
            <w:vAlign w:val="center"/>
          </w:tcPr>
          <w:p w14:paraId="4B67048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15.19</w:t>
            </w:r>
          </w:p>
        </w:tc>
        <w:tc>
          <w:tcPr>
            <w:tcW w:w="812" w:type="pct"/>
            <w:tcBorders>
              <w:top w:val="nil"/>
              <w:left w:val="nil"/>
              <w:bottom w:val="single" w:color="auto" w:sz="4" w:space="0"/>
              <w:right w:val="single" w:color="auto" w:sz="4" w:space="0"/>
            </w:tcBorders>
            <w:shd w:val="clear" w:color="auto" w:fill="auto"/>
            <w:noWrap/>
            <w:vAlign w:val="center"/>
          </w:tcPr>
          <w:p w14:paraId="4A249D3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116020.7</w:t>
            </w:r>
          </w:p>
        </w:tc>
      </w:tr>
      <w:tr w14:paraId="3BED6EFD">
        <w:tblPrEx>
          <w:tblCellMar>
            <w:top w:w="0" w:type="dxa"/>
            <w:left w:w="108" w:type="dxa"/>
            <w:bottom w:w="0" w:type="dxa"/>
            <w:right w:w="108" w:type="dxa"/>
          </w:tblCellMar>
        </w:tblPrEx>
        <w:trPr>
          <w:trHeight w:val="300" w:hRule="atLeast"/>
          <w:tblHeader/>
        </w:trPr>
        <w:tc>
          <w:tcPr>
            <w:tcW w:w="600" w:type="pct"/>
            <w:tcBorders>
              <w:top w:val="nil"/>
              <w:left w:val="single" w:color="auto" w:sz="4" w:space="0"/>
              <w:bottom w:val="single" w:color="auto" w:sz="4" w:space="0"/>
              <w:right w:val="single" w:color="auto" w:sz="4" w:space="0"/>
            </w:tcBorders>
            <w:shd w:val="clear" w:color="auto" w:fill="auto"/>
            <w:noWrap/>
            <w:vAlign w:val="center"/>
          </w:tcPr>
          <w:p w14:paraId="0EEEFE3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26.00</w:t>
            </w:r>
          </w:p>
        </w:tc>
        <w:tc>
          <w:tcPr>
            <w:tcW w:w="600" w:type="pct"/>
            <w:tcBorders>
              <w:top w:val="nil"/>
              <w:left w:val="nil"/>
              <w:bottom w:val="single" w:color="auto" w:sz="4" w:space="0"/>
              <w:right w:val="single" w:color="auto" w:sz="4" w:space="0"/>
            </w:tcBorders>
            <w:shd w:val="clear" w:color="auto" w:fill="auto"/>
            <w:noWrap/>
            <w:vAlign w:val="center"/>
          </w:tcPr>
          <w:p w14:paraId="019A2A5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c>
          <w:tcPr>
            <w:tcW w:w="600" w:type="pct"/>
            <w:tcBorders>
              <w:top w:val="nil"/>
              <w:left w:val="nil"/>
              <w:bottom w:val="single" w:color="auto" w:sz="4" w:space="0"/>
              <w:right w:val="single" w:color="auto" w:sz="4" w:space="0"/>
            </w:tcBorders>
            <w:shd w:val="clear" w:color="auto" w:fill="auto"/>
            <w:noWrap/>
            <w:vAlign w:val="center"/>
          </w:tcPr>
          <w:p w14:paraId="125625B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c>
          <w:tcPr>
            <w:tcW w:w="894" w:type="pct"/>
            <w:tcBorders>
              <w:top w:val="nil"/>
              <w:left w:val="nil"/>
              <w:bottom w:val="single" w:color="auto" w:sz="4" w:space="0"/>
              <w:right w:val="single" w:color="auto" w:sz="4" w:space="0"/>
            </w:tcBorders>
            <w:shd w:val="clear" w:color="auto" w:fill="auto"/>
            <w:noWrap/>
            <w:vAlign w:val="center"/>
          </w:tcPr>
          <w:p w14:paraId="0DF1B17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c>
          <w:tcPr>
            <w:tcW w:w="894" w:type="pct"/>
            <w:tcBorders>
              <w:top w:val="nil"/>
              <w:left w:val="nil"/>
              <w:bottom w:val="single" w:color="auto" w:sz="4" w:space="0"/>
              <w:right w:val="single" w:color="auto" w:sz="4" w:space="0"/>
            </w:tcBorders>
            <w:shd w:val="clear" w:color="auto" w:fill="auto"/>
            <w:noWrap/>
            <w:vAlign w:val="center"/>
          </w:tcPr>
          <w:p w14:paraId="0C326C0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84867.4</w:t>
            </w:r>
          </w:p>
        </w:tc>
        <w:tc>
          <w:tcPr>
            <w:tcW w:w="600" w:type="pct"/>
            <w:tcBorders>
              <w:top w:val="nil"/>
              <w:left w:val="nil"/>
              <w:bottom w:val="single" w:color="auto" w:sz="4" w:space="0"/>
              <w:right w:val="single" w:color="auto" w:sz="4" w:space="0"/>
            </w:tcBorders>
            <w:shd w:val="clear" w:color="auto" w:fill="auto"/>
            <w:noWrap/>
            <w:vAlign w:val="center"/>
          </w:tcPr>
          <w:p w14:paraId="0567FEF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6.67</w:t>
            </w:r>
          </w:p>
        </w:tc>
        <w:tc>
          <w:tcPr>
            <w:tcW w:w="812" w:type="pct"/>
            <w:tcBorders>
              <w:top w:val="nil"/>
              <w:left w:val="nil"/>
              <w:bottom w:val="single" w:color="auto" w:sz="4" w:space="0"/>
              <w:right w:val="single" w:color="auto" w:sz="4" w:space="0"/>
            </w:tcBorders>
            <w:shd w:val="clear" w:color="auto" w:fill="auto"/>
            <w:noWrap/>
            <w:vAlign w:val="center"/>
          </w:tcPr>
          <w:p w14:paraId="01ABEE9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60843.1</w:t>
            </w:r>
          </w:p>
        </w:tc>
      </w:tr>
      <w:tr w14:paraId="09015FF4">
        <w:tblPrEx>
          <w:tblCellMar>
            <w:top w:w="0" w:type="dxa"/>
            <w:left w:w="108" w:type="dxa"/>
            <w:bottom w:w="0" w:type="dxa"/>
            <w:right w:w="108" w:type="dxa"/>
          </w:tblCellMar>
        </w:tblPrEx>
        <w:trPr>
          <w:trHeight w:val="300" w:hRule="atLeast"/>
          <w:tblHeader/>
        </w:trPr>
        <w:tc>
          <w:tcPr>
            <w:tcW w:w="600" w:type="pct"/>
            <w:tcBorders>
              <w:top w:val="nil"/>
              <w:left w:val="single" w:color="auto" w:sz="4" w:space="0"/>
              <w:bottom w:val="single" w:color="auto" w:sz="4" w:space="0"/>
              <w:right w:val="single" w:color="auto" w:sz="4" w:space="0"/>
            </w:tcBorders>
            <w:shd w:val="clear" w:color="auto" w:fill="auto"/>
            <w:noWrap/>
            <w:vAlign w:val="center"/>
          </w:tcPr>
          <w:p w14:paraId="1EC7A45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27.00</w:t>
            </w:r>
          </w:p>
        </w:tc>
        <w:tc>
          <w:tcPr>
            <w:tcW w:w="600" w:type="pct"/>
            <w:tcBorders>
              <w:top w:val="nil"/>
              <w:left w:val="nil"/>
              <w:bottom w:val="single" w:color="auto" w:sz="4" w:space="0"/>
              <w:right w:val="single" w:color="auto" w:sz="4" w:space="0"/>
            </w:tcBorders>
            <w:shd w:val="clear" w:color="auto" w:fill="auto"/>
            <w:noWrap/>
            <w:vAlign w:val="center"/>
          </w:tcPr>
          <w:p w14:paraId="6BF9384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c>
          <w:tcPr>
            <w:tcW w:w="600" w:type="pct"/>
            <w:tcBorders>
              <w:top w:val="nil"/>
              <w:left w:val="nil"/>
              <w:bottom w:val="single" w:color="auto" w:sz="4" w:space="0"/>
              <w:right w:val="single" w:color="auto" w:sz="4" w:space="0"/>
            </w:tcBorders>
            <w:shd w:val="clear" w:color="auto" w:fill="auto"/>
            <w:noWrap/>
            <w:vAlign w:val="center"/>
          </w:tcPr>
          <w:p w14:paraId="52F2153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c>
          <w:tcPr>
            <w:tcW w:w="894" w:type="pct"/>
            <w:tcBorders>
              <w:top w:val="nil"/>
              <w:left w:val="nil"/>
              <w:bottom w:val="single" w:color="auto" w:sz="4" w:space="0"/>
              <w:right w:val="single" w:color="auto" w:sz="4" w:space="0"/>
            </w:tcBorders>
            <w:shd w:val="clear" w:color="auto" w:fill="auto"/>
            <w:noWrap/>
            <w:vAlign w:val="center"/>
          </w:tcPr>
          <w:p w14:paraId="2C2431F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c>
          <w:tcPr>
            <w:tcW w:w="894" w:type="pct"/>
            <w:tcBorders>
              <w:top w:val="nil"/>
              <w:left w:val="nil"/>
              <w:bottom w:val="single" w:color="auto" w:sz="4" w:space="0"/>
              <w:right w:val="single" w:color="auto" w:sz="4" w:space="0"/>
            </w:tcBorders>
            <w:shd w:val="clear" w:color="auto" w:fill="auto"/>
            <w:noWrap/>
            <w:vAlign w:val="center"/>
          </w:tcPr>
          <w:p w14:paraId="039D0AC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26197.8</w:t>
            </w:r>
          </w:p>
        </w:tc>
        <w:tc>
          <w:tcPr>
            <w:tcW w:w="600" w:type="pct"/>
            <w:tcBorders>
              <w:top w:val="nil"/>
              <w:left w:val="nil"/>
              <w:bottom w:val="single" w:color="auto" w:sz="4" w:space="0"/>
              <w:right w:val="single" w:color="auto" w:sz="4" w:space="0"/>
            </w:tcBorders>
            <w:shd w:val="clear" w:color="auto" w:fill="auto"/>
            <w:noWrap/>
            <w:vAlign w:val="center"/>
          </w:tcPr>
          <w:p w14:paraId="3AB2289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2.06</w:t>
            </w:r>
          </w:p>
        </w:tc>
        <w:tc>
          <w:tcPr>
            <w:tcW w:w="812" w:type="pct"/>
            <w:tcBorders>
              <w:top w:val="nil"/>
              <w:left w:val="nil"/>
              <w:bottom w:val="single" w:color="auto" w:sz="4" w:space="0"/>
              <w:right w:val="single" w:color="auto" w:sz="4" w:space="0"/>
            </w:tcBorders>
            <w:shd w:val="clear" w:color="auto" w:fill="auto"/>
            <w:noWrap/>
            <w:vAlign w:val="center"/>
          </w:tcPr>
          <w:p w14:paraId="5FCAFAB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18781.7</w:t>
            </w:r>
          </w:p>
        </w:tc>
      </w:tr>
      <w:tr w14:paraId="61AC66B8">
        <w:tblPrEx>
          <w:tblCellMar>
            <w:top w:w="0" w:type="dxa"/>
            <w:left w:w="108" w:type="dxa"/>
            <w:bottom w:w="0" w:type="dxa"/>
            <w:right w:w="108" w:type="dxa"/>
          </w:tblCellMar>
        </w:tblPrEx>
        <w:trPr>
          <w:trHeight w:val="300" w:hRule="atLeast"/>
          <w:tblHeader/>
        </w:trPr>
        <w:tc>
          <w:tcPr>
            <w:tcW w:w="600" w:type="pct"/>
            <w:tcBorders>
              <w:top w:val="nil"/>
              <w:left w:val="single" w:color="auto" w:sz="4" w:space="0"/>
              <w:bottom w:val="single" w:color="auto" w:sz="4" w:space="0"/>
              <w:right w:val="single" w:color="auto" w:sz="4" w:space="0"/>
            </w:tcBorders>
            <w:shd w:val="clear" w:color="auto" w:fill="auto"/>
            <w:noWrap/>
            <w:vAlign w:val="center"/>
          </w:tcPr>
          <w:p w14:paraId="14CAD7D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28.00</w:t>
            </w:r>
          </w:p>
        </w:tc>
        <w:tc>
          <w:tcPr>
            <w:tcW w:w="600" w:type="pct"/>
            <w:tcBorders>
              <w:top w:val="nil"/>
              <w:left w:val="nil"/>
              <w:bottom w:val="single" w:color="auto" w:sz="4" w:space="0"/>
              <w:right w:val="single" w:color="auto" w:sz="4" w:space="0"/>
            </w:tcBorders>
            <w:shd w:val="clear" w:color="auto" w:fill="auto"/>
            <w:noWrap/>
            <w:vAlign w:val="center"/>
          </w:tcPr>
          <w:p w14:paraId="44C69EB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c>
          <w:tcPr>
            <w:tcW w:w="600" w:type="pct"/>
            <w:tcBorders>
              <w:top w:val="nil"/>
              <w:left w:val="nil"/>
              <w:bottom w:val="single" w:color="auto" w:sz="4" w:space="0"/>
              <w:right w:val="single" w:color="auto" w:sz="4" w:space="0"/>
            </w:tcBorders>
            <w:shd w:val="clear" w:color="auto" w:fill="auto"/>
            <w:noWrap/>
            <w:vAlign w:val="center"/>
          </w:tcPr>
          <w:p w14:paraId="12C4470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c>
          <w:tcPr>
            <w:tcW w:w="894" w:type="pct"/>
            <w:tcBorders>
              <w:top w:val="nil"/>
              <w:left w:val="nil"/>
              <w:bottom w:val="single" w:color="auto" w:sz="4" w:space="0"/>
              <w:right w:val="single" w:color="auto" w:sz="4" w:space="0"/>
            </w:tcBorders>
            <w:shd w:val="clear" w:color="auto" w:fill="auto"/>
            <w:noWrap/>
            <w:vAlign w:val="center"/>
          </w:tcPr>
          <w:p w14:paraId="0EE66C6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c>
          <w:tcPr>
            <w:tcW w:w="894" w:type="pct"/>
            <w:tcBorders>
              <w:top w:val="nil"/>
              <w:left w:val="nil"/>
              <w:bottom w:val="single" w:color="auto" w:sz="4" w:space="0"/>
              <w:right w:val="single" w:color="auto" w:sz="4" w:space="0"/>
            </w:tcBorders>
            <w:shd w:val="clear" w:color="auto" w:fill="auto"/>
            <w:noWrap/>
            <w:vAlign w:val="center"/>
          </w:tcPr>
          <w:p w14:paraId="38D98B7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c>
          <w:tcPr>
            <w:tcW w:w="600" w:type="pct"/>
            <w:tcBorders>
              <w:top w:val="nil"/>
              <w:left w:val="nil"/>
              <w:bottom w:val="single" w:color="auto" w:sz="4" w:space="0"/>
              <w:right w:val="single" w:color="auto" w:sz="4" w:space="0"/>
            </w:tcBorders>
            <w:shd w:val="clear" w:color="auto" w:fill="auto"/>
            <w:noWrap/>
            <w:vAlign w:val="center"/>
          </w:tcPr>
          <w:p w14:paraId="0CC89BE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p>
        </w:tc>
        <w:tc>
          <w:tcPr>
            <w:tcW w:w="812" w:type="pct"/>
            <w:tcBorders>
              <w:top w:val="nil"/>
              <w:left w:val="nil"/>
              <w:bottom w:val="single" w:color="auto" w:sz="4" w:space="0"/>
              <w:right w:val="single" w:color="auto" w:sz="4" w:space="0"/>
            </w:tcBorders>
            <w:shd w:val="clear" w:color="auto" w:fill="auto"/>
            <w:noWrap/>
            <w:vAlign w:val="center"/>
          </w:tcPr>
          <w:p w14:paraId="07123C9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rPr>
              <w:t>0.0</w:t>
            </w:r>
          </w:p>
        </w:tc>
      </w:tr>
    </w:tbl>
    <w:p w14:paraId="2DED7B35">
      <w:pPr>
        <w:bidi w:val="0"/>
        <w:rPr>
          <w:color w:val="auto"/>
        </w:rPr>
      </w:pPr>
      <w:r>
        <w:rPr>
          <w:color w:val="auto"/>
        </w:rPr>
        <w:t>由</w:t>
      </w:r>
      <w:r>
        <w:rPr>
          <w:rFonts w:hint="eastAsia"/>
          <w:color w:val="auto"/>
        </w:rPr>
        <w:t>上</w:t>
      </w:r>
      <w:r>
        <w:rPr>
          <w:color w:val="auto"/>
        </w:rPr>
        <w:t>表可知，</w:t>
      </w:r>
      <w:r>
        <w:rPr>
          <w:rFonts w:hint="eastAsia"/>
          <w:color w:val="auto"/>
        </w:rPr>
        <w:t>现状</w:t>
      </w:r>
      <w:r>
        <w:rPr>
          <w:color w:val="auto"/>
        </w:rPr>
        <w:t>滩顶高程为</w:t>
      </w:r>
      <w:r>
        <w:rPr>
          <w:rFonts w:hint="eastAsia"/>
          <w:color w:val="auto"/>
          <w:lang w:val="en-US" w:eastAsia="zh-CN"/>
        </w:rPr>
        <w:t>+</w:t>
      </w:r>
      <w:r>
        <w:rPr>
          <w:color w:val="auto"/>
        </w:rPr>
        <w:t>285.5m</w:t>
      </w:r>
      <w:r>
        <w:rPr>
          <w:rFonts w:hint="eastAsia"/>
          <w:color w:val="auto"/>
        </w:rPr>
        <w:t>，库内现状水位为2</w:t>
      </w:r>
      <w:r>
        <w:rPr>
          <w:color w:val="auto"/>
        </w:rPr>
        <w:t>71.</w:t>
      </w:r>
      <w:r>
        <w:rPr>
          <w:rFonts w:hint="eastAsia"/>
          <w:color w:val="auto"/>
          <w:lang w:val="en-US" w:eastAsia="zh-CN"/>
        </w:rPr>
        <w:t>3</w:t>
      </w:r>
      <w:r>
        <w:rPr>
          <w:color w:val="auto"/>
        </w:rPr>
        <w:t>0</w:t>
      </w:r>
      <w:r>
        <w:rPr>
          <w:rFonts w:hint="eastAsia"/>
          <w:color w:val="auto"/>
        </w:rPr>
        <w:t>m，干</w:t>
      </w:r>
      <w:r>
        <w:rPr>
          <w:color w:val="auto"/>
        </w:rPr>
        <w:t>滩平均坡度</w:t>
      </w:r>
      <w:r>
        <w:rPr>
          <w:rFonts w:hint="eastAsia"/>
          <w:color w:val="auto"/>
        </w:rPr>
        <w:t>为</w:t>
      </w:r>
      <w:r>
        <w:rPr>
          <w:color w:val="auto"/>
        </w:rPr>
        <w:t>0.0268时，库内最高洪水位出现在洪水历时开始后7时序，对应的最大下泄流量约为21.8</w:t>
      </w:r>
      <w:r>
        <w:rPr>
          <w:rFonts w:hint="eastAsia"/>
          <w:color w:val="auto"/>
        </w:rPr>
        <w:t>7</w:t>
      </w:r>
      <w:r>
        <w:rPr>
          <w:color w:val="auto"/>
        </w:rPr>
        <w:t>m</w:t>
      </w:r>
      <w:r>
        <w:rPr>
          <w:color w:val="auto"/>
          <w:vertAlign w:val="superscript"/>
        </w:rPr>
        <w:t>3</w:t>
      </w:r>
      <w:r>
        <w:rPr>
          <w:color w:val="auto"/>
        </w:rPr>
        <w:t>/s，</w:t>
      </w:r>
      <w:r>
        <w:rPr>
          <w:rFonts w:hint="eastAsia"/>
          <w:color w:val="auto"/>
        </w:rPr>
        <w:t>此</w:t>
      </w:r>
      <w:r>
        <w:rPr>
          <w:color w:val="auto"/>
        </w:rPr>
        <w:t>时库水位为</w:t>
      </w:r>
      <w:r>
        <w:rPr>
          <w:rFonts w:hint="eastAsia"/>
          <w:color w:val="auto"/>
          <w:lang w:val="en-US" w:eastAsia="zh-CN"/>
        </w:rPr>
        <w:t>+</w:t>
      </w:r>
      <w:r>
        <w:rPr>
          <w:color w:val="auto"/>
        </w:rPr>
        <w:t>279.</w:t>
      </w:r>
      <w:r>
        <w:rPr>
          <w:rFonts w:hint="eastAsia"/>
          <w:color w:val="auto"/>
        </w:rPr>
        <w:t>06</w:t>
      </w:r>
      <w:r>
        <w:rPr>
          <w:color w:val="auto"/>
        </w:rPr>
        <w:t>m，安全超高6.4</w:t>
      </w:r>
      <w:r>
        <w:rPr>
          <w:rFonts w:hint="eastAsia"/>
          <w:color w:val="auto"/>
        </w:rPr>
        <w:t>4</w:t>
      </w:r>
      <w:r>
        <w:rPr>
          <w:color w:val="auto"/>
        </w:rPr>
        <w:t>m，干滩长度约2</w:t>
      </w:r>
      <w:r>
        <w:rPr>
          <w:rFonts w:hint="eastAsia"/>
          <w:color w:val="auto"/>
        </w:rPr>
        <w:t>40</w:t>
      </w:r>
      <w:r>
        <w:rPr>
          <w:color w:val="auto"/>
        </w:rPr>
        <w:t>m，对应的调洪库容约为153.</w:t>
      </w:r>
      <w:r>
        <w:rPr>
          <w:rFonts w:hint="eastAsia"/>
          <w:color w:val="auto"/>
        </w:rPr>
        <w:t>90</w:t>
      </w:r>
      <w:r>
        <w:rPr>
          <w:color w:val="auto"/>
        </w:rPr>
        <w:t>×10</w:t>
      </w:r>
      <w:r>
        <w:rPr>
          <w:color w:val="auto"/>
          <w:vertAlign w:val="superscript"/>
        </w:rPr>
        <w:t>4</w:t>
      </w:r>
      <w:r>
        <w:rPr>
          <w:color w:val="auto"/>
        </w:rPr>
        <w:t>m</w:t>
      </w:r>
      <w:r>
        <w:rPr>
          <w:color w:val="auto"/>
          <w:vertAlign w:val="superscript"/>
        </w:rPr>
        <w:t>3</w:t>
      </w:r>
      <w:r>
        <w:rPr>
          <w:color w:val="auto"/>
        </w:rPr>
        <w:t>。此时，库内滩长和安全超高能满足最小干滩长度（70m）和最小安全超高（1.88m）要求。</w:t>
      </w:r>
    </w:p>
    <w:p w14:paraId="0A9C7C58">
      <w:pPr>
        <w:bidi w:val="0"/>
        <w:rPr>
          <w:rFonts w:hint="eastAsia"/>
          <w:color w:val="auto"/>
          <w:lang w:val="en-US" w:eastAsia="zh-CN"/>
        </w:rPr>
      </w:pPr>
      <w:bookmarkStart w:id="123" w:name="_Toc159457369"/>
      <w:bookmarkStart w:id="124" w:name="_Toc79366504"/>
      <w:r>
        <w:rPr>
          <w:rFonts w:hint="eastAsia"/>
          <w:color w:val="auto"/>
          <w:lang w:val="en-US" w:eastAsia="zh-CN"/>
        </w:rPr>
        <w:t>4. “石壁溪”冲沟排洪设施及防洪安全分析</w:t>
      </w:r>
      <w:bookmarkEnd w:id="123"/>
      <w:bookmarkEnd w:id="124"/>
    </w:p>
    <w:p w14:paraId="166BB705">
      <w:pPr>
        <w:bidi w:val="0"/>
        <w:rPr>
          <w:color w:val="auto"/>
        </w:rPr>
      </w:pPr>
      <w:r>
        <w:rPr>
          <w:rFonts w:hint="eastAsia"/>
          <w:color w:val="auto"/>
        </w:rPr>
        <w:t>由于改造后，尾矿坝右侧“石壁溪”区域的汇水不进入尾矿库，直接排至尾矿库下游，因此需要对该区域防洪进行单独的核算。</w:t>
      </w:r>
    </w:p>
    <w:p w14:paraId="305AF883">
      <w:pPr>
        <w:bidi w:val="0"/>
        <w:rPr>
          <w:color w:val="auto"/>
        </w:rPr>
      </w:pPr>
      <w:r>
        <w:rPr>
          <w:rFonts w:hint="eastAsia"/>
          <w:color w:val="auto"/>
        </w:rPr>
        <w:t>已建截洪沟采用C25钢筋混凝土结构，底宽1.5m，高1.7m，内、外侧边坡均为1</w:t>
      </w:r>
      <w:r>
        <w:rPr>
          <w:rFonts w:hint="eastAsia"/>
          <w:color w:val="auto"/>
          <w:lang w:val="en-US" w:eastAsia="zh-CN"/>
        </w:rPr>
        <w:t>︰</w:t>
      </w:r>
      <w:r>
        <w:rPr>
          <w:rFonts w:hint="eastAsia"/>
          <w:color w:val="auto"/>
        </w:rPr>
        <w:t>0.5，壁厚及底板厚均为30cm，进、出口底高程分别为</w:t>
      </w:r>
      <w:r>
        <w:rPr>
          <w:rFonts w:hint="eastAsia"/>
          <w:color w:val="auto"/>
          <w:lang w:val="en-US" w:eastAsia="zh-CN"/>
        </w:rPr>
        <w:t>+</w:t>
      </w:r>
      <w:r>
        <w:rPr>
          <w:rFonts w:hint="eastAsia"/>
          <w:color w:val="auto"/>
        </w:rPr>
        <w:t>275.0m和237.0m，长约400m，平均底坡9.5%。其泄洪能力计算结果见表</w:t>
      </w:r>
      <w:r>
        <w:rPr>
          <w:color w:val="auto"/>
        </w:rPr>
        <w:t>4</w:t>
      </w:r>
      <w:r>
        <w:rPr>
          <w:rFonts w:hint="eastAsia"/>
          <w:color w:val="auto"/>
        </w:rPr>
        <w:t>-</w:t>
      </w:r>
      <w:r>
        <w:rPr>
          <w:color w:val="auto"/>
        </w:rPr>
        <w:t>8</w:t>
      </w:r>
      <w:r>
        <w:rPr>
          <w:rFonts w:hint="eastAsia"/>
          <w:color w:val="auto"/>
        </w:rPr>
        <w:t>。</w:t>
      </w:r>
    </w:p>
    <w:p w14:paraId="2CFC8A70">
      <w:pPr>
        <w:bidi w:val="0"/>
        <w:ind w:left="0" w:leftChars="0" w:firstLine="0" w:firstLineChars="0"/>
        <w:jc w:val="center"/>
        <w:rPr>
          <w:rFonts w:hint="eastAsia"/>
          <w:color w:val="auto"/>
          <w:lang w:val="en-GB" w:eastAsia="zh-CN"/>
        </w:rPr>
      </w:pPr>
      <w:r>
        <w:rPr>
          <w:rFonts w:hint="eastAsia"/>
          <w:color w:val="auto"/>
          <w:lang w:val="en-US" w:eastAsia="zh-CN"/>
        </w:rPr>
        <w:t xml:space="preserve">表4.3-8 </w:t>
      </w:r>
      <w:r>
        <w:rPr>
          <w:rFonts w:hint="eastAsia"/>
          <w:color w:val="auto"/>
          <w:lang w:val="en-GB" w:eastAsia="zh-CN"/>
        </w:rPr>
        <w:t>“石壁溪”冲沟新建截洪沟泄流能力计算结果</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569"/>
        <w:gridCol w:w="1389"/>
        <w:gridCol w:w="841"/>
        <w:gridCol w:w="1250"/>
        <w:gridCol w:w="1020"/>
        <w:gridCol w:w="903"/>
        <w:gridCol w:w="1345"/>
        <w:gridCol w:w="969"/>
      </w:tblGrid>
      <w:tr w14:paraId="482402D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569" w:type="dxa"/>
            <w:vAlign w:val="center"/>
          </w:tcPr>
          <w:p w14:paraId="6F57C42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过流净断面</w:t>
            </w:r>
          </w:p>
          <w:p w14:paraId="150CE15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B×H(m)</w:t>
            </w:r>
          </w:p>
        </w:tc>
        <w:tc>
          <w:tcPr>
            <w:tcW w:w="1389" w:type="dxa"/>
            <w:vAlign w:val="center"/>
          </w:tcPr>
          <w:p w14:paraId="2A2E747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过水面积</w:t>
            </w:r>
          </w:p>
          <w:p w14:paraId="5337D91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(m</w:t>
            </w:r>
            <w:r>
              <w:rPr>
                <w:rFonts w:hint="eastAsia" w:ascii="Times New Roman" w:hAnsi="Times New Roman" w:cs="Times New Roman"/>
                <w:color w:val="auto"/>
                <w:sz w:val="24"/>
                <w:szCs w:val="24"/>
                <w:vertAlign w:val="superscript"/>
              </w:rPr>
              <w:t>2</w:t>
            </w:r>
            <w:r>
              <w:rPr>
                <w:rFonts w:hint="eastAsia" w:ascii="Times New Roman" w:hAnsi="Times New Roman" w:cs="Times New Roman"/>
                <w:color w:val="auto"/>
                <w:sz w:val="24"/>
                <w:szCs w:val="24"/>
              </w:rPr>
              <w:t>)</w:t>
            </w:r>
          </w:p>
        </w:tc>
        <w:tc>
          <w:tcPr>
            <w:tcW w:w="841" w:type="dxa"/>
            <w:vAlign w:val="center"/>
          </w:tcPr>
          <w:p w14:paraId="209046F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湿周</w:t>
            </w:r>
          </w:p>
          <w:p w14:paraId="59FF0BA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(m)</w:t>
            </w:r>
          </w:p>
        </w:tc>
        <w:tc>
          <w:tcPr>
            <w:tcW w:w="1250" w:type="dxa"/>
            <w:vAlign w:val="center"/>
          </w:tcPr>
          <w:p w14:paraId="286F000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水力半径R(m)</w:t>
            </w:r>
          </w:p>
        </w:tc>
        <w:tc>
          <w:tcPr>
            <w:tcW w:w="1020" w:type="dxa"/>
            <w:vAlign w:val="center"/>
          </w:tcPr>
          <w:p w14:paraId="4560D7C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坡降</w:t>
            </w:r>
          </w:p>
          <w:p w14:paraId="2F42887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(i)</w:t>
            </w:r>
          </w:p>
        </w:tc>
        <w:tc>
          <w:tcPr>
            <w:tcW w:w="903" w:type="dxa"/>
            <w:vAlign w:val="center"/>
          </w:tcPr>
          <w:p w14:paraId="267B212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糙率</w:t>
            </w:r>
          </w:p>
          <w:p w14:paraId="5CB333F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(n)</w:t>
            </w:r>
          </w:p>
        </w:tc>
        <w:tc>
          <w:tcPr>
            <w:tcW w:w="1345" w:type="dxa"/>
            <w:vAlign w:val="center"/>
          </w:tcPr>
          <w:p w14:paraId="61DDC5C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断面最大</w:t>
            </w:r>
          </w:p>
          <w:p w14:paraId="13F83EF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下泄流量</w:t>
            </w:r>
          </w:p>
          <w:p w14:paraId="3594C9B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(m</w:t>
            </w:r>
            <w:r>
              <w:rPr>
                <w:rFonts w:hint="eastAsia" w:ascii="Times New Roman" w:hAnsi="Times New Roman" w:cs="Times New Roman"/>
                <w:color w:val="auto"/>
                <w:sz w:val="24"/>
                <w:szCs w:val="24"/>
                <w:vertAlign w:val="superscript"/>
              </w:rPr>
              <w:t>3</w:t>
            </w:r>
            <w:r>
              <w:rPr>
                <w:rFonts w:hint="eastAsia" w:ascii="Times New Roman" w:hAnsi="Times New Roman" w:cs="Times New Roman"/>
                <w:color w:val="auto"/>
                <w:sz w:val="24"/>
                <w:szCs w:val="24"/>
              </w:rPr>
              <w:t>/s)</w:t>
            </w:r>
          </w:p>
        </w:tc>
        <w:tc>
          <w:tcPr>
            <w:tcW w:w="969" w:type="dxa"/>
            <w:vAlign w:val="center"/>
          </w:tcPr>
          <w:p w14:paraId="280A997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最大</w:t>
            </w:r>
          </w:p>
          <w:p w14:paraId="39AD4D7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流速</w:t>
            </w:r>
          </w:p>
          <w:p w14:paraId="488241D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(m/s)</w:t>
            </w:r>
          </w:p>
        </w:tc>
      </w:tr>
      <w:tr w14:paraId="0C9FC0D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1" w:hRule="atLeast"/>
          <w:jc w:val="center"/>
        </w:trPr>
        <w:tc>
          <w:tcPr>
            <w:tcW w:w="1569" w:type="dxa"/>
            <w:vAlign w:val="center"/>
          </w:tcPr>
          <w:p w14:paraId="288D94A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1.5×1.4</w:t>
            </w:r>
          </w:p>
        </w:tc>
        <w:tc>
          <w:tcPr>
            <w:tcW w:w="1389" w:type="dxa"/>
            <w:vAlign w:val="center"/>
          </w:tcPr>
          <w:p w14:paraId="5A8C740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3.08</w:t>
            </w:r>
          </w:p>
        </w:tc>
        <w:tc>
          <w:tcPr>
            <w:tcW w:w="841" w:type="dxa"/>
            <w:vAlign w:val="center"/>
          </w:tcPr>
          <w:p w14:paraId="594C149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4.63</w:t>
            </w:r>
          </w:p>
        </w:tc>
        <w:tc>
          <w:tcPr>
            <w:tcW w:w="1250" w:type="dxa"/>
            <w:vAlign w:val="center"/>
          </w:tcPr>
          <w:p w14:paraId="56BE11A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0.67</w:t>
            </w:r>
          </w:p>
        </w:tc>
        <w:tc>
          <w:tcPr>
            <w:tcW w:w="1020" w:type="dxa"/>
            <w:vAlign w:val="center"/>
          </w:tcPr>
          <w:p w14:paraId="54B94EF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0.095</w:t>
            </w:r>
          </w:p>
        </w:tc>
        <w:tc>
          <w:tcPr>
            <w:tcW w:w="903" w:type="dxa"/>
            <w:vAlign w:val="center"/>
          </w:tcPr>
          <w:p w14:paraId="64169B1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0.017</w:t>
            </w:r>
          </w:p>
        </w:tc>
        <w:tc>
          <w:tcPr>
            <w:tcW w:w="1345" w:type="dxa"/>
            <w:vAlign w:val="center"/>
          </w:tcPr>
          <w:p w14:paraId="5248A0E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42.55</w:t>
            </w:r>
          </w:p>
        </w:tc>
        <w:tc>
          <w:tcPr>
            <w:tcW w:w="969" w:type="dxa"/>
            <w:vAlign w:val="center"/>
          </w:tcPr>
          <w:p w14:paraId="4751150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13.82</w:t>
            </w:r>
          </w:p>
        </w:tc>
      </w:tr>
    </w:tbl>
    <w:p w14:paraId="07B64793">
      <w:pPr>
        <w:bidi w:val="0"/>
        <w:rPr>
          <w:rFonts w:hint="eastAsia"/>
          <w:color w:val="auto"/>
        </w:rPr>
      </w:pPr>
      <w:r>
        <w:rPr>
          <w:rFonts w:hint="eastAsia"/>
          <w:color w:val="auto"/>
        </w:rPr>
        <w:t>由表</w:t>
      </w:r>
      <w:r>
        <w:rPr>
          <w:color w:val="auto"/>
        </w:rPr>
        <w:t>4</w:t>
      </w:r>
      <w:r>
        <w:rPr>
          <w:rFonts w:hint="eastAsia"/>
          <w:color w:val="auto"/>
        </w:rPr>
        <w:t>-</w:t>
      </w:r>
      <w:r>
        <w:rPr>
          <w:color w:val="auto"/>
        </w:rPr>
        <w:t>8</w:t>
      </w:r>
      <w:r>
        <w:rPr>
          <w:rFonts w:hint="eastAsia"/>
          <w:color w:val="auto"/>
        </w:rPr>
        <w:t>，已建截洪沟最大下泄流量42.55m</w:t>
      </w:r>
      <w:r>
        <w:rPr>
          <w:rFonts w:hint="eastAsia"/>
          <w:color w:val="auto"/>
          <w:vertAlign w:val="superscript"/>
        </w:rPr>
        <w:t>3</w:t>
      </w:r>
      <w:r>
        <w:rPr>
          <w:rFonts w:hint="eastAsia"/>
          <w:color w:val="auto"/>
        </w:rPr>
        <w:t>/s，大于500年一遇产生的洪峰40.40m</w:t>
      </w:r>
      <w:r>
        <w:rPr>
          <w:rFonts w:hint="eastAsia"/>
          <w:color w:val="auto"/>
          <w:vertAlign w:val="superscript"/>
        </w:rPr>
        <w:t>3</w:t>
      </w:r>
      <w:r>
        <w:rPr>
          <w:rFonts w:hint="eastAsia"/>
          <w:color w:val="auto"/>
        </w:rPr>
        <w:t>/s，满足要求；C25钢筋混凝土抗冲流速可达25m/s，大于截洪沟最大下泄流速13.82m/s，满足要求。</w:t>
      </w:r>
    </w:p>
    <w:p w14:paraId="60DF9C09">
      <w:pPr>
        <w:pStyle w:val="3"/>
        <w:bidi w:val="0"/>
        <w:rPr>
          <w:rFonts w:hint="default"/>
          <w:color w:val="auto"/>
          <w:lang w:val="en-US" w:eastAsia="zh-CN"/>
        </w:rPr>
      </w:pPr>
      <w:bookmarkStart w:id="125" w:name="_Toc2191"/>
      <w:r>
        <w:rPr>
          <w:rFonts w:hint="default"/>
          <w:color w:val="auto"/>
          <w:lang w:val="en-US" w:eastAsia="zh-CN"/>
        </w:rPr>
        <w:t>4.5</w:t>
      </w:r>
      <w:r>
        <w:rPr>
          <w:rFonts w:hint="eastAsia"/>
          <w:color w:val="auto"/>
          <w:lang w:val="en-US" w:eastAsia="zh-CN"/>
        </w:rPr>
        <w:t xml:space="preserve"> </w:t>
      </w:r>
      <w:r>
        <w:rPr>
          <w:rFonts w:hint="default"/>
          <w:color w:val="auto"/>
          <w:lang w:val="en-US" w:eastAsia="zh-CN"/>
        </w:rPr>
        <w:t>尾矿库安全运行单元</w:t>
      </w:r>
      <w:bookmarkEnd w:id="125"/>
    </w:p>
    <w:p w14:paraId="154A10A2">
      <w:pPr>
        <w:pStyle w:val="4"/>
        <w:bidi w:val="0"/>
        <w:rPr>
          <w:rFonts w:hint="default"/>
          <w:color w:val="auto"/>
          <w:lang w:val="en-US" w:eastAsia="zh-CN"/>
        </w:rPr>
      </w:pPr>
      <w:bookmarkStart w:id="126" w:name="_Toc4456"/>
      <w:r>
        <w:rPr>
          <w:rFonts w:hint="default"/>
          <w:color w:val="auto"/>
          <w:lang w:val="en-US" w:eastAsia="zh-CN"/>
        </w:rPr>
        <w:t>4.5.1</w:t>
      </w:r>
      <w:r>
        <w:rPr>
          <w:rFonts w:hint="eastAsia"/>
          <w:color w:val="auto"/>
          <w:lang w:val="en-US" w:eastAsia="zh-CN"/>
        </w:rPr>
        <w:t xml:space="preserve"> </w:t>
      </w:r>
      <w:r>
        <w:rPr>
          <w:rFonts w:hint="default"/>
          <w:color w:val="auto"/>
          <w:lang w:val="en-US" w:eastAsia="zh-CN"/>
        </w:rPr>
        <w:t>安全检查表评估</w:t>
      </w:r>
      <w:bookmarkEnd w:id="126"/>
    </w:p>
    <w:p w14:paraId="53AE0655">
      <w:pPr>
        <w:bidi w:val="0"/>
        <w:rPr>
          <w:rFonts w:hint="default"/>
          <w:color w:val="auto"/>
          <w:lang w:val="en-US" w:eastAsia="zh-CN"/>
        </w:rPr>
      </w:pPr>
      <w:r>
        <w:rPr>
          <w:rFonts w:hint="default"/>
          <w:color w:val="auto"/>
          <w:lang w:val="en-US" w:eastAsia="zh-CN"/>
        </w:rPr>
        <w:t>运用《尾矿库安全运行评估检查表》，对杨家店尾矿库安全运行单元进行评判，具体见表</w:t>
      </w:r>
      <w:r>
        <w:rPr>
          <w:rFonts w:hint="eastAsia"/>
          <w:color w:val="auto"/>
          <w:lang w:val="en-US" w:eastAsia="zh-CN"/>
        </w:rPr>
        <w:t>4.5-1</w:t>
      </w:r>
      <w:r>
        <w:rPr>
          <w:rFonts w:hint="default"/>
          <w:color w:val="auto"/>
          <w:lang w:val="en-US" w:eastAsia="zh-CN"/>
        </w:rPr>
        <w:t>。</w:t>
      </w:r>
    </w:p>
    <w:p w14:paraId="5FA8B7FD">
      <w:pPr>
        <w:bidi w:val="0"/>
        <w:ind w:left="0" w:leftChars="0" w:firstLine="0" w:firstLineChars="0"/>
        <w:jc w:val="center"/>
        <w:rPr>
          <w:rFonts w:hint="default"/>
          <w:color w:val="auto"/>
          <w:lang w:val="en-US" w:eastAsia="zh-CN"/>
        </w:rPr>
      </w:pPr>
      <w:r>
        <w:rPr>
          <w:rFonts w:hint="default"/>
          <w:color w:val="auto"/>
          <w:lang w:val="en-US" w:eastAsia="zh-CN"/>
        </w:rPr>
        <w:t>表</w:t>
      </w:r>
      <w:r>
        <w:rPr>
          <w:rFonts w:hint="eastAsia"/>
          <w:color w:val="auto"/>
          <w:lang w:val="en-US" w:eastAsia="zh-CN"/>
        </w:rPr>
        <w:t xml:space="preserve">4.5-1 </w:t>
      </w:r>
      <w:r>
        <w:rPr>
          <w:rFonts w:hint="default"/>
          <w:color w:val="auto"/>
          <w:lang w:val="en-US" w:eastAsia="zh-CN"/>
        </w:rPr>
        <w:t>尾矿库安全运行评估检查表</w:t>
      </w:r>
    </w:p>
    <w:tbl>
      <w:tblPr>
        <w:tblStyle w:val="19"/>
        <w:tblW w:w="523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385"/>
        <w:gridCol w:w="412"/>
        <w:gridCol w:w="4198"/>
        <w:gridCol w:w="1603"/>
        <w:gridCol w:w="2254"/>
        <w:gridCol w:w="675"/>
      </w:tblGrid>
      <w:tr w14:paraId="69ED6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63" w:hRule="atLeast"/>
          <w:jc w:val="center"/>
        </w:trPr>
        <w:tc>
          <w:tcPr>
            <w:tcW w:w="202" w:type="pct"/>
            <w:noWrap w:val="0"/>
            <w:vAlign w:val="center"/>
          </w:tcPr>
          <w:p w14:paraId="139633FF">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序号</w:t>
            </w:r>
          </w:p>
        </w:tc>
        <w:tc>
          <w:tcPr>
            <w:tcW w:w="216" w:type="pct"/>
            <w:noWrap w:val="0"/>
            <w:vAlign w:val="center"/>
          </w:tcPr>
          <w:p w14:paraId="0DD681D8">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rPr>
              <w:t>项目</w:t>
            </w:r>
          </w:p>
        </w:tc>
        <w:tc>
          <w:tcPr>
            <w:tcW w:w="2202" w:type="pct"/>
            <w:noWrap w:val="0"/>
            <w:vAlign w:val="center"/>
          </w:tcPr>
          <w:p w14:paraId="6835A654">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rPr>
              <w:t>检查</w:t>
            </w:r>
            <w:r>
              <w:rPr>
                <w:rFonts w:hint="eastAsia" w:ascii="Times New Roman" w:hAnsi="Times New Roman" w:eastAsia="宋体" w:cs="Times New Roman"/>
                <w:color w:val="auto"/>
                <w:sz w:val="21"/>
                <w:szCs w:val="21"/>
              </w:rPr>
              <w:t>内容</w:t>
            </w:r>
          </w:p>
        </w:tc>
        <w:tc>
          <w:tcPr>
            <w:tcW w:w="841" w:type="pct"/>
            <w:noWrap w:val="0"/>
            <w:vAlign w:val="center"/>
          </w:tcPr>
          <w:p w14:paraId="60B89857">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rPr>
              <w:t>检查</w:t>
            </w:r>
            <w:r>
              <w:rPr>
                <w:rFonts w:hint="eastAsia" w:ascii="Times New Roman" w:hAnsi="Times New Roman" w:eastAsia="宋体" w:cs="Times New Roman"/>
                <w:color w:val="auto"/>
                <w:sz w:val="21"/>
                <w:szCs w:val="21"/>
              </w:rPr>
              <w:t>依据</w:t>
            </w:r>
          </w:p>
        </w:tc>
        <w:tc>
          <w:tcPr>
            <w:tcW w:w="1182" w:type="pct"/>
            <w:noWrap w:val="0"/>
            <w:vAlign w:val="center"/>
          </w:tcPr>
          <w:p w14:paraId="2298B376">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检查</w:t>
            </w:r>
            <w:r>
              <w:rPr>
                <w:rFonts w:hint="eastAsia" w:ascii="Times New Roman" w:hAnsi="Times New Roman" w:eastAsia="宋体" w:cs="Times New Roman"/>
                <w:color w:val="auto"/>
                <w:sz w:val="21"/>
                <w:szCs w:val="21"/>
              </w:rPr>
              <w:t>结果</w:t>
            </w:r>
          </w:p>
        </w:tc>
        <w:tc>
          <w:tcPr>
            <w:tcW w:w="354" w:type="pct"/>
            <w:noWrap w:val="0"/>
            <w:vAlign w:val="center"/>
          </w:tcPr>
          <w:p w14:paraId="55A38236">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结论</w:t>
            </w:r>
          </w:p>
        </w:tc>
      </w:tr>
      <w:tr w14:paraId="3F742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32" w:hRule="atLeast"/>
          <w:jc w:val="center"/>
        </w:trPr>
        <w:tc>
          <w:tcPr>
            <w:tcW w:w="202" w:type="pct"/>
            <w:vMerge w:val="restart"/>
            <w:noWrap w:val="0"/>
            <w:vAlign w:val="center"/>
          </w:tcPr>
          <w:p w14:paraId="650A6576">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1</w:t>
            </w:r>
          </w:p>
        </w:tc>
        <w:tc>
          <w:tcPr>
            <w:tcW w:w="216" w:type="pct"/>
            <w:vMerge w:val="restart"/>
            <w:noWrap w:val="0"/>
            <w:vAlign w:val="center"/>
          </w:tcPr>
          <w:p w14:paraId="21AA8BD0">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尾矿排放及筑坝</w:t>
            </w:r>
          </w:p>
        </w:tc>
        <w:tc>
          <w:tcPr>
            <w:tcW w:w="2202" w:type="pct"/>
            <w:noWrap w:val="0"/>
            <w:vAlign w:val="center"/>
          </w:tcPr>
          <w:p w14:paraId="1E877927">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default"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尾矿排放应符合设计及安全技术规程要求。</w:t>
            </w:r>
          </w:p>
        </w:tc>
        <w:tc>
          <w:tcPr>
            <w:tcW w:w="841" w:type="pct"/>
            <w:vMerge w:val="restart"/>
            <w:noWrap w:val="0"/>
            <w:vAlign w:val="center"/>
          </w:tcPr>
          <w:p w14:paraId="16777B42">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设计文件、</w:t>
            </w:r>
          </w:p>
          <w:p w14:paraId="2AD7BC4E">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《尾矿库安全规程》6.3.1、6.3.3、6.3.4、6.3.9、4.2条</w:t>
            </w:r>
          </w:p>
        </w:tc>
        <w:tc>
          <w:tcPr>
            <w:tcW w:w="1182" w:type="pct"/>
            <w:noWrap w:val="0"/>
            <w:vAlign w:val="center"/>
          </w:tcPr>
          <w:p w14:paraId="772BB2E3">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在坝前排放</w:t>
            </w:r>
          </w:p>
        </w:tc>
        <w:tc>
          <w:tcPr>
            <w:tcW w:w="354" w:type="pct"/>
            <w:noWrap w:val="0"/>
            <w:vAlign w:val="center"/>
          </w:tcPr>
          <w:p w14:paraId="6BE76702">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符合</w:t>
            </w:r>
          </w:p>
        </w:tc>
      </w:tr>
      <w:tr w14:paraId="200F2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56" w:hRule="atLeast"/>
          <w:jc w:val="center"/>
        </w:trPr>
        <w:tc>
          <w:tcPr>
            <w:tcW w:w="202" w:type="pct"/>
            <w:vMerge w:val="continue"/>
            <w:noWrap w:val="0"/>
            <w:vAlign w:val="center"/>
          </w:tcPr>
          <w:p w14:paraId="3A79CC8E">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p>
        </w:tc>
        <w:tc>
          <w:tcPr>
            <w:tcW w:w="216" w:type="pct"/>
            <w:vMerge w:val="continue"/>
            <w:noWrap w:val="0"/>
            <w:vAlign w:val="center"/>
          </w:tcPr>
          <w:p w14:paraId="26F4BBB5">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p>
        </w:tc>
        <w:tc>
          <w:tcPr>
            <w:tcW w:w="2202" w:type="pct"/>
            <w:noWrap w:val="0"/>
            <w:vAlign w:val="center"/>
          </w:tcPr>
          <w:p w14:paraId="634CFD94">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default"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坝顶及沉积滩面应均匀平整；滩面不应出现侧坡、扇形坡或细粒尾矿大量集中沉积于某端或某侧。</w:t>
            </w:r>
          </w:p>
        </w:tc>
        <w:tc>
          <w:tcPr>
            <w:tcW w:w="841" w:type="pct"/>
            <w:vMerge w:val="continue"/>
            <w:noWrap w:val="0"/>
            <w:vAlign w:val="center"/>
          </w:tcPr>
          <w:p w14:paraId="71B72024">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default" w:ascii="Times New Roman" w:hAnsi="Times New Roman" w:eastAsia="宋体" w:cs="Times New Roman"/>
                <w:color w:val="auto"/>
                <w:sz w:val="21"/>
                <w:szCs w:val="21"/>
                <w:lang w:val="zh-CN"/>
              </w:rPr>
            </w:pPr>
          </w:p>
        </w:tc>
        <w:tc>
          <w:tcPr>
            <w:tcW w:w="1182" w:type="pct"/>
            <w:noWrap w:val="0"/>
            <w:vAlign w:val="center"/>
          </w:tcPr>
          <w:p w14:paraId="21877CDD">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无此现象</w:t>
            </w:r>
          </w:p>
        </w:tc>
        <w:tc>
          <w:tcPr>
            <w:tcW w:w="354" w:type="pct"/>
            <w:noWrap w:val="0"/>
            <w:vAlign w:val="center"/>
          </w:tcPr>
          <w:p w14:paraId="1A4FE260">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符合</w:t>
            </w:r>
          </w:p>
        </w:tc>
      </w:tr>
      <w:tr w14:paraId="3044B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99" w:hRule="atLeast"/>
          <w:jc w:val="center"/>
        </w:trPr>
        <w:tc>
          <w:tcPr>
            <w:tcW w:w="202" w:type="pct"/>
            <w:vMerge w:val="continue"/>
            <w:noWrap w:val="0"/>
            <w:vAlign w:val="center"/>
          </w:tcPr>
          <w:p w14:paraId="79C91A84">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p>
        </w:tc>
        <w:tc>
          <w:tcPr>
            <w:tcW w:w="216" w:type="pct"/>
            <w:vMerge w:val="continue"/>
            <w:noWrap w:val="0"/>
            <w:vAlign w:val="center"/>
          </w:tcPr>
          <w:p w14:paraId="0264A8AC">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p>
        </w:tc>
        <w:tc>
          <w:tcPr>
            <w:tcW w:w="2202" w:type="pct"/>
            <w:noWrap w:val="0"/>
            <w:vAlign w:val="center"/>
          </w:tcPr>
          <w:p w14:paraId="72875B1C">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值班室是否有交接班记录。</w:t>
            </w:r>
          </w:p>
        </w:tc>
        <w:tc>
          <w:tcPr>
            <w:tcW w:w="841" w:type="pct"/>
            <w:vMerge w:val="continue"/>
            <w:noWrap w:val="0"/>
            <w:vAlign w:val="center"/>
          </w:tcPr>
          <w:p w14:paraId="2D160BD1">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default" w:ascii="Times New Roman" w:hAnsi="Times New Roman" w:eastAsia="宋体" w:cs="Times New Roman"/>
                <w:color w:val="auto"/>
                <w:sz w:val="21"/>
                <w:szCs w:val="21"/>
                <w:lang w:val="zh-CN"/>
              </w:rPr>
            </w:pPr>
          </w:p>
        </w:tc>
        <w:tc>
          <w:tcPr>
            <w:tcW w:w="1182" w:type="pct"/>
            <w:noWrap w:val="0"/>
            <w:vAlign w:val="center"/>
          </w:tcPr>
          <w:p w14:paraId="717ABDF3">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有交接班记录</w:t>
            </w:r>
          </w:p>
        </w:tc>
        <w:tc>
          <w:tcPr>
            <w:tcW w:w="354" w:type="pct"/>
            <w:noWrap w:val="0"/>
            <w:vAlign w:val="center"/>
          </w:tcPr>
          <w:p w14:paraId="347C2A71">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符合</w:t>
            </w:r>
          </w:p>
        </w:tc>
      </w:tr>
      <w:tr w14:paraId="72395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38" w:hRule="atLeast"/>
          <w:jc w:val="center"/>
        </w:trPr>
        <w:tc>
          <w:tcPr>
            <w:tcW w:w="202" w:type="pct"/>
            <w:vMerge w:val="continue"/>
            <w:noWrap w:val="0"/>
            <w:vAlign w:val="center"/>
          </w:tcPr>
          <w:p w14:paraId="3E2B4F4D">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p>
        </w:tc>
        <w:tc>
          <w:tcPr>
            <w:tcW w:w="216" w:type="pct"/>
            <w:vMerge w:val="continue"/>
            <w:noWrap w:val="0"/>
            <w:vAlign w:val="center"/>
          </w:tcPr>
          <w:p w14:paraId="482B0924">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p>
        </w:tc>
        <w:tc>
          <w:tcPr>
            <w:tcW w:w="2202" w:type="pct"/>
            <w:noWrap w:val="0"/>
            <w:vAlign w:val="center"/>
          </w:tcPr>
          <w:p w14:paraId="6EEA9199">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按设计要求的高度和坡度堆筑子坝。</w:t>
            </w:r>
          </w:p>
        </w:tc>
        <w:tc>
          <w:tcPr>
            <w:tcW w:w="841" w:type="pct"/>
            <w:vMerge w:val="continue"/>
            <w:noWrap w:val="0"/>
            <w:vAlign w:val="center"/>
          </w:tcPr>
          <w:p w14:paraId="4B19A824">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default" w:ascii="Times New Roman" w:hAnsi="Times New Roman" w:eastAsia="宋体" w:cs="Times New Roman"/>
                <w:color w:val="auto"/>
                <w:sz w:val="21"/>
                <w:szCs w:val="21"/>
                <w:lang w:val="zh-CN"/>
              </w:rPr>
            </w:pPr>
          </w:p>
        </w:tc>
        <w:tc>
          <w:tcPr>
            <w:tcW w:w="1182" w:type="pct"/>
            <w:noWrap w:val="0"/>
            <w:vAlign w:val="center"/>
          </w:tcPr>
          <w:p w14:paraId="41E7BDD7">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尾矿充填模袋筑坝</w:t>
            </w:r>
          </w:p>
        </w:tc>
        <w:tc>
          <w:tcPr>
            <w:tcW w:w="354" w:type="pct"/>
            <w:noWrap w:val="0"/>
            <w:vAlign w:val="center"/>
          </w:tcPr>
          <w:p w14:paraId="74EE6D7F">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符合</w:t>
            </w:r>
          </w:p>
        </w:tc>
      </w:tr>
      <w:tr w14:paraId="14573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96" w:hRule="atLeast"/>
          <w:jc w:val="center"/>
        </w:trPr>
        <w:tc>
          <w:tcPr>
            <w:tcW w:w="202" w:type="pct"/>
            <w:vMerge w:val="continue"/>
            <w:noWrap w:val="0"/>
            <w:vAlign w:val="center"/>
          </w:tcPr>
          <w:p w14:paraId="40E42229">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p>
        </w:tc>
        <w:tc>
          <w:tcPr>
            <w:tcW w:w="216" w:type="pct"/>
            <w:vMerge w:val="continue"/>
            <w:noWrap w:val="0"/>
            <w:vAlign w:val="center"/>
          </w:tcPr>
          <w:p w14:paraId="1A65B34E">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p>
        </w:tc>
        <w:tc>
          <w:tcPr>
            <w:tcW w:w="2202" w:type="pct"/>
            <w:noWrap w:val="0"/>
            <w:vAlign w:val="center"/>
          </w:tcPr>
          <w:p w14:paraId="69B0CF99">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采用干堆工艺时，排入库内的尾矿应整平、碾压堆存。</w:t>
            </w:r>
          </w:p>
        </w:tc>
        <w:tc>
          <w:tcPr>
            <w:tcW w:w="841" w:type="pct"/>
            <w:vMerge w:val="continue"/>
            <w:noWrap w:val="0"/>
            <w:vAlign w:val="center"/>
          </w:tcPr>
          <w:p w14:paraId="62B87A79">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p>
        </w:tc>
        <w:tc>
          <w:tcPr>
            <w:tcW w:w="1182" w:type="pct"/>
            <w:noWrap w:val="0"/>
            <w:vAlign w:val="center"/>
          </w:tcPr>
          <w:p w14:paraId="7D43323A">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尾矿湿排</w:t>
            </w:r>
          </w:p>
        </w:tc>
        <w:tc>
          <w:tcPr>
            <w:tcW w:w="354" w:type="pct"/>
            <w:noWrap w:val="0"/>
            <w:vAlign w:val="center"/>
          </w:tcPr>
          <w:p w14:paraId="3566C58E">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无此项</w:t>
            </w:r>
          </w:p>
        </w:tc>
      </w:tr>
      <w:tr w14:paraId="6300A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02" w:hRule="atLeast"/>
          <w:jc w:val="center"/>
        </w:trPr>
        <w:tc>
          <w:tcPr>
            <w:tcW w:w="202" w:type="pct"/>
            <w:vMerge w:val="continue"/>
            <w:noWrap w:val="0"/>
            <w:vAlign w:val="center"/>
          </w:tcPr>
          <w:p w14:paraId="292A72CC">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p>
        </w:tc>
        <w:tc>
          <w:tcPr>
            <w:tcW w:w="216" w:type="pct"/>
            <w:vMerge w:val="continue"/>
            <w:noWrap w:val="0"/>
            <w:vAlign w:val="center"/>
          </w:tcPr>
          <w:p w14:paraId="3C80725E">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p>
        </w:tc>
        <w:tc>
          <w:tcPr>
            <w:tcW w:w="2202" w:type="pct"/>
            <w:noWrap w:val="0"/>
            <w:vAlign w:val="center"/>
          </w:tcPr>
          <w:p w14:paraId="5A78F0E6">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干式堆存尾矿库不得干湿混排。</w:t>
            </w:r>
          </w:p>
        </w:tc>
        <w:tc>
          <w:tcPr>
            <w:tcW w:w="841" w:type="pct"/>
            <w:vMerge w:val="continue"/>
            <w:noWrap w:val="0"/>
            <w:vAlign w:val="center"/>
          </w:tcPr>
          <w:p w14:paraId="72B166EC">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default" w:ascii="Times New Roman" w:hAnsi="Times New Roman" w:eastAsia="宋体" w:cs="Times New Roman"/>
                <w:color w:val="auto"/>
                <w:sz w:val="21"/>
                <w:szCs w:val="21"/>
                <w:lang w:val="zh-CN"/>
              </w:rPr>
            </w:pPr>
          </w:p>
        </w:tc>
        <w:tc>
          <w:tcPr>
            <w:tcW w:w="1182" w:type="pct"/>
            <w:noWrap w:val="0"/>
            <w:vAlign w:val="center"/>
          </w:tcPr>
          <w:p w14:paraId="04E2B986">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尾矿湿排</w:t>
            </w:r>
          </w:p>
        </w:tc>
        <w:tc>
          <w:tcPr>
            <w:tcW w:w="354" w:type="pct"/>
            <w:noWrap w:val="0"/>
            <w:vAlign w:val="center"/>
          </w:tcPr>
          <w:p w14:paraId="58C31C8E">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无此项</w:t>
            </w:r>
          </w:p>
        </w:tc>
      </w:tr>
      <w:tr w14:paraId="6CC21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77" w:hRule="atLeast"/>
          <w:jc w:val="center"/>
        </w:trPr>
        <w:tc>
          <w:tcPr>
            <w:tcW w:w="202" w:type="pct"/>
            <w:vMerge w:val="restart"/>
            <w:noWrap w:val="0"/>
            <w:vAlign w:val="center"/>
          </w:tcPr>
          <w:p w14:paraId="1ABF8947">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2</w:t>
            </w:r>
          </w:p>
        </w:tc>
        <w:tc>
          <w:tcPr>
            <w:tcW w:w="216" w:type="pct"/>
            <w:vMerge w:val="restart"/>
            <w:noWrap w:val="0"/>
            <w:vAlign w:val="center"/>
          </w:tcPr>
          <w:p w14:paraId="48AED5D8">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水位控制</w:t>
            </w:r>
          </w:p>
        </w:tc>
        <w:tc>
          <w:tcPr>
            <w:tcW w:w="2202" w:type="pct"/>
            <w:noWrap w:val="0"/>
            <w:vAlign w:val="center"/>
          </w:tcPr>
          <w:p w14:paraId="26602B83">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应有防排洪设施日常检查记录。</w:t>
            </w:r>
          </w:p>
        </w:tc>
        <w:tc>
          <w:tcPr>
            <w:tcW w:w="841" w:type="pct"/>
            <w:vMerge w:val="restart"/>
            <w:noWrap w:val="0"/>
            <w:vAlign w:val="center"/>
          </w:tcPr>
          <w:p w14:paraId="20904151">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default"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设计文件、《尾矿库安全规程》6.1.7、6.4.5、6.4.7条、《尾矿库安全生产标准化评分办法》5.2“水位控制与防汛”、6“检查”</w:t>
            </w:r>
          </w:p>
        </w:tc>
        <w:tc>
          <w:tcPr>
            <w:tcW w:w="1182" w:type="pct"/>
            <w:noWrap w:val="0"/>
            <w:vAlign w:val="center"/>
          </w:tcPr>
          <w:p w14:paraId="426D0D37">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有检查记录</w:t>
            </w:r>
          </w:p>
        </w:tc>
        <w:tc>
          <w:tcPr>
            <w:tcW w:w="354" w:type="pct"/>
            <w:noWrap w:val="0"/>
            <w:vAlign w:val="center"/>
          </w:tcPr>
          <w:p w14:paraId="0CA0F802">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符合</w:t>
            </w:r>
          </w:p>
        </w:tc>
      </w:tr>
      <w:tr w14:paraId="7FFE4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72" w:hRule="atLeast"/>
          <w:jc w:val="center"/>
        </w:trPr>
        <w:tc>
          <w:tcPr>
            <w:tcW w:w="202" w:type="pct"/>
            <w:vMerge w:val="continue"/>
            <w:noWrap w:val="0"/>
            <w:vAlign w:val="center"/>
          </w:tcPr>
          <w:p w14:paraId="79F071F9">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p>
        </w:tc>
        <w:tc>
          <w:tcPr>
            <w:tcW w:w="216" w:type="pct"/>
            <w:vMerge w:val="continue"/>
            <w:noWrap w:val="0"/>
            <w:vAlign w:val="center"/>
          </w:tcPr>
          <w:p w14:paraId="0C535390">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p>
        </w:tc>
        <w:tc>
          <w:tcPr>
            <w:tcW w:w="2202" w:type="pct"/>
            <w:noWrap w:val="0"/>
            <w:vAlign w:val="center"/>
          </w:tcPr>
          <w:p w14:paraId="30AA852C">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水边线应与坝轴线基本保持平行。</w:t>
            </w:r>
          </w:p>
        </w:tc>
        <w:tc>
          <w:tcPr>
            <w:tcW w:w="841" w:type="pct"/>
            <w:vMerge w:val="continue"/>
            <w:noWrap w:val="0"/>
            <w:vAlign w:val="center"/>
          </w:tcPr>
          <w:p w14:paraId="6DE6BC7E">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default" w:ascii="Times New Roman" w:hAnsi="Times New Roman" w:eastAsia="宋体" w:cs="Times New Roman"/>
                <w:color w:val="auto"/>
                <w:sz w:val="21"/>
                <w:szCs w:val="21"/>
                <w:lang w:val="zh-CN"/>
              </w:rPr>
            </w:pPr>
          </w:p>
        </w:tc>
        <w:tc>
          <w:tcPr>
            <w:tcW w:w="1182" w:type="pct"/>
            <w:noWrap w:val="0"/>
            <w:vAlign w:val="center"/>
          </w:tcPr>
          <w:p w14:paraId="540FBAE0">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基本平行</w:t>
            </w:r>
          </w:p>
        </w:tc>
        <w:tc>
          <w:tcPr>
            <w:tcW w:w="354" w:type="pct"/>
            <w:noWrap w:val="0"/>
            <w:vAlign w:val="center"/>
          </w:tcPr>
          <w:p w14:paraId="09B8EFCD">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符合</w:t>
            </w:r>
          </w:p>
        </w:tc>
      </w:tr>
      <w:tr w14:paraId="6002A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92" w:hRule="atLeast"/>
          <w:jc w:val="center"/>
        </w:trPr>
        <w:tc>
          <w:tcPr>
            <w:tcW w:w="202" w:type="pct"/>
            <w:vMerge w:val="continue"/>
            <w:noWrap w:val="0"/>
            <w:vAlign w:val="center"/>
          </w:tcPr>
          <w:p w14:paraId="44A33DB0">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p>
        </w:tc>
        <w:tc>
          <w:tcPr>
            <w:tcW w:w="216" w:type="pct"/>
            <w:vMerge w:val="continue"/>
            <w:noWrap w:val="0"/>
            <w:vAlign w:val="center"/>
          </w:tcPr>
          <w:p w14:paraId="355DCA4C">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p>
        </w:tc>
        <w:tc>
          <w:tcPr>
            <w:tcW w:w="2202" w:type="pct"/>
            <w:noWrap w:val="0"/>
            <w:vAlign w:val="center"/>
          </w:tcPr>
          <w:p w14:paraId="5AC28337">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在排水构筑物上或尾矿库内适当地点，应设置清晰醒目的水位标尺，标明正常运行水位和警戒水位。</w:t>
            </w:r>
          </w:p>
        </w:tc>
        <w:tc>
          <w:tcPr>
            <w:tcW w:w="841" w:type="pct"/>
            <w:vMerge w:val="continue"/>
            <w:noWrap w:val="0"/>
            <w:vAlign w:val="center"/>
          </w:tcPr>
          <w:p w14:paraId="4B6ED3F7">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default" w:ascii="Times New Roman" w:hAnsi="Times New Roman" w:eastAsia="宋体" w:cs="Times New Roman"/>
                <w:color w:val="auto"/>
                <w:sz w:val="21"/>
                <w:szCs w:val="21"/>
                <w:lang w:val="zh-CN"/>
              </w:rPr>
            </w:pPr>
          </w:p>
        </w:tc>
        <w:tc>
          <w:tcPr>
            <w:tcW w:w="1182" w:type="pct"/>
            <w:noWrap w:val="0"/>
            <w:vAlign w:val="center"/>
          </w:tcPr>
          <w:p w14:paraId="626EAB60">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排水</w:t>
            </w:r>
            <w:r>
              <w:rPr>
                <w:rFonts w:hint="eastAsia" w:cs="Times New Roman"/>
                <w:color w:val="auto"/>
                <w:sz w:val="21"/>
                <w:szCs w:val="21"/>
                <w:lang w:val="en-US" w:eastAsia="zh-CN"/>
              </w:rPr>
              <w:t>井</w:t>
            </w:r>
            <w:r>
              <w:rPr>
                <w:rFonts w:hint="eastAsia" w:ascii="Times New Roman" w:hAnsi="Times New Roman" w:eastAsia="宋体" w:cs="Times New Roman"/>
                <w:color w:val="auto"/>
                <w:sz w:val="21"/>
                <w:szCs w:val="21"/>
                <w:lang w:val="zh-CN"/>
              </w:rPr>
              <w:t>设有库水位标尺，标明了警戒水位</w:t>
            </w:r>
          </w:p>
        </w:tc>
        <w:tc>
          <w:tcPr>
            <w:tcW w:w="354" w:type="pct"/>
            <w:noWrap w:val="0"/>
            <w:vAlign w:val="center"/>
          </w:tcPr>
          <w:p w14:paraId="5EF65019">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符合</w:t>
            </w:r>
          </w:p>
        </w:tc>
      </w:tr>
      <w:tr w14:paraId="67BFD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92" w:hRule="atLeast"/>
          <w:jc w:val="center"/>
        </w:trPr>
        <w:tc>
          <w:tcPr>
            <w:tcW w:w="202" w:type="pct"/>
            <w:vMerge w:val="continue"/>
            <w:noWrap w:val="0"/>
            <w:vAlign w:val="center"/>
          </w:tcPr>
          <w:p w14:paraId="0CE4F26A">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p>
        </w:tc>
        <w:tc>
          <w:tcPr>
            <w:tcW w:w="216" w:type="pct"/>
            <w:vMerge w:val="continue"/>
            <w:noWrap w:val="0"/>
            <w:vAlign w:val="center"/>
          </w:tcPr>
          <w:p w14:paraId="6C348D9A">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p>
        </w:tc>
        <w:tc>
          <w:tcPr>
            <w:tcW w:w="2202" w:type="pct"/>
            <w:noWrap w:val="0"/>
            <w:vAlign w:val="center"/>
          </w:tcPr>
          <w:p w14:paraId="43D69D5A">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default"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汛期前应对防排洪设施进行检查、维修和疏浚，确保排洪设施畅通、完好。根据确定的排洪底坎高程，将排洪底坎以上1.5倍调洪高度内的挡板全部打开，清除排洪口前水面漂浮物。</w:t>
            </w:r>
          </w:p>
        </w:tc>
        <w:tc>
          <w:tcPr>
            <w:tcW w:w="841" w:type="pct"/>
            <w:vMerge w:val="continue"/>
            <w:noWrap w:val="0"/>
            <w:vAlign w:val="center"/>
          </w:tcPr>
          <w:p w14:paraId="5B97E9B9">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default" w:ascii="Times New Roman" w:hAnsi="Times New Roman" w:eastAsia="宋体" w:cs="Times New Roman"/>
                <w:color w:val="auto"/>
                <w:sz w:val="21"/>
                <w:szCs w:val="21"/>
                <w:lang w:val="zh-CN"/>
              </w:rPr>
            </w:pPr>
          </w:p>
        </w:tc>
        <w:tc>
          <w:tcPr>
            <w:tcW w:w="1182" w:type="pct"/>
            <w:noWrap w:val="0"/>
            <w:vAlign w:val="center"/>
          </w:tcPr>
          <w:p w14:paraId="37123074">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有排洪设施检查记录，排洪设施畅通完好。排洪口前面无漂浮物</w:t>
            </w:r>
          </w:p>
        </w:tc>
        <w:tc>
          <w:tcPr>
            <w:tcW w:w="354" w:type="pct"/>
            <w:noWrap w:val="0"/>
            <w:vAlign w:val="center"/>
          </w:tcPr>
          <w:p w14:paraId="1AB025E9">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符合</w:t>
            </w:r>
          </w:p>
        </w:tc>
      </w:tr>
      <w:tr w14:paraId="37B0E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64" w:hRule="atLeast"/>
          <w:jc w:val="center"/>
        </w:trPr>
        <w:tc>
          <w:tcPr>
            <w:tcW w:w="202" w:type="pct"/>
            <w:vMerge w:val="continue"/>
            <w:noWrap w:val="0"/>
            <w:vAlign w:val="center"/>
          </w:tcPr>
          <w:p w14:paraId="281DB3C9">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p>
        </w:tc>
        <w:tc>
          <w:tcPr>
            <w:tcW w:w="216" w:type="pct"/>
            <w:vMerge w:val="continue"/>
            <w:noWrap w:val="0"/>
            <w:vAlign w:val="center"/>
          </w:tcPr>
          <w:p w14:paraId="5B47F73B">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p>
        </w:tc>
        <w:tc>
          <w:tcPr>
            <w:tcW w:w="2202" w:type="pct"/>
            <w:noWrap w:val="0"/>
            <w:vAlign w:val="center"/>
          </w:tcPr>
          <w:p w14:paraId="417011ED">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default"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洪水过后应对防排洪设施进行全面认真的检查与清理，发现问题及时修复。</w:t>
            </w:r>
          </w:p>
        </w:tc>
        <w:tc>
          <w:tcPr>
            <w:tcW w:w="841" w:type="pct"/>
            <w:vMerge w:val="continue"/>
            <w:noWrap w:val="0"/>
            <w:vAlign w:val="center"/>
          </w:tcPr>
          <w:p w14:paraId="3C25D98D">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default" w:ascii="Times New Roman" w:hAnsi="Times New Roman" w:eastAsia="宋体" w:cs="Times New Roman"/>
                <w:color w:val="auto"/>
                <w:sz w:val="21"/>
                <w:szCs w:val="21"/>
                <w:lang w:val="zh-CN"/>
              </w:rPr>
            </w:pPr>
          </w:p>
        </w:tc>
        <w:tc>
          <w:tcPr>
            <w:tcW w:w="1182" w:type="pct"/>
            <w:noWrap w:val="0"/>
            <w:vAlign w:val="center"/>
          </w:tcPr>
          <w:p w14:paraId="4D42CD2D">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排洪设施工况正常</w:t>
            </w:r>
          </w:p>
        </w:tc>
        <w:tc>
          <w:tcPr>
            <w:tcW w:w="354" w:type="pct"/>
            <w:noWrap w:val="0"/>
            <w:vAlign w:val="center"/>
          </w:tcPr>
          <w:p w14:paraId="72E203B1">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符合</w:t>
            </w:r>
          </w:p>
        </w:tc>
      </w:tr>
      <w:tr w14:paraId="513F3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202" w:type="pct"/>
            <w:vMerge w:val="restart"/>
            <w:noWrap w:val="0"/>
            <w:vAlign w:val="center"/>
          </w:tcPr>
          <w:p w14:paraId="4982A342">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3</w:t>
            </w:r>
          </w:p>
        </w:tc>
        <w:tc>
          <w:tcPr>
            <w:tcW w:w="216" w:type="pct"/>
            <w:vMerge w:val="restart"/>
            <w:noWrap w:val="0"/>
            <w:vAlign w:val="center"/>
          </w:tcPr>
          <w:p w14:paraId="39F991CB">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渗流控制</w:t>
            </w:r>
          </w:p>
        </w:tc>
        <w:tc>
          <w:tcPr>
            <w:tcW w:w="2202" w:type="pct"/>
            <w:noWrap w:val="0"/>
            <w:vAlign w:val="center"/>
          </w:tcPr>
          <w:p w14:paraId="08FDEA83">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default"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尾矿库运行期间坝体浸润线严格按设计要求观测。</w:t>
            </w:r>
          </w:p>
        </w:tc>
        <w:tc>
          <w:tcPr>
            <w:tcW w:w="841" w:type="pct"/>
            <w:vMerge w:val="restart"/>
            <w:noWrap w:val="0"/>
            <w:vAlign w:val="center"/>
          </w:tcPr>
          <w:p w14:paraId="1AA557F1">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default"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设计文件、《尾矿库安全规程》6.5.1、6.5.2、6.7.1、6.3.12、9.3.5、9.5.4条</w:t>
            </w:r>
          </w:p>
        </w:tc>
        <w:tc>
          <w:tcPr>
            <w:tcW w:w="1182" w:type="pct"/>
            <w:noWrap w:val="0"/>
            <w:vAlign w:val="center"/>
          </w:tcPr>
          <w:p w14:paraId="3A13D4B4">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有浸润线观测孔</w:t>
            </w:r>
          </w:p>
        </w:tc>
        <w:tc>
          <w:tcPr>
            <w:tcW w:w="354" w:type="pct"/>
            <w:vMerge w:val="restart"/>
            <w:noWrap w:val="0"/>
            <w:vAlign w:val="center"/>
          </w:tcPr>
          <w:p w14:paraId="51ED47B6">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尾矿坝无渗透水出逸现象，运行工况正常</w:t>
            </w:r>
          </w:p>
        </w:tc>
      </w:tr>
      <w:tr w14:paraId="11789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202" w:type="pct"/>
            <w:vMerge w:val="continue"/>
            <w:noWrap w:val="0"/>
            <w:vAlign w:val="center"/>
          </w:tcPr>
          <w:p w14:paraId="028769C8">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p>
        </w:tc>
        <w:tc>
          <w:tcPr>
            <w:tcW w:w="216" w:type="pct"/>
            <w:vMerge w:val="continue"/>
            <w:noWrap w:val="0"/>
            <w:vAlign w:val="center"/>
          </w:tcPr>
          <w:p w14:paraId="55809A0E">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p>
        </w:tc>
        <w:tc>
          <w:tcPr>
            <w:tcW w:w="2202" w:type="pct"/>
            <w:noWrap w:val="0"/>
            <w:vAlign w:val="center"/>
          </w:tcPr>
          <w:p w14:paraId="43A65181">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default"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坝体浸润线超过控制标准，应采取相应措施。</w:t>
            </w:r>
          </w:p>
        </w:tc>
        <w:tc>
          <w:tcPr>
            <w:tcW w:w="841" w:type="pct"/>
            <w:vMerge w:val="continue"/>
            <w:noWrap w:val="0"/>
            <w:vAlign w:val="center"/>
          </w:tcPr>
          <w:p w14:paraId="17944F07">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default" w:ascii="Times New Roman" w:hAnsi="Times New Roman" w:eastAsia="宋体" w:cs="Times New Roman"/>
                <w:color w:val="auto"/>
                <w:sz w:val="21"/>
                <w:szCs w:val="21"/>
                <w:lang w:val="zh-CN"/>
              </w:rPr>
            </w:pPr>
          </w:p>
        </w:tc>
        <w:tc>
          <w:tcPr>
            <w:tcW w:w="1182" w:type="pct"/>
            <w:noWrap w:val="0"/>
            <w:vAlign w:val="center"/>
          </w:tcPr>
          <w:p w14:paraId="20451B9E">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无此现象</w:t>
            </w:r>
          </w:p>
        </w:tc>
        <w:tc>
          <w:tcPr>
            <w:tcW w:w="354" w:type="pct"/>
            <w:vMerge w:val="continue"/>
            <w:noWrap w:val="0"/>
            <w:vAlign w:val="center"/>
          </w:tcPr>
          <w:p w14:paraId="116272AE">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p>
        </w:tc>
      </w:tr>
      <w:tr w14:paraId="60BB3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202" w:type="pct"/>
            <w:vMerge w:val="continue"/>
            <w:noWrap w:val="0"/>
            <w:vAlign w:val="center"/>
          </w:tcPr>
          <w:p w14:paraId="343FB4E2">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p>
        </w:tc>
        <w:tc>
          <w:tcPr>
            <w:tcW w:w="216" w:type="pct"/>
            <w:vMerge w:val="continue"/>
            <w:noWrap w:val="0"/>
            <w:vAlign w:val="center"/>
          </w:tcPr>
          <w:p w14:paraId="251099E1">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p>
        </w:tc>
        <w:tc>
          <w:tcPr>
            <w:tcW w:w="2202" w:type="pct"/>
            <w:noWrap w:val="0"/>
            <w:vAlign w:val="center"/>
          </w:tcPr>
          <w:p w14:paraId="59BDBAFD">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default"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当坝面或坝肩出现集中渗流、流土、管涌、大面积沼泽化、渗水量增大或渗水变浑等异常现象时，应采取相应处理措施。</w:t>
            </w:r>
          </w:p>
        </w:tc>
        <w:tc>
          <w:tcPr>
            <w:tcW w:w="841" w:type="pct"/>
            <w:vMerge w:val="continue"/>
            <w:noWrap w:val="0"/>
            <w:vAlign w:val="center"/>
          </w:tcPr>
          <w:p w14:paraId="7A61D4E5">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default" w:ascii="Times New Roman" w:hAnsi="Times New Roman" w:eastAsia="宋体" w:cs="Times New Roman"/>
                <w:color w:val="auto"/>
                <w:sz w:val="21"/>
                <w:szCs w:val="21"/>
                <w:lang w:val="zh-CN"/>
              </w:rPr>
            </w:pPr>
          </w:p>
        </w:tc>
        <w:tc>
          <w:tcPr>
            <w:tcW w:w="1182" w:type="pct"/>
            <w:noWrap w:val="0"/>
            <w:vAlign w:val="center"/>
          </w:tcPr>
          <w:p w14:paraId="681AC214">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无此现象</w:t>
            </w:r>
          </w:p>
        </w:tc>
        <w:tc>
          <w:tcPr>
            <w:tcW w:w="354" w:type="pct"/>
            <w:vMerge w:val="continue"/>
            <w:noWrap w:val="0"/>
            <w:vAlign w:val="center"/>
          </w:tcPr>
          <w:p w14:paraId="4BE9D932">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p>
        </w:tc>
      </w:tr>
      <w:tr w14:paraId="58209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202" w:type="pct"/>
            <w:vMerge w:val="continue"/>
            <w:noWrap w:val="0"/>
            <w:vAlign w:val="center"/>
          </w:tcPr>
          <w:p w14:paraId="4103413B">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p>
        </w:tc>
        <w:tc>
          <w:tcPr>
            <w:tcW w:w="216" w:type="pct"/>
            <w:vMerge w:val="continue"/>
            <w:noWrap w:val="0"/>
            <w:vAlign w:val="center"/>
          </w:tcPr>
          <w:p w14:paraId="63493CAC">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p>
        </w:tc>
        <w:tc>
          <w:tcPr>
            <w:tcW w:w="2202" w:type="pct"/>
            <w:noWrap w:val="0"/>
            <w:vAlign w:val="center"/>
          </w:tcPr>
          <w:p w14:paraId="44267AC3">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default"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检查坝体排渗设施，应查明排渗设施是否完好、排渗效果及排水水质。</w:t>
            </w:r>
          </w:p>
        </w:tc>
        <w:tc>
          <w:tcPr>
            <w:tcW w:w="841" w:type="pct"/>
            <w:vMerge w:val="continue"/>
            <w:noWrap w:val="0"/>
            <w:vAlign w:val="center"/>
          </w:tcPr>
          <w:p w14:paraId="7ED4F21B">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default" w:ascii="Times New Roman" w:hAnsi="Times New Roman" w:eastAsia="宋体" w:cs="Times New Roman"/>
                <w:color w:val="auto"/>
                <w:sz w:val="21"/>
                <w:szCs w:val="21"/>
                <w:lang w:val="zh-CN"/>
              </w:rPr>
            </w:pPr>
          </w:p>
        </w:tc>
        <w:tc>
          <w:tcPr>
            <w:tcW w:w="1182" w:type="pct"/>
            <w:noWrap w:val="0"/>
            <w:vAlign w:val="center"/>
          </w:tcPr>
          <w:p w14:paraId="78FA973E">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坝基设有排渗褥垫</w:t>
            </w:r>
          </w:p>
        </w:tc>
        <w:tc>
          <w:tcPr>
            <w:tcW w:w="354" w:type="pct"/>
            <w:vMerge w:val="continue"/>
            <w:noWrap w:val="0"/>
            <w:vAlign w:val="center"/>
          </w:tcPr>
          <w:p w14:paraId="03F838B0">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p>
        </w:tc>
      </w:tr>
      <w:tr w14:paraId="44228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202" w:type="pct"/>
            <w:vMerge w:val="restart"/>
            <w:noWrap w:val="0"/>
            <w:vAlign w:val="center"/>
          </w:tcPr>
          <w:p w14:paraId="313ACEDA">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4</w:t>
            </w:r>
          </w:p>
        </w:tc>
        <w:tc>
          <w:tcPr>
            <w:tcW w:w="216" w:type="pct"/>
            <w:vMerge w:val="restart"/>
            <w:noWrap w:val="0"/>
            <w:vAlign w:val="center"/>
          </w:tcPr>
          <w:p w14:paraId="22304FC2">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监测设施</w:t>
            </w:r>
          </w:p>
        </w:tc>
        <w:tc>
          <w:tcPr>
            <w:tcW w:w="2202" w:type="pct"/>
            <w:noWrap w:val="0"/>
            <w:vAlign w:val="center"/>
          </w:tcPr>
          <w:p w14:paraId="436EAB1D">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监测设施的设置与设计是否符合。</w:t>
            </w:r>
          </w:p>
        </w:tc>
        <w:tc>
          <w:tcPr>
            <w:tcW w:w="841" w:type="pct"/>
            <w:vMerge w:val="restart"/>
            <w:noWrap w:val="0"/>
            <w:vAlign w:val="center"/>
          </w:tcPr>
          <w:p w14:paraId="338F64BC">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default"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设计文件、《尾矿库安全规程》6.7.1、6.7.2、6.7.8条</w:t>
            </w:r>
          </w:p>
        </w:tc>
        <w:tc>
          <w:tcPr>
            <w:tcW w:w="1182" w:type="pct"/>
            <w:vMerge w:val="restart"/>
            <w:noWrap w:val="0"/>
            <w:vAlign w:val="center"/>
          </w:tcPr>
          <w:p w14:paraId="55A8629B">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设有坝体位移沉降观测桩、浸润线观测孔、库水位标尺、视频监控仪等监测设施</w:t>
            </w:r>
          </w:p>
        </w:tc>
        <w:tc>
          <w:tcPr>
            <w:tcW w:w="354" w:type="pct"/>
            <w:vMerge w:val="restart"/>
            <w:noWrap w:val="0"/>
            <w:vAlign w:val="center"/>
          </w:tcPr>
          <w:p w14:paraId="241DB70E">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符合</w:t>
            </w:r>
          </w:p>
        </w:tc>
      </w:tr>
      <w:tr w14:paraId="7DC4EF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202" w:type="pct"/>
            <w:vMerge w:val="continue"/>
            <w:noWrap w:val="0"/>
            <w:vAlign w:val="center"/>
          </w:tcPr>
          <w:p w14:paraId="23D3D3EA">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p>
        </w:tc>
        <w:tc>
          <w:tcPr>
            <w:tcW w:w="216" w:type="pct"/>
            <w:vMerge w:val="continue"/>
            <w:noWrap w:val="0"/>
            <w:vAlign w:val="center"/>
          </w:tcPr>
          <w:p w14:paraId="44C66357">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p>
        </w:tc>
        <w:tc>
          <w:tcPr>
            <w:tcW w:w="2202" w:type="pct"/>
            <w:noWrap w:val="0"/>
            <w:vAlign w:val="center"/>
          </w:tcPr>
          <w:p w14:paraId="5D4211A5">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尾矿坝的位移监测每年不少于4次，位移异常变化时应增加监测次数；尾矿坝的水位监测包括库水位监测和浸润线监测；水位监测每月不少于1次，暴雨期间和水位异常波动时应增加监测次数。</w:t>
            </w:r>
          </w:p>
        </w:tc>
        <w:tc>
          <w:tcPr>
            <w:tcW w:w="841" w:type="pct"/>
            <w:vMerge w:val="continue"/>
            <w:noWrap w:val="0"/>
            <w:vAlign w:val="center"/>
          </w:tcPr>
          <w:p w14:paraId="55B1F138">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default" w:ascii="Times New Roman" w:hAnsi="Times New Roman" w:eastAsia="宋体" w:cs="Times New Roman"/>
                <w:color w:val="auto"/>
                <w:sz w:val="21"/>
                <w:szCs w:val="21"/>
                <w:lang w:val="zh-CN"/>
              </w:rPr>
            </w:pPr>
          </w:p>
        </w:tc>
        <w:tc>
          <w:tcPr>
            <w:tcW w:w="1182" w:type="pct"/>
            <w:vMerge w:val="continue"/>
            <w:noWrap w:val="0"/>
            <w:vAlign w:val="center"/>
          </w:tcPr>
          <w:p w14:paraId="524D498F">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default" w:ascii="Times New Roman" w:hAnsi="Times New Roman" w:eastAsia="宋体" w:cs="Times New Roman"/>
                <w:color w:val="auto"/>
                <w:sz w:val="21"/>
                <w:szCs w:val="21"/>
                <w:lang w:val="zh-CN"/>
              </w:rPr>
            </w:pPr>
          </w:p>
        </w:tc>
        <w:tc>
          <w:tcPr>
            <w:tcW w:w="354" w:type="pct"/>
            <w:vMerge w:val="continue"/>
            <w:noWrap w:val="0"/>
            <w:vAlign w:val="center"/>
          </w:tcPr>
          <w:p w14:paraId="6F41DB3B">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default" w:ascii="Times New Roman" w:hAnsi="Times New Roman" w:eastAsia="宋体" w:cs="Times New Roman"/>
                <w:color w:val="auto"/>
                <w:sz w:val="21"/>
                <w:szCs w:val="21"/>
                <w:lang w:val="zh-CN"/>
              </w:rPr>
            </w:pPr>
          </w:p>
        </w:tc>
      </w:tr>
      <w:tr w14:paraId="7786A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202" w:type="pct"/>
            <w:vMerge w:val="continue"/>
            <w:noWrap w:val="0"/>
            <w:vAlign w:val="center"/>
          </w:tcPr>
          <w:p w14:paraId="23166ECF">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p>
        </w:tc>
        <w:tc>
          <w:tcPr>
            <w:tcW w:w="216" w:type="pct"/>
            <w:vMerge w:val="continue"/>
            <w:noWrap w:val="0"/>
            <w:vAlign w:val="center"/>
          </w:tcPr>
          <w:p w14:paraId="557C42C1">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p>
        </w:tc>
        <w:tc>
          <w:tcPr>
            <w:tcW w:w="2202" w:type="pct"/>
            <w:noWrap w:val="0"/>
            <w:vAlign w:val="center"/>
          </w:tcPr>
          <w:p w14:paraId="25A3381C">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监测数据必须连续、完整。</w:t>
            </w:r>
          </w:p>
        </w:tc>
        <w:tc>
          <w:tcPr>
            <w:tcW w:w="841" w:type="pct"/>
            <w:vMerge w:val="continue"/>
            <w:noWrap w:val="0"/>
            <w:vAlign w:val="center"/>
          </w:tcPr>
          <w:p w14:paraId="2DE455AE">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default" w:ascii="Times New Roman" w:hAnsi="Times New Roman" w:eastAsia="宋体" w:cs="Times New Roman"/>
                <w:color w:val="auto"/>
                <w:sz w:val="21"/>
                <w:szCs w:val="21"/>
                <w:lang w:val="zh-CN"/>
              </w:rPr>
            </w:pPr>
          </w:p>
        </w:tc>
        <w:tc>
          <w:tcPr>
            <w:tcW w:w="1182" w:type="pct"/>
            <w:vMerge w:val="continue"/>
            <w:noWrap w:val="0"/>
            <w:vAlign w:val="center"/>
          </w:tcPr>
          <w:p w14:paraId="022DA3CA">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default" w:ascii="Times New Roman" w:hAnsi="Times New Roman" w:eastAsia="宋体" w:cs="Times New Roman"/>
                <w:color w:val="auto"/>
                <w:sz w:val="21"/>
                <w:szCs w:val="21"/>
                <w:lang w:val="zh-CN"/>
              </w:rPr>
            </w:pPr>
          </w:p>
        </w:tc>
        <w:tc>
          <w:tcPr>
            <w:tcW w:w="354" w:type="pct"/>
            <w:vMerge w:val="continue"/>
            <w:noWrap w:val="0"/>
            <w:vAlign w:val="center"/>
          </w:tcPr>
          <w:p w14:paraId="73CF1614">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default" w:ascii="Times New Roman" w:hAnsi="Times New Roman" w:eastAsia="宋体" w:cs="Times New Roman"/>
                <w:color w:val="auto"/>
                <w:sz w:val="21"/>
                <w:szCs w:val="21"/>
                <w:lang w:val="zh-CN"/>
              </w:rPr>
            </w:pPr>
          </w:p>
        </w:tc>
      </w:tr>
      <w:tr w14:paraId="1B1DF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202" w:type="pct"/>
            <w:vMerge w:val="restart"/>
            <w:noWrap w:val="0"/>
            <w:vAlign w:val="center"/>
          </w:tcPr>
          <w:p w14:paraId="040E9238">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5</w:t>
            </w:r>
          </w:p>
        </w:tc>
        <w:tc>
          <w:tcPr>
            <w:tcW w:w="216" w:type="pct"/>
            <w:vMerge w:val="restart"/>
            <w:noWrap w:val="0"/>
            <w:vAlign w:val="center"/>
          </w:tcPr>
          <w:p w14:paraId="32AF88F7">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库区安全</w:t>
            </w:r>
          </w:p>
        </w:tc>
        <w:tc>
          <w:tcPr>
            <w:tcW w:w="2202" w:type="pct"/>
            <w:noWrap w:val="0"/>
            <w:vAlign w:val="center"/>
          </w:tcPr>
          <w:p w14:paraId="3F2F9CB2">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库区范围内不得有违章爆破、采石和建筑。</w:t>
            </w:r>
          </w:p>
        </w:tc>
        <w:tc>
          <w:tcPr>
            <w:tcW w:w="841" w:type="pct"/>
            <w:vMerge w:val="restart"/>
            <w:noWrap w:val="0"/>
            <w:vAlign w:val="center"/>
          </w:tcPr>
          <w:p w14:paraId="5E61352C">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设计文件、</w:t>
            </w:r>
          </w:p>
          <w:p w14:paraId="313630CA">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default"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《尾矿库安全规程》6.8.1、6.8.2、6.1.7、9.5条</w:t>
            </w:r>
          </w:p>
        </w:tc>
        <w:tc>
          <w:tcPr>
            <w:tcW w:w="1182" w:type="pct"/>
            <w:noWrap w:val="0"/>
            <w:vAlign w:val="center"/>
          </w:tcPr>
          <w:p w14:paraId="30C37574">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无</w:t>
            </w:r>
            <w:r>
              <w:rPr>
                <w:rFonts w:hint="eastAsia" w:ascii="Times New Roman" w:hAnsi="Times New Roman" w:eastAsia="宋体" w:cs="Times New Roman"/>
                <w:color w:val="auto"/>
                <w:sz w:val="21"/>
                <w:szCs w:val="21"/>
              </w:rPr>
              <w:t>违章爆破、采石和建筑现象</w:t>
            </w:r>
          </w:p>
        </w:tc>
        <w:tc>
          <w:tcPr>
            <w:tcW w:w="354" w:type="pct"/>
            <w:noWrap w:val="0"/>
            <w:vAlign w:val="center"/>
          </w:tcPr>
          <w:p w14:paraId="2B2B7D74">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符合</w:t>
            </w:r>
          </w:p>
        </w:tc>
      </w:tr>
      <w:tr w14:paraId="6A133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202" w:type="pct"/>
            <w:vMerge w:val="continue"/>
            <w:noWrap w:val="0"/>
            <w:vAlign w:val="center"/>
          </w:tcPr>
          <w:p w14:paraId="64AD8368">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p>
        </w:tc>
        <w:tc>
          <w:tcPr>
            <w:tcW w:w="216" w:type="pct"/>
            <w:vMerge w:val="continue"/>
            <w:noWrap w:val="0"/>
            <w:vAlign w:val="center"/>
          </w:tcPr>
          <w:p w14:paraId="34AEFF0E">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p>
        </w:tc>
        <w:tc>
          <w:tcPr>
            <w:tcW w:w="2202" w:type="pct"/>
            <w:noWrap w:val="0"/>
            <w:vAlign w:val="center"/>
          </w:tcPr>
          <w:p w14:paraId="5C9C598E">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禁止违章进行尾矿回采、取水，禁止外来尾矿、废石、废水和废弃物排入库内。</w:t>
            </w:r>
          </w:p>
        </w:tc>
        <w:tc>
          <w:tcPr>
            <w:tcW w:w="841" w:type="pct"/>
            <w:vMerge w:val="continue"/>
            <w:noWrap w:val="0"/>
            <w:vAlign w:val="center"/>
          </w:tcPr>
          <w:p w14:paraId="30961F90">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default" w:ascii="Times New Roman" w:hAnsi="Times New Roman" w:eastAsia="宋体" w:cs="Times New Roman"/>
                <w:color w:val="auto"/>
                <w:sz w:val="21"/>
                <w:szCs w:val="21"/>
                <w:lang w:val="zh-CN"/>
              </w:rPr>
            </w:pPr>
          </w:p>
        </w:tc>
        <w:tc>
          <w:tcPr>
            <w:tcW w:w="1182" w:type="pct"/>
            <w:noWrap w:val="0"/>
            <w:vAlign w:val="center"/>
          </w:tcPr>
          <w:p w14:paraId="33293770">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无违章回采尾矿、取水现象，也无外来尾矿、废石、废水和废弃物入库现象</w:t>
            </w:r>
          </w:p>
        </w:tc>
        <w:tc>
          <w:tcPr>
            <w:tcW w:w="354" w:type="pct"/>
            <w:noWrap w:val="0"/>
            <w:vAlign w:val="center"/>
          </w:tcPr>
          <w:p w14:paraId="121A1344">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符合</w:t>
            </w:r>
          </w:p>
        </w:tc>
      </w:tr>
      <w:tr w14:paraId="00E4F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202" w:type="pct"/>
            <w:vMerge w:val="continue"/>
            <w:noWrap w:val="0"/>
            <w:vAlign w:val="center"/>
          </w:tcPr>
          <w:p w14:paraId="7A02C911">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p>
        </w:tc>
        <w:tc>
          <w:tcPr>
            <w:tcW w:w="216" w:type="pct"/>
            <w:vMerge w:val="continue"/>
            <w:noWrap w:val="0"/>
            <w:vAlign w:val="center"/>
          </w:tcPr>
          <w:p w14:paraId="75F60421">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p>
        </w:tc>
        <w:tc>
          <w:tcPr>
            <w:tcW w:w="2202" w:type="pct"/>
            <w:noWrap w:val="0"/>
            <w:vAlign w:val="center"/>
          </w:tcPr>
          <w:p w14:paraId="48DB1109">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禁止在库区内放牧和开垦。</w:t>
            </w:r>
          </w:p>
        </w:tc>
        <w:tc>
          <w:tcPr>
            <w:tcW w:w="841" w:type="pct"/>
            <w:vMerge w:val="continue"/>
            <w:noWrap w:val="0"/>
            <w:vAlign w:val="center"/>
          </w:tcPr>
          <w:p w14:paraId="102EBB86">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default" w:ascii="Times New Roman" w:hAnsi="Times New Roman" w:eastAsia="宋体" w:cs="Times New Roman"/>
                <w:color w:val="auto"/>
                <w:sz w:val="21"/>
                <w:szCs w:val="21"/>
                <w:lang w:val="zh-CN"/>
              </w:rPr>
            </w:pPr>
          </w:p>
        </w:tc>
        <w:tc>
          <w:tcPr>
            <w:tcW w:w="1182" w:type="pct"/>
            <w:noWrap w:val="0"/>
            <w:vAlign w:val="center"/>
          </w:tcPr>
          <w:p w14:paraId="2BA3A936">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default"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rPr>
              <w:t>无放牧和开垦现象</w:t>
            </w:r>
          </w:p>
        </w:tc>
        <w:tc>
          <w:tcPr>
            <w:tcW w:w="354" w:type="pct"/>
            <w:noWrap w:val="0"/>
            <w:vAlign w:val="center"/>
          </w:tcPr>
          <w:p w14:paraId="6F8EE8BB">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符合</w:t>
            </w:r>
          </w:p>
        </w:tc>
      </w:tr>
      <w:tr w14:paraId="48031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202" w:type="pct"/>
            <w:vMerge w:val="continue"/>
            <w:noWrap w:val="0"/>
            <w:vAlign w:val="center"/>
          </w:tcPr>
          <w:p w14:paraId="1014BD7D">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p>
        </w:tc>
        <w:tc>
          <w:tcPr>
            <w:tcW w:w="216" w:type="pct"/>
            <w:vMerge w:val="continue"/>
            <w:noWrap w:val="0"/>
            <w:vAlign w:val="center"/>
          </w:tcPr>
          <w:p w14:paraId="68FC9F60">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p>
        </w:tc>
        <w:tc>
          <w:tcPr>
            <w:tcW w:w="2202" w:type="pct"/>
            <w:noWrap w:val="0"/>
            <w:vAlign w:val="center"/>
          </w:tcPr>
          <w:p w14:paraId="3BFB9EE3">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在库区周边按要求设立安全警示标志。</w:t>
            </w:r>
          </w:p>
        </w:tc>
        <w:tc>
          <w:tcPr>
            <w:tcW w:w="841" w:type="pct"/>
            <w:vMerge w:val="continue"/>
            <w:noWrap w:val="0"/>
            <w:vAlign w:val="center"/>
          </w:tcPr>
          <w:p w14:paraId="2A051243">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default" w:ascii="Times New Roman" w:hAnsi="Times New Roman" w:eastAsia="宋体" w:cs="Times New Roman"/>
                <w:color w:val="auto"/>
                <w:sz w:val="21"/>
                <w:szCs w:val="21"/>
                <w:lang w:val="zh-CN"/>
              </w:rPr>
            </w:pPr>
          </w:p>
        </w:tc>
        <w:tc>
          <w:tcPr>
            <w:tcW w:w="1182" w:type="pct"/>
            <w:noWrap w:val="0"/>
            <w:vAlign w:val="center"/>
          </w:tcPr>
          <w:p w14:paraId="2C2C7E79">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设有各类安全警示牌</w:t>
            </w:r>
          </w:p>
        </w:tc>
        <w:tc>
          <w:tcPr>
            <w:tcW w:w="354" w:type="pct"/>
            <w:noWrap w:val="0"/>
            <w:vAlign w:val="center"/>
          </w:tcPr>
          <w:p w14:paraId="095E9E97">
            <w:pPr>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right="0" w:firstLine="0" w:firstLineChars="0"/>
              <w:jc w:val="center"/>
              <w:textAlignment w:val="auto"/>
              <w:rPr>
                <w:rFonts w:hint="eastAsia"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符合</w:t>
            </w:r>
          </w:p>
        </w:tc>
      </w:tr>
    </w:tbl>
    <w:p w14:paraId="42FF72AA">
      <w:pPr>
        <w:pStyle w:val="4"/>
        <w:bidi w:val="0"/>
        <w:rPr>
          <w:rFonts w:hint="default"/>
          <w:color w:val="auto"/>
          <w:lang w:val="en-US" w:eastAsia="zh-CN"/>
        </w:rPr>
      </w:pPr>
      <w:bookmarkStart w:id="127" w:name="_Toc32062"/>
      <w:r>
        <w:rPr>
          <w:rFonts w:hint="default"/>
          <w:color w:val="auto"/>
          <w:lang w:val="en-US" w:eastAsia="zh-CN"/>
        </w:rPr>
        <w:t>4.5.2</w:t>
      </w:r>
      <w:r>
        <w:rPr>
          <w:rFonts w:hint="eastAsia"/>
          <w:color w:val="auto"/>
          <w:lang w:val="en-US" w:eastAsia="zh-CN"/>
        </w:rPr>
        <w:t xml:space="preserve"> </w:t>
      </w:r>
      <w:r>
        <w:rPr>
          <w:rFonts w:hint="default"/>
          <w:color w:val="auto"/>
          <w:lang w:val="en-US" w:eastAsia="zh-CN"/>
        </w:rPr>
        <w:t>评估单元小结</w:t>
      </w:r>
      <w:bookmarkEnd w:id="127"/>
    </w:p>
    <w:p w14:paraId="2D89B07C">
      <w:pPr>
        <w:rPr>
          <w:rFonts w:hint="default"/>
          <w:color w:val="auto"/>
          <w:lang w:val="en-US" w:eastAsia="zh-CN"/>
        </w:rPr>
      </w:pPr>
      <w:r>
        <w:rPr>
          <w:rFonts w:hint="default"/>
          <w:color w:val="auto"/>
          <w:lang w:val="en-US" w:eastAsia="zh-CN"/>
        </w:rPr>
        <w:t>1.</w:t>
      </w:r>
      <w:r>
        <w:rPr>
          <w:rFonts w:hint="eastAsia"/>
          <w:color w:val="auto"/>
          <w:lang w:val="en-US" w:eastAsia="zh-CN"/>
        </w:rPr>
        <w:t xml:space="preserve"> </w:t>
      </w:r>
      <w:r>
        <w:rPr>
          <w:rFonts w:hint="default"/>
          <w:color w:val="auto"/>
          <w:lang w:val="en-US" w:eastAsia="zh-CN"/>
        </w:rPr>
        <w:t>经现场检查，杨家店尾矿库尾矿排放符合设计要求，现场保留有交接班记录。</w:t>
      </w:r>
    </w:p>
    <w:p w14:paraId="5CFCE1BF">
      <w:pPr>
        <w:rPr>
          <w:rFonts w:hint="default"/>
          <w:color w:val="auto"/>
          <w:lang w:val="en-US" w:eastAsia="zh-CN"/>
        </w:rPr>
      </w:pPr>
      <w:r>
        <w:rPr>
          <w:rFonts w:hint="default"/>
          <w:color w:val="auto"/>
          <w:lang w:val="en-US" w:eastAsia="zh-CN"/>
        </w:rPr>
        <w:t>2.</w:t>
      </w:r>
      <w:r>
        <w:rPr>
          <w:rFonts w:hint="eastAsia"/>
          <w:color w:val="auto"/>
          <w:lang w:val="en-US" w:eastAsia="zh-CN"/>
        </w:rPr>
        <w:t xml:space="preserve"> </w:t>
      </w:r>
      <w:r>
        <w:rPr>
          <w:rFonts w:hint="default"/>
          <w:color w:val="auto"/>
          <w:lang w:val="en-US" w:eastAsia="zh-CN"/>
        </w:rPr>
        <w:t>经现场检查，现场保留有杨家店尾矿库防排洪设施安全检查记录，在排水井立柱的一侧帖有一排瓷砖、</w:t>
      </w:r>
      <w:r>
        <w:rPr>
          <w:rFonts w:hint="default" w:ascii="Times New Roman" w:hAnsi="Times New Roman" w:eastAsia="宋体" w:cs="Times New Roman"/>
          <w:color w:val="auto"/>
          <w:lang w:val="en-US" w:eastAsia="zh-CN"/>
        </w:rPr>
        <w:t>库水位标尺</w:t>
      </w:r>
      <w:r>
        <w:rPr>
          <w:rFonts w:hint="eastAsia" w:ascii="Times New Roman" w:hAnsi="Times New Roman" w:eastAsia="宋体" w:cs="Times New Roman"/>
          <w:color w:val="auto"/>
          <w:lang w:val="en-US" w:eastAsia="zh-CN"/>
        </w:rPr>
        <w:t>，</w:t>
      </w:r>
      <w:r>
        <w:rPr>
          <w:rFonts w:hint="eastAsia" w:ascii="Times New Roman" w:hAnsi="Times New Roman" w:eastAsia="宋体" w:cs="Times New Roman"/>
          <w:color w:val="auto"/>
          <w:lang w:val="zh-CN" w:eastAsia="zh-CN"/>
        </w:rPr>
        <w:t>标明了警戒水位</w:t>
      </w:r>
      <w:r>
        <w:rPr>
          <w:rFonts w:hint="default" w:ascii="Times New Roman" w:hAnsi="Times New Roman" w:eastAsia="宋体" w:cs="Times New Roman"/>
          <w:color w:val="auto"/>
          <w:lang w:val="en-US" w:eastAsia="zh-CN"/>
        </w:rPr>
        <w:t>。</w:t>
      </w:r>
    </w:p>
    <w:p w14:paraId="55ABA289">
      <w:pPr>
        <w:rPr>
          <w:rFonts w:hint="default"/>
          <w:color w:val="auto"/>
          <w:lang w:val="en-US" w:eastAsia="zh-CN"/>
        </w:rPr>
      </w:pPr>
      <w:r>
        <w:rPr>
          <w:rFonts w:hint="default"/>
          <w:color w:val="auto"/>
          <w:lang w:val="en-US" w:eastAsia="zh-CN"/>
        </w:rPr>
        <w:t>3.</w:t>
      </w:r>
      <w:r>
        <w:rPr>
          <w:rFonts w:hint="eastAsia"/>
          <w:color w:val="auto"/>
          <w:lang w:val="en-US" w:eastAsia="zh-CN"/>
        </w:rPr>
        <w:t xml:space="preserve"> </w:t>
      </w:r>
      <w:r>
        <w:rPr>
          <w:rFonts w:hint="default"/>
          <w:color w:val="auto"/>
          <w:lang w:val="en-US" w:eastAsia="zh-CN"/>
        </w:rPr>
        <w:t>经现场检查，企业保留有坝体位移沉降、浸润线、库水位观测记录。</w:t>
      </w:r>
    </w:p>
    <w:p w14:paraId="3C166AF5">
      <w:pPr>
        <w:rPr>
          <w:rFonts w:hint="default"/>
          <w:color w:val="auto"/>
          <w:lang w:val="en-US" w:eastAsia="zh-CN"/>
        </w:rPr>
      </w:pPr>
      <w:r>
        <w:rPr>
          <w:rFonts w:hint="default"/>
          <w:color w:val="auto"/>
          <w:lang w:val="en-US" w:eastAsia="zh-CN"/>
        </w:rPr>
        <w:t>4.</w:t>
      </w:r>
      <w:r>
        <w:rPr>
          <w:rFonts w:hint="eastAsia"/>
          <w:color w:val="auto"/>
          <w:lang w:val="en-US" w:eastAsia="zh-CN"/>
        </w:rPr>
        <w:t xml:space="preserve"> </w:t>
      </w:r>
      <w:r>
        <w:rPr>
          <w:rFonts w:hint="default"/>
          <w:color w:val="auto"/>
          <w:lang w:val="en-US" w:eastAsia="zh-CN"/>
        </w:rPr>
        <w:t>经现场检查，杨家店尾矿库周边山体稳定，无滑动、坍塌等影响尾矿库安全情况，不存在违章爆破、采石、取水，以及外来尾矿、废石、废水和废弃物排入库内，无在库区内放牧和开垦和炸鱼等危害尾矿库安全的活动，尾矿库周边安全状况良好。</w:t>
      </w:r>
    </w:p>
    <w:p w14:paraId="05E61E26">
      <w:pPr>
        <w:rPr>
          <w:rFonts w:hint="default"/>
          <w:color w:val="auto"/>
          <w:lang w:val="en-US" w:eastAsia="zh-CN"/>
        </w:rPr>
      </w:pPr>
      <w:r>
        <w:rPr>
          <w:rFonts w:hint="default"/>
          <w:color w:val="auto"/>
          <w:lang w:val="en-US" w:eastAsia="zh-CN"/>
        </w:rPr>
        <w:br w:type="page"/>
      </w:r>
    </w:p>
    <w:p w14:paraId="20917842">
      <w:pPr>
        <w:pStyle w:val="2"/>
        <w:numPr>
          <w:ilvl w:val="0"/>
          <w:numId w:val="2"/>
        </w:numPr>
        <w:bidi w:val="0"/>
        <w:ind w:left="0" w:leftChars="0" w:firstLine="0" w:firstLineChars="0"/>
        <w:rPr>
          <w:rFonts w:hint="default" w:ascii="Times New Roman" w:hAnsi="Times New Roman" w:cs="Times New Roman"/>
          <w:color w:val="auto"/>
          <w:lang w:val="en-US" w:eastAsia="zh-CN"/>
        </w:rPr>
      </w:pPr>
      <w:bookmarkStart w:id="128" w:name="_Toc522"/>
      <w:r>
        <w:rPr>
          <w:rFonts w:hint="default" w:ascii="Times New Roman" w:hAnsi="Times New Roman" w:cs="Times New Roman"/>
          <w:color w:val="auto"/>
          <w:lang w:val="en-US" w:eastAsia="zh-CN"/>
        </w:rPr>
        <w:t>尾矿库危险有害因素辨识与风险评估</w:t>
      </w:r>
      <w:bookmarkEnd w:id="128"/>
    </w:p>
    <w:p w14:paraId="053E10F1">
      <w:pPr>
        <w:pStyle w:val="3"/>
        <w:bidi w:val="0"/>
        <w:rPr>
          <w:rFonts w:hint="default"/>
          <w:color w:val="auto"/>
          <w:lang w:val="en-US" w:eastAsia="zh-CN"/>
        </w:rPr>
      </w:pPr>
      <w:bookmarkStart w:id="129" w:name="_Toc18536"/>
      <w:r>
        <w:rPr>
          <w:rFonts w:hint="default"/>
          <w:color w:val="auto"/>
          <w:lang w:val="en-US" w:eastAsia="zh-CN"/>
        </w:rPr>
        <w:t>5.1</w:t>
      </w:r>
      <w:r>
        <w:rPr>
          <w:rFonts w:hint="eastAsia"/>
          <w:color w:val="auto"/>
          <w:lang w:val="en-US" w:eastAsia="zh-CN"/>
        </w:rPr>
        <w:t xml:space="preserve"> </w:t>
      </w:r>
      <w:r>
        <w:rPr>
          <w:rFonts w:hint="default"/>
          <w:color w:val="auto"/>
          <w:lang w:val="en-US" w:eastAsia="zh-CN"/>
        </w:rPr>
        <w:t>危险有害因素辨识</w:t>
      </w:r>
      <w:bookmarkEnd w:id="129"/>
    </w:p>
    <w:p w14:paraId="14B85308">
      <w:pPr>
        <w:bidi w:val="0"/>
        <w:rPr>
          <w:rFonts w:hint="default"/>
          <w:color w:val="auto"/>
          <w:lang w:val="en-US" w:eastAsia="zh-CN"/>
        </w:rPr>
      </w:pPr>
      <w:r>
        <w:rPr>
          <w:rFonts w:hint="default"/>
          <w:color w:val="auto"/>
          <w:lang w:val="en-US" w:eastAsia="zh-CN"/>
        </w:rPr>
        <w:t>一、自然灾害辨识</w:t>
      </w:r>
    </w:p>
    <w:p w14:paraId="2BB2711E">
      <w:pPr>
        <w:bidi w:val="0"/>
        <w:rPr>
          <w:rFonts w:hint="default"/>
          <w:b/>
          <w:bCs/>
          <w:color w:val="auto"/>
          <w:lang w:val="en-US" w:eastAsia="zh-CN"/>
        </w:rPr>
      </w:pPr>
      <w:r>
        <w:rPr>
          <w:rFonts w:hint="default"/>
          <w:b/>
          <w:bCs/>
          <w:color w:val="auto"/>
          <w:lang w:val="en-US" w:eastAsia="zh-CN"/>
        </w:rPr>
        <w:t>1.</w:t>
      </w:r>
      <w:r>
        <w:rPr>
          <w:rFonts w:hint="eastAsia"/>
          <w:b/>
          <w:bCs/>
          <w:color w:val="auto"/>
          <w:lang w:val="en-US" w:eastAsia="zh-CN"/>
        </w:rPr>
        <w:t xml:space="preserve"> </w:t>
      </w:r>
      <w:r>
        <w:rPr>
          <w:rFonts w:hint="default"/>
          <w:b/>
          <w:bCs/>
          <w:color w:val="auto"/>
          <w:lang w:val="en-US" w:eastAsia="zh-CN"/>
        </w:rPr>
        <w:t>暴雨</w:t>
      </w:r>
    </w:p>
    <w:p w14:paraId="57C0FA45">
      <w:pPr>
        <w:bidi w:val="0"/>
        <w:rPr>
          <w:rFonts w:hint="default"/>
          <w:color w:val="auto"/>
          <w:lang w:val="en-US" w:eastAsia="zh-CN"/>
        </w:rPr>
      </w:pPr>
      <w:r>
        <w:rPr>
          <w:rFonts w:hint="eastAsia"/>
          <w:color w:val="auto"/>
          <w:lang w:val="en-US" w:eastAsia="zh-CN"/>
        </w:rPr>
        <w:t>（</w:t>
      </w:r>
      <w:r>
        <w:rPr>
          <w:rFonts w:hint="default"/>
          <w:color w:val="auto"/>
          <w:lang w:val="en-US" w:eastAsia="zh-CN"/>
        </w:rPr>
        <w:t>1）暴雨灾害辨识</w:t>
      </w:r>
    </w:p>
    <w:p w14:paraId="38BF6D25">
      <w:pPr>
        <w:bidi w:val="0"/>
        <w:rPr>
          <w:rFonts w:hint="default"/>
          <w:color w:val="auto"/>
          <w:lang w:val="en-US" w:eastAsia="zh-CN"/>
        </w:rPr>
      </w:pPr>
      <w:r>
        <w:rPr>
          <w:rFonts w:hint="default"/>
          <w:color w:val="auto"/>
          <w:lang w:val="en-US" w:eastAsia="zh-CN"/>
        </w:rPr>
        <w:t>安福县属亚热带</w:t>
      </w:r>
      <w:r>
        <w:rPr>
          <w:rFonts w:hint="eastAsia"/>
          <w:color w:val="auto"/>
          <w:lang w:val="en-US" w:eastAsia="zh-CN"/>
        </w:rPr>
        <w:t>季风</w:t>
      </w:r>
      <w:r>
        <w:rPr>
          <w:rFonts w:hint="default"/>
          <w:color w:val="auto"/>
          <w:lang w:val="en-US" w:eastAsia="zh-CN"/>
        </w:rPr>
        <w:t>湿润气候。据安福县气象资料：年降水量平均约1553mm，降水集中在3</w:t>
      </w:r>
      <w:r>
        <w:rPr>
          <w:rFonts w:hint="eastAsia"/>
          <w:color w:val="auto"/>
          <w:lang w:val="en-US" w:eastAsia="zh-CN"/>
        </w:rPr>
        <w:t>～</w:t>
      </w:r>
      <w:r>
        <w:rPr>
          <w:rFonts w:hint="default"/>
          <w:color w:val="auto"/>
          <w:lang w:val="en-US" w:eastAsia="zh-CN"/>
        </w:rPr>
        <w:t>6月，最大年降水量2112.03mm（1981年），24小时最大降水量210mm（1981年5月6日），历史最高洪水位标高+223m。由此可知，杨家店尾矿库所处地区在极端天气存在暴雨危害。</w:t>
      </w:r>
    </w:p>
    <w:p w14:paraId="477F7A65">
      <w:pPr>
        <w:bidi w:val="0"/>
        <w:rPr>
          <w:rFonts w:hint="default"/>
          <w:color w:val="auto"/>
          <w:lang w:val="en-US" w:eastAsia="zh-CN"/>
        </w:rPr>
      </w:pPr>
      <w:r>
        <w:rPr>
          <w:rFonts w:hint="eastAsia"/>
          <w:color w:val="auto"/>
          <w:lang w:val="en-US" w:eastAsia="zh-CN"/>
        </w:rPr>
        <w:t>（</w:t>
      </w:r>
      <w:r>
        <w:rPr>
          <w:rFonts w:hint="default"/>
          <w:color w:val="auto"/>
          <w:lang w:val="en-US" w:eastAsia="zh-CN"/>
        </w:rPr>
        <w:t>2）暴雨危害产生原因</w:t>
      </w:r>
    </w:p>
    <w:p w14:paraId="182F0959">
      <w:pPr>
        <w:bidi w:val="0"/>
        <w:rPr>
          <w:rFonts w:hint="default"/>
          <w:color w:val="auto"/>
          <w:lang w:val="en-US" w:eastAsia="zh-CN"/>
        </w:rPr>
      </w:pPr>
      <w:r>
        <w:rPr>
          <w:rFonts w:hint="default"/>
          <w:color w:val="auto"/>
          <w:lang w:val="en-US" w:eastAsia="zh-CN"/>
        </w:rPr>
        <w:t>1）没有及时获取暴雨信息。</w:t>
      </w:r>
    </w:p>
    <w:p w14:paraId="47719813">
      <w:pPr>
        <w:bidi w:val="0"/>
        <w:rPr>
          <w:rFonts w:hint="default"/>
          <w:color w:val="auto"/>
          <w:lang w:val="en-US" w:eastAsia="zh-CN"/>
        </w:rPr>
      </w:pPr>
      <w:r>
        <w:rPr>
          <w:rFonts w:hint="default"/>
          <w:color w:val="auto"/>
          <w:lang w:val="en-US" w:eastAsia="zh-CN"/>
        </w:rPr>
        <w:t>2）防排水设施、设备不完善或不能正常使用。</w:t>
      </w:r>
    </w:p>
    <w:p w14:paraId="217C6772">
      <w:pPr>
        <w:bidi w:val="0"/>
        <w:rPr>
          <w:rFonts w:hint="default"/>
          <w:color w:val="auto"/>
          <w:lang w:val="en-US" w:eastAsia="zh-CN"/>
        </w:rPr>
      </w:pPr>
      <w:r>
        <w:rPr>
          <w:rFonts w:hint="default"/>
          <w:color w:val="auto"/>
          <w:lang w:val="en-US" w:eastAsia="zh-CN"/>
        </w:rPr>
        <w:t>3）没有及时采取相应的措施。</w:t>
      </w:r>
    </w:p>
    <w:p w14:paraId="6077FF5D">
      <w:pPr>
        <w:bidi w:val="0"/>
        <w:rPr>
          <w:rFonts w:hint="default"/>
          <w:color w:val="auto"/>
          <w:lang w:val="en-US" w:eastAsia="zh-CN"/>
        </w:rPr>
      </w:pPr>
      <w:r>
        <w:rPr>
          <w:rFonts w:hint="eastAsia"/>
          <w:color w:val="auto"/>
          <w:lang w:val="en-US" w:eastAsia="zh-CN"/>
        </w:rPr>
        <w:t>（</w:t>
      </w:r>
      <w:r>
        <w:rPr>
          <w:rFonts w:hint="default"/>
          <w:color w:val="auto"/>
          <w:lang w:val="en-US" w:eastAsia="zh-CN"/>
        </w:rPr>
        <w:t>3）暴雨危害方式及后果</w:t>
      </w:r>
    </w:p>
    <w:p w14:paraId="0CF823C6">
      <w:pPr>
        <w:bidi w:val="0"/>
        <w:rPr>
          <w:rFonts w:hint="default"/>
          <w:color w:val="auto"/>
          <w:lang w:val="en-US" w:eastAsia="zh-CN"/>
        </w:rPr>
      </w:pPr>
      <w:r>
        <w:rPr>
          <w:rFonts w:hint="default"/>
          <w:color w:val="auto"/>
          <w:lang w:val="en-US" w:eastAsia="zh-CN"/>
        </w:rPr>
        <w:t>暴雨危害主要体现在：冲毁矿山截排水设施、公路运输设施等，造成矿山生产、辅助系统的设备设施损坏，严重造成矿山停产停工。</w:t>
      </w:r>
    </w:p>
    <w:p w14:paraId="6490C9E2">
      <w:pPr>
        <w:bidi w:val="0"/>
        <w:rPr>
          <w:rFonts w:hint="default"/>
          <w:color w:val="auto"/>
          <w:lang w:val="en-US" w:eastAsia="zh-CN"/>
        </w:rPr>
      </w:pPr>
      <w:r>
        <w:rPr>
          <w:rFonts w:hint="default"/>
          <w:color w:val="auto"/>
          <w:lang w:val="en-US" w:eastAsia="zh-CN"/>
        </w:rPr>
        <w:t>暴雨对杨家店尾矿库的正常生产将带来相当大的危害，主要是冲刷坝体造成拉沟，甚至坝体垮塌。</w:t>
      </w:r>
    </w:p>
    <w:p w14:paraId="56AB1258">
      <w:pPr>
        <w:numPr>
          <w:ilvl w:val="0"/>
          <w:numId w:val="0"/>
        </w:numPr>
        <w:bidi w:val="0"/>
        <w:ind w:firstLine="562" w:firstLineChars="200"/>
        <w:rPr>
          <w:rFonts w:hint="default"/>
          <w:b/>
          <w:bCs/>
          <w:color w:val="auto"/>
          <w:lang w:val="en-US" w:eastAsia="zh-CN"/>
        </w:rPr>
      </w:pPr>
      <w:r>
        <w:rPr>
          <w:rFonts w:hint="default" w:ascii="Times New Roman" w:hAnsi="Times New Roman" w:eastAsia="宋体" w:cs="Times New Roman"/>
          <w:b/>
          <w:bCs/>
          <w:color w:val="auto"/>
          <w:kern w:val="2"/>
          <w:sz w:val="28"/>
          <w:szCs w:val="24"/>
          <w:lang w:val="en-US" w:eastAsia="zh-CN" w:bidi="ar-SA"/>
        </w:rPr>
        <w:t>2.</w:t>
      </w:r>
      <w:r>
        <w:rPr>
          <w:rFonts w:hint="eastAsia" w:cs="Times New Roman"/>
          <w:b/>
          <w:bCs/>
          <w:color w:val="auto"/>
          <w:kern w:val="2"/>
          <w:sz w:val="28"/>
          <w:szCs w:val="24"/>
          <w:lang w:val="en-US" w:eastAsia="zh-CN" w:bidi="ar-SA"/>
        </w:rPr>
        <w:t xml:space="preserve"> </w:t>
      </w:r>
      <w:r>
        <w:rPr>
          <w:rFonts w:hint="default"/>
          <w:b/>
          <w:bCs/>
          <w:color w:val="auto"/>
          <w:lang w:val="en-US" w:eastAsia="zh-CN"/>
        </w:rPr>
        <w:t>岸坡山体滑坡</w:t>
      </w:r>
    </w:p>
    <w:p w14:paraId="22403E01">
      <w:pPr>
        <w:bidi w:val="0"/>
        <w:rPr>
          <w:rFonts w:hint="default"/>
          <w:color w:val="auto"/>
          <w:lang w:val="en-US" w:eastAsia="zh-CN"/>
        </w:rPr>
      </w:pPr>
      <w:r>
        <w:rPr>
          <w:rFonts w:hint="default"/>
          <w:color w:val="auto"/>
          <w:lang w:val="en-US" w:eastAsia="zh-CN"/>
        </w:rPr>
        <w:t>造成岸坡山体滑坡是指岸坡上的岩土物质沿一定的软弱带或面做整体下滑的运动。</w:t>
      </w:r>
    </w:p>
    <w:p w14:paraId="42EDC71A">
      <w:pPr>
        <w:bidi w:val="0"/>
        <w:rPr>
          <w:rFonts w:hint="default"/>
          <w:color w:val="auto"/>
          <w:lang w:val="en-US" w:eastAsia="zh-CN"/>
        </w:rPr>
      </w:pPr>
      <w:r>
        <w:rPr>
          <w:rFonts w:hint="default"/>
          <w:color w:val="auto"/>
          <w:lang w:val="en-US" w:eastAsia="zh-CN"/>
        </w:rPr>
        <w:t>（1）造成库区山体滑坡的主要因素有：</w:t>
      </w:r>
    </w:p>
    <w:p w14:paraId="63F5F455">
      <w:pPr>
        <w:bidi w:val="0"/>
        <w:rPr>
          <w:rFonts w:hint="default"/>
          <w:color w:val="auto"/>
          <w:lang w:val="en-US" w:eastAsia="zh-CN"/>
        </w:rPr>
      </w:pPr>
      <w:r>
        <w:rPr>
          <w:rFonts w:hint="default"/>
          <w:color w:val="auto"/>
          <w:lang w:val="en-US" w:eastAsia="zh-CN"/>
        </w:rPr>
        <w:t>1）库区岸坡周边存在不良地质条件，稳定性差；</w:t>
      </w:r>
    </w:p>
    <w:p w14:paraId="2D2F57D4">
      <w:pPr>
        <w:bidi w:val="0"/>
        <w:rPr>
          <w:rFonts w:hint="default"/>
          <w:color w:val="auto"/>
          <w:lang w:val="en-US" w:eastAsia="zh-CN"/>
        </w:rPr>
      </w:pPr>
      <w:r>
        <w:rPr>
          <w:rFonts w:hint="default"/>
          <w:color w:val="auto"/>
          <w:lang w:val="en-US" w:eastAsia="zh-CN"/>
        </w:rPr>
        <w:t>2）库区内尾砂外溢对土壤有一定的程度的破坏，可能局部影响周边山体的稳定性，从而导致山体局部失稳、滑坡；</w:t>
      </w:r>
    </w:p>
    <w:p w14:paraId="4EF4BD42">
      <w:pPr>
        <w:bidi w:val="0"/>
        <w:rPr>
          <w:rFonts w:hint="default"/>
          <w:color w:val="auto"/>
          <w:lang w:val="en-US" w:eastAsia="zh-CN"/>
        </w:rPr>
      </w:pPr>
      <w:r>
        <w:rPr>
          <w:rFonts w:hint="default"/>
          <w:color w:val="auto"/>
          <w:lang w:val="en-US" w:eastAsia="zh-CN"/>
        </w:rPr>
        <w:t>3）梅雨季节雨水量过大有可能形成冲击力、破坏力很强的山洪或特大山洪爆发，山洪爆发直接冲击库区上游岸坡周边山体，导致山体滑坡。</w:t>
      </w:r>
    </w:p>
    <w:p w14:paraId="130ED0DB">
      <w:pPr>
        <w:bidi w:val="0"/>
        <w:rPr>
          <w:rFonts w:hint="default"/>
          <w:color w:val="auto"/>
          <w:lang w:val="en-US" w:eastAsia="zh-CN"/>
        </w:rPr>
      </w:pPr>
      <w:r>
        <w:rPr>
          <w:rFonts w:hint="default"/>
          <w:color w:val="auto"/>
          <w:lang w:val="en-US" w:eastAsia="zh-CN"/>
        </w:rPr>
        <w:t>（2）危害形式：</w:t>
      </w:r>
    </w:p>
    <w:p w14:paraId="230E0AE5">
      <w:pPr>
        <w:bidi w:val="0"/>
        <w:rPr>
          <w:rFonts w:hint="default"/>
          <w:color w:val="auto"/>
          <w:lang w:val="en-US" w:eastAsia="zh-CN"/>
        </w:rPr>
      </w:pPr>
      <w:r>
        <w:rPr>
          <w:rFonts w:hint="default"/>
          <w:color w:val="auto"/>
          <w:lang w:val="en-US" w:eastAsia="zh-CN"/>
        </w:rPr>
        <w:t>库区岸坡周边山体稳定性因素直接影响尾矿库的安全，有可能造成洪水漫坝，破坏坝体构筑物及防洪设施，更为严重的是造成尾矿坝决口、溃坝。</w:t>
      </w:r>
    </w:p>
    <w:p w14:paraId="12D8B442">
      <w:pPr>
        <w:bidi w:val="0"/>
        <w:rPr>
          <w:rFonts w:hint="default"/>
          <w:color w:val="auto"/>
          <w:lang w:val="en-US" w:eastAsia="zh-CN"/>
        </w:rPr>
      </w:pPr>
      <w:r>
        <w:rPr>
          <w:rFonts w:hint="default"/>
          <w:color w:val="auto"/>
          <w:lang w:val="en-US" w:eastAsia="zh-CN"/>
        </w:rPr>
        <w:t>由于库区岸坡植被茂盛，岸坡属于稳定结构，库区内未见滑坡等不良地质作用，在自然条件下，岸坡是稳定的。因此，发生较大山体滑坡的可能性不大，但滑坡危害程度较大。但库区的简易公路有可能发生局部的边坡失稳，应引起高度重视，加强监护检查管理。</w:t>
      </w:r>
    </w:p>
    <w:p w14:paraId="006FD1E8">
      <w:pPr>
        <w:numPr>
          <w:ilvl w:val="0"/>
          <w:numId w:val="0"/>
        </w:numPr>
        <w:bidi w:val="0"/>
        <w:ind w:left="0" w:leftChars="0" w:firstLine="562" w:firstLineChars="200"/>
        <w:rPr>
          <w:rFonts w:hint="default"/>
          <w:b/>
          <w:bCs/>
          <w:color w:val="auto"/>
          <w:lang w:val="en-US" w:eastAsia="zh-CN"/>
        </w:rPr>
      </w:pPr>
      <w:r>
        <w:rPr>
          <w:rFonts w:hint="default" w:ascii="Times New Roman" w:hAnsi="Times New Roman" w:eastAsia="宋体" w:cs="Times New Roman"/>
          <w:b/>
          <w:bCs/>
          <w:color w:val="auto"/>
          <w:kern w:val="2"/>
          <w:sz w:val="28"/>
          <w:szCs w:val="24"/>
          <w:lang w:val="en-US" w:eastAsia="zh-CN" w:bidi="ar-SA"/>
        </w:rPr>
        <w:t>3.</w:t>
      </w:r>
      <w:r>
        <w:rPr>
          <w:rFonts w:hint="eastAsia" w:cs="Times New Roman"/>
          <w:b/>
          <w:bCs/>
          <w:color w:val="auto"/>
          <w:kern w:val="2"/>
          <w:sz w:val="28"/>
          <w:szCs w:val="24"/>
          <w:lang w:val="en-US" w:eastAsia="zh-CN" w:bidi="ar-SA"/>
        </w:rPr>
        <w:t xml:space="preserve"> </w:t>
      </w:r>
      <w:r>
        <w:rPr>
          <w:rFonts w:hint="default"/>
          <w:b/>
          <w:bCs/>
          <w:color w:val="auto"/>
          <w:lang w:val="en-US" w:eastAsia="zh-CN"/>
        </w:rPr>
        <w:t>雷电</w:t>
      </w:r>
    </w:p>
    <w:p w14:paraId="75D0845F">
      <w:pPr>
        <w:bidi w:val="0"/>
        <w:rPr>
          <w:rFonts w:hint="default"/>
          <w:color w:val="auto"/>
          <w:lang w:val="en-US" w:eastAsia="zh-CN"/>
        </w:rPr>
      </w:pPr>
      <w:r>
        <w:rPr>
          <w:rFonts w:hint="default"/>
          <w:color w:val="auto"/>
          <w:lang w:val="en-US" w:eastAsia="zh-CN"/>
        </w:rPr>
        <w:t>（1）雷电灾害辨识</w:t>
      </w:r>
    </w:p>
    <w:p w14:paraId="7ED61F14">
      <w:pPr>
        <w:bidi w:val="0"/>
        <w:rPr>
          <w:rFonts w:hint="default"/>
          <w:color w:val="auto"/>
          <w:lang w:val="en-US" w:eastAsia="zh-CN"/>
        </w:rPr>
      </w:pPr>
      <w:r>
        <w:rPr>
          <w:rFonts w:hint="default"/>
          <w:color w:val="auto"/>
          <w:lang w:val="en-US" w:eastAsia="zh-CN"/>
        </w:rPr>
        <w:t>暴雨时，一般会有雷电发生，特别在夏季，为雷电的多发期，常有较强的雷电发生；江西省地处亚热带湿润季风气候区，雨量充沛，雷暴活动频繁，属于多雷区、强雷区。据江西省闪电定位系统测定，全省每年落雷40～90万次，雷击灾害严重。2017年全省落雷565087次，全省年平均落雷密度为每平方公里3.38次，全省各县市平均雷电日为83.9d。每年的3～6月、８月，以及午后和傍晚是雷击事故的高发期，占全年81.3%。因此，库区存在雷电灾害。</w:t>
      </w:r>
    </w:p>
    <w:p w14:paraId="7F7F5009">
      <w:pPr>
        <w:bidi w:val="0"/>
        <w:rPr>
          <w:rFonts w:hint="default"/>
          <w:color w:val="auto"/>
          <w:lang w:val="en-US" w:eastAsia="zh-CN"/>
        </w:rPr>
      </w:pPr>
      <w:r>
        <w:rPr>
          <w:rFonts w:hint="default"/>
          <w:color w:val="auto"/>
          <w:lang w:val="en-US" w:eastAsia="zh-CN"/>
        </w:rPr>
        <w:t>（2）产生雷电灾害原因</w:t>
      </w:r>
    </w:p>
    <w:p w14:paraId="531A0770">
      <w:pPr>
        <w:bidi w:val="0"/>
        <w:rPr>
          <w:rFonts w:hint="default"/>
          <w:color w:val="auto"/>
          <w:lang w:val="en-US" w:eastAsia="zh-CN"/>
        </w:rPr>
      </w:pPr>
      <w:r>
        <w:rPr>
          <w:rFonts w:hint="default"/>
          <w:color w:val="auto"/>
          <w:lang w:val="en-US" w:eastAsia="zh-CN"/>
        </w:rPr>
        <w:t>①建（构）筑物无防雷设施，或防雷设施缺陷。</w:t>
      </w:r>
    </w:p>
    <w:p w14:paraId="3C62D54E">
      <w:pPr>
        <w:bidi w:val="0"/>
        <w:rPr>
          <w:rFonts w:hint="default"/>
          <w:color w:val="auto"/>
          <w:lang w:val="en-US" w:eastAsia="zh-CN"/>
        </w:rPr>
      </w:pPr>
      <w:r>
        <w:rPr>
          <w:rFonts w:hint="default"/>
          <w:color w:val="auto"/>
          <w:lang w:val="en-US" w:eastAsia="zh-CN"/>
        </w:rPr>
        <w:t>②防雷意识淡薄，防雷知识缺少。</w:t>
      </w:r>
    </w:p>
    <w:p w14:paraId="5F01DCB8">
      <w:pPr>
        <w:bidi w:val="0"/>
        <w:rPr>
          <w:rFonts w:hint="default"/>
          <w:color w:val="auto"/>
          <w:lang w:val="en-US" w:eastAsia="zh-CN"/>
        </w:rPr>
      </w:pPr>
      <w:r>
        <w:rPr>
          <w:rFonts w:hint="default"/>
          <w:color w:val="auto"/>
          <w:lang w:val="en-US" w:eastAsia="zh-CN"/>
        </w:rPr>
        <w:t>③防雷预警信息缺陷。</w:t>
      </w:r>
    </w:p>
    <w:p w14:paraId="0EBA5C42">
      <w:pPr>
        <w:bidi w:val="0"/>
        <w:rPr>
          <w:rFonts w:hint="default"/>
          <w:color w:val="auto"/>
          <w:lang w:val="en-US" w:eastAsia="zh-CN"/>
        </w:rPr>
      </w:pPr>
      <w:r>
        <w:rPr>
          <w:rFonts w:hint="default"/>
          <w:color w:val="auto"/>
          <w:lang w:val="en-US" w:eastAsia="zh-CN"/>
        </w:rPr>
        <w:t>（3）雷电灾害发生场所</w:t>
      </w:r>
    </w:p>
    <w:p w14:paraId="6191A05D">
      <w:pPr>
        <w:bidi w:val="0"/>
        <w:rPr>
          <w:rFonts w:hint="default"/>
          <w:color w:val="auto"/>
          <w:lang w:val="en-US" w:eastAsia="zh-CN"/>
        </w:rPr>
      </w:pPr>
      <w:r>
        <w:rPr>
          <w:rFonts w:hint="default"/>
          <w:color w:val="auto"/>
          <w:lang w:val="en-US" w:eastAsia="zh-CN"/>
        </w:rPr>
        <w:t>①建（构）筑物，特别是凸出的高处建筑及安装有电气设备的建（构）筑物，如配电所、室外变压器台等。</w:t>
      </w:r>
    </w:p>
    <w:p w14:paraId="2DE8C9DD">
      <w:pPr>
        <w:bidi w:val="0"/>
        <w:rPr>
          <w:rFonts w:hint="default"/>
          <w:color w:val="auto"/>
          <w:lang w:val="en-US" w:eastAsia="zh-CN"/>
        </w:rPr>
      </w:pPr>
      <w:r>
        <w:rPr>
          <w:rFonts w:hint="default"/>
          <w:color w:val="auto"/>
          <w:lang w:val="en-US" w:eastAsia="zh-CN"/>
        </w:rPr>
        <w:t>②空旷、潮湿地方，特别是空旷、潮湿地方如尾矿坝、尾矿沉积滩滩面上，和构筑物或大树旁。</w:t>
      </w:r>
    </w:p>
    <w:p w14:paraId="00B06813">
      <w:pPr>
        <w:bidi w:val="0"/>
        <w:rPr>
          <w:rFonts w:hint="default"/>
          <w:color w:val="auto"/>
          <w:lang w:val="en-US" w:eastAsia="zh-CN"/>
        </w:rPr>
      </w:pPr>
      <w:r>
        <w:rPr>
          <w:rFonts w:hint="default"/>
          <w:color w:val="auto"/>
          <w:lang w:val="en-US" w:eastAsia="zh-CN"/>
        </w:rPr>
        <w:t>③金属管网及有线、无线通讯处。</w:t>
      </w:r>
    </w:p>
    <w:p w14:paraId="600E1D83">
      <w:pPr>
        <w:bidi w:val="0"/>
        <w:rPr>
          <w:rFonts w:hint="default"/>
          <w:color w:val="auto"/>
          <w:lang w:val="en-US" w:eastAsia="zh-CN"/>
        </w:rPr>
      </w:pPr>
      <w:r>
        <w:rPr>
          <w:rFonts w:hint="default"/>
          <w:color w:val="auto"/>
          <w:lang w:val="en-US" w:eastAsia="zh-CN"/>
        </w:rPr>
        <w:t>（4）雷电灾害后果</w:t>
      </w:r>
    </w:p>
    <w:p w14:paraId="58B63C7E">
      <w:pPr>
        <w:bidi w:val="0"/>
        <w:rPr>
          <w:rFonts w:hint="default"/>
          <w:color w:val="auto"/>
          <w:lang w:val="en-US" w:eastAsia="zh-CN"/>
        </w:rPr>
      </w:pPr>
      <w:r>
        <w:rPr>
          <w:rFonts w:hint="default"/>
          <w:color w:val="auto"/>
          <w:lang w:val="en-US" w:eastAsia="zh-CN"/>
        </w:rPr>
        <w:t>雷电通过闪电形成的强大电流、高温对人、财产、自然资源进行破坏。造成人员受伤、火灾、设备损坏及财产损失，严重时，会造成人员伤亡。</w:t>
      </w:r>
    </w:p>
    <w:p w14:paraId="25679977">
      <w:pPr>
        <w:bidi w:val="0"/>
        <w:rPr>
          <w:rFonts w:hint="default"/>
          <w:color w:val="auto"/>
          <w:lang w:val="en-US" w:eastAsia="zh-CN"/>
        </w:rPr>
      </w:pPr>
      <w:r>
        <w:rPr>
          <w:rFonts w:hint="default"/>
          <w:color w:val="auto"/>
          <w:lang w:val="en-US" w:eastAsia="zh-CN"/>
        </w:rPr>
        <w:t>杨家店尾矿库的初期坝、沉积滩、供电线路沿线以及上坝道路等处于空旷地带，雷电通过闪电形成强大电流、高温对人、建构筑物、树木等进行破坏，造成人员伤亡、火灾、建构筑物损坏。</w:t>
      </w:r>
    </w:p>
    <w:p w14:paraId="49E3D0CE">
      <w:pPr>
        <w:numPr>
          <w:ilvl w:val="0"/>
          <w:numId w:val="0"/>
        </w:numPr>
        <w:bidi w:val="0"/>
        <w:ind w:left="0" w:leftChars="0" w:firstLine="562" w:firstLineChars="200"/>
        <w:rPr>
          <w:rFonts w:hint="default"/>
          <w:b/>
          <w:bCs/>
          <w:color w:val="auto"/>
          <w:lang w:val="en-US" w:eastAsia="zh-CN"/>
        </w:rPr>
      </w:pPr>
      <w:r>
        <w:rPr>
          <w:rFonts w:hint="default" w:ascii="Times New Roman" w:hAnsi="Times New Roman" w:eastAsia="宋体" w:cs="Times New Roman"/>
          <w:b/>
          <w:bCs/>
          <w:color w:val="auto"/>
          <w:kern w:val="2"/>
          <w:sz w:val="28"/>
          <w:szCs w:val="24"/>
          <w:lang w:val="en-US" w:eastAsia="zh-CN" w:bidi="ar-SA"/>
        </w:rPr>
        <w:t>4.</w:t>
      </w:r>
      <w:r>
        <w:rPr>
          <w:rFonts w:hint="eastAsia" w:cs="Times New Roman"/>
          <w:b/>
          <w:bCs/>
          <w:color w:val="auto"/>
          <w:kern w:val="2"/>
          <w:sz w:val="28"/>
          <w:szCs w:val="24"/>
          <w:lang w:val="en-US" w:eastAsia="zh-CN" w:bidi="ar-SA"/>
        </w:rPr>
        <w:t xml:space="preserve"> </w:t>
      </w:r>
      <w:r>
        <w:rPr>
          <w:rFonts w:hint="default"/>
          <w:b/>
          <w:bCs/>
          <w:color w:val="auto"/>
          <w:lang w:val="en-US" w:eastAsia="zh-CN"/>
        </w:rPr>
        <w:t>高低温</w:t>
      </w:r>
    </w:p>
    <w:p w14:paraId="6FF489A5">
      <w:pPr>
        <w:bidi w:val="0"/>
        <w:rPr>
          <w:rFonts w:hint="default"/>
          <w:color w:val="auto"/>
          <w:lang w:val="en-US" w:eastAsia="zh-CN"/>
        </w:rPr>
      </w:pPr>
      <w:r>
        <w:rPr>
          <w:rFonts w:hint="default"/>
          <w:color w:val="auto"/>
          <w:lang w:val="en-US" w:eastAsia="zh-CN"/>
        </w:rPr>
        <w:t>安福县属亚热带疾风湿润气候。年平均气温17.8℃。最热月为7～8月，平均气温28.9℃，最冷月为1月，平均气温5.9℃。极端最高、最低气温40.8℃和</w:t>
      </w:r>
      <w:r>
        <w:rPr>
          <w:rFonts w:hint="eastAsia" w:ascii="宋体" w:hAnsi="宋体" w:eastAsia="宋体" w:cs="宋体"/>
          <w:color w:val="auto"/>
          <w:lang w:val="en-US" w:eastAsia="zh-CN"/>
        </w:rPr>
        <w:t>-</w:t>
      </w:r>
      <w:r>
        <w:rPr>
          <w:rFonts w:hint="default"/>
          <w:color w:val="auto"/>
          <w:lang w:val="en-US" w:eastAsia="zh-CN"/>
        </w:rPr>
        <w:t>8.3℃。高低温危害性较小。</w:t>
      </w:r>
    </w:p>
    <w:p w14:paraId="10E48DE6">
      <w:pPr>
        <w:bidi w:val="0"/>
        <w:rPr>
          <w:rFonts w:hint="default"/>
          <w:b/>
          <w:bCs/>
          <w:color w:val="auto"/>
          <w:lang w:val="en-US" w:eastAsia="zh-CN"/>
        </w:rPr>
      </w:pPr>
      <w:r>
        <w:rPr>
          <w:rFonts w:hint="default"/>
          <w:b/>
          <w:bCs/>
          <w:color w:val="auto"/>
          <w:lang w:val="en-US" w:eastAsia="zh-CN"/>
        </w:rPr>
        <w:t>5.</w:t>
      </w:r>
      <w:r>
        <w:rPr>
          <w:rFonts w:hint="eastAsia"/>
          <w:b/>
          <w:bCs/>
          <w:color w:val="auto"/>
          <w:lang w:val="en-US" w:eastAsia="zh-CN"/>
        </w:rPr>
        <w:t xml:space="preserve"> </w:t>
      </w:r>
      <w:r>
        <w:rPr>
          <w:rFonts w:hint="default"/>
          <w:b/>
          <w:bCs/>
          <w:color w:val="auto"/>
          <w:lang w:val="en-US" w:eastAsia="zh-CN"/>
        </w:rPr>
        <w:t>大风</w:t>
      </w:r>
    </w:p>
    <w:p w14:paraId="235650D3">
      <w:pPr>
        <w:bidi w:val="0"/>
        <w:rPr>
          <w:rFonts w:hint="default"/>
          <w:color w:val="auto"/>
          <w:lang w:val="en-US" w:eastAsia="zh-CN"/>
        </w:rPr>
      </w:pPr>
      <w:r>
        <w:rPr>
          <w:rFonts w:hint="default"/>
          <w:color w:val="auto"/>
          <w:lang w:val="en-US" w:eastAsia="zh-CN"/>
        </w:rPr>
        <w:t>本区属亚热带季风型气候区，四季分明，夏南冬北风向多，大风危害性较小。</w:t>
      </w:r>
    </w:p>
    <w:p w14:paraId="51512A40">
      <w:pPr>
        <w:bidi w:val="0"/>
        <w:rPr>
          <w:rFonts w:hint="default"/>
          <w:b/>
          <w:bCs/>
          <w:color w:val="auto"/>
          <w:lang w:val="en-US" w:eastAsia="zh-CN"/>
        </w:rPr>
      </w:pPr>
      <w:r>
        <w:rPr>
          <w:rFonts w:hint="default"/>
          <w:b/>
          <w:bCs/>
          <w:color w:val="auto"/>
          <w:lang w:val="en-US" w:eastAsia="zh-CN"/>
        </w:rPr>
        <w:t>6.</w:t>
      </w:r>
      <w:r>
        <w:rPr>
          <w:rFonts w:hint="eastAsia"/>
          <w:b/>
          <w:bCs/>
          <w:color w:val="auto"/>
          <w:lang w:val="en-US" w:eastAsia="zh-CN"/>
        </w:rPr>
        <w:t xml:space="preserve"> </w:t>
      </w:r>
      <w:r>
        <w:rPr>
          <w:rFonts w:hint="default"/>
          <w:b/>
          <w:bCs/>
          <w:color w:val="auto"/>
          <w:lang w:val="en-US" w:eastAsia="zh-CN"/>
        </w:rPr>
        <w:t>地震</w:t>
      </w:r>
    </w:p>
    <w:p w14:paraId="3849093A">
      <w:pPr>
        <w:bidi w:val="0"/>
        <w:rPr>
          <w:rFonts w:hint="default"/>
          <w:color w:val="auto"/>
          <w:lang w:val="en-US" w:eastAsia="zh-CN"/>
        </w:rPr>
      </w:pPr>
      <w:r>
        <w:rPr>
          <w:rFonts w:hint="default"/>
          <w:color w:val="auto"/>
          <w:lang w:val="en-US" w:eastAsia="zh-CN"/>
        </w:rPr>
        <w:t>安福地区抗震设防烈度为</w:t>
      </w:r>
      <w:r>
        <w:rPr>
          <w:rFonts w:hint="eastAsia" w:ascii="宋体" w:hAnsi="宋体" w:eastAsia="宋体" w:cs="宋体"/>
          <w:color w:val="auto"/>
          <w:lang w:val="en-US" w:eastAsia="zh-CN"/>
        </w:rPr>
        <w:t>Ⅵ</w:t>
      </w:r>
      <w:r>
        <w:rPr>
          <w:rFonts w:hint="default"/>
          <w:color w:val="auto"/>
          <w:lang w:val="en-US" w:eastAsia="zh-CN"/>
        </w:rPr>
        <w:t>度区，设计基本地震加速度值为0.05g，设计地震分组为第一组。杨家店尾矿库地震危害较小。</w:t>
      </w:r>
    </w:p>
    <w:p w14:paraId="172935A8">
      <w:pPr>
        <w:bidi w:val="0"/>
        <w:rPr>
          <w:rFonts w:hint="default"/>
          <w:b/>
          <w:bCs/>
          <w:color w:val="auto"/>
          <w:lang w:val="en-US" w:eastAsia="zh-CN"/>
        </w:rPr>
      </w:pPr>
      <w:r>
        <w:rPr>
          <w:rFonts w:hint="default"/>
          <w:b/>
          <w:bCs/>
          <w:color w:val="auto"/>
          <w:lang w:val="en-US" w:eastAsia="zh-CN"/>
        </w:rPr>
        <w:t>7.</w:t>
      </w:r>
      <w:r>
        <w:rPr>
          <w:rFonts w:hint="eastAsia"/>
          <w:b/>
          <w:bCs/>
          <w:color w:val="auto"/>
          <w:lang w:val="en-US" w:eastAsia="zh-CN"/>
        </w:rPr>
        <w:t xml:space="preserve"> </w:t>
      </w:r>
      <w:r>
        <w:rPr>
          <w:rFonts w:hint="default"/>
          <w:b/>
          <w:bCs/>
          <w:color w:val="auto"/>
          <w:lang w:val="en-US" w:eastAsia="zh-CN"/>
        </w:rPr>
        <w:t>动植物危害</w:t>
      </w:r>
    </w:p>
    <w:p w14:paraId="4779797D">
      <w:pPr>
        <w:bidi w:val="0"/>
        <w:rPr>
          <w:rFonts w:hint="default"/>
          <w:color w:val="auto"/>
          <w:lang w:val="en-US" w:eastAsia="zh-CN"/>
        </w:rPr>
      </w:pPr>
      <w:r>
        <w:rPr>
          <w:rFonts w:hint="default"/>
          <w:color w:val="auto"/>
          <w:lang w:val="en-US" w:eastAsia="zh-CN"/>
        </w:rPr>
        <w:t>杨家店尾矿库地处山区、林区，可能有蛇、蚊、虫、土蜂及荆棘等，人员巡库过程中，容易诱发蛇、蚊、虫、土蜂意外咬（蛰）伤及荆棘刺伤。</w:t>
      </w:r>
    </w:p>
    <w:p w14:paraId="085038B4">
      <w:pPr>
        <w:bidi w:val="0"/>
        <w:rPr>
          <w:rFonts w:hint="default"/>
          <w:color w:val="auto"/>
          <w:lang w:val="en-US" w:eastAsia="zh-CN"/>
        </w:rPr>
      </w:pPr>
      <w:r>
        <w:rPr>
          <w:rFonts w:hint="default"/>
          <w:color w:val="auto"/>
          <w:lang w:val="en-US" w:eastAsia="zh-CN"/>
        </w:rPr>
        <w:t>二、尾矿坝坝体</w:t>
      </w:r>
    </w:p>
    <w:p w14:paraId="31B432B0">
      <w:pPr>
        <w:bidi w:val="0"/>
        <w:rPr>
          <w:rFonts w:hint="default"/>
          <w:b/>
          <w:bCs/>
          <w:color w:val="auto"/>
          <w:lang w:val="en-US" w:eastAsia="zh-CN"/>
        </w:rPr>
      </w:pPr>
      <w:r>
        <w:rPr>
          <w:rFonts w:hint="default"/>
          <w:b/>
          <w:bCs/>
          <w:color w:val="auto"/>
          <w:lang w:val="en-US" w:eastAsia="zh-CN"/>
        </w:rPr>
        <w:t>1.</w:t>
      </w:r>
      <w:r>
        <w:rPr>
          <w:rFonts w:hint="eastAsia"/>
          <w:b/>
          <w:bCs/>
          <w:color w:val="auto"/>
          <w:lang w:val="en-US" w:eastAsia="zh-CN"/>
        </w:rPr>
        <w:t xml:space="preserve"> </w:t>
      </w:r>
      <w:r>
        <w:rPr>
          <w:rFonts w:hint="default"/>
          <w:b/>
          <w:bCs/>
          <w:color w:val="auto"/>
          <w:lang w:val="en-US" w:eastAsia="zh-CN"/>
        </w:rPr>
        <w:t>溃坝</w:t>
      </w:r>
    </w:p>
    <w:p w14:paraId="37062FBD">
      <w:pPr>
        <w:bidi w:val="0"/>
        <w:rPr>
          <w:rFonts w:hint="default"/>
          <w:color w:val="auto"/>
          <w:lang w:val="en-US" w:eastAsia="zh-CN"/>
        </w:rPr>
      </w:pPr>
      <w:r>
        <w:rPr>
          <w:rFonts w:hint="default"/>
          <w:color w:val="auto"/>
          <w:lang w:val="en-US" w:eastAsia="zh-CN"/>
        </w:rPr>
        <w:t>溃坝是尾矿库事故的最终体现。造成溃坝的主要原因是：</w:t>
      </w:r>
    </w:p>
    <w:p w14:paraId="65CF8362">
      <w:pPr>
        <w:bidi w:val="0"/>
        <w:rPr>
          <w:rFonts w:hint="default"/>
          <w:color w:val="auto"/>
          <w:lang w:val="en-US" w:eastAsia="zh-CN"/>
        </w:rPr>
      </w:pPr>
      <w:r>
        <w:rPr>
          <w:rFonts w:hint="default"/>
          <w:color w:val="auto"/>
          <w:lang w:val="en-US" w:eastAsia="zh-CN"/>
        </w:rPr>
        <w:t>（1）因坝坡失稳而溃坝</w:t>
      </w:r>
    </w:p>
    <w:p w14:paraId="6FB1053F">
      <w:pPr>
        <w:bidi w:val="0"/>
        <w:rPr>
          <w:rFonts w:hint="default"/>
          <w:color w:val="auto"/>
          <w:lang w:val="en-US" w:eastAsia="zh-CN"/>
        </w:rPr>
      </w:pPr>
      <w:r>
        <w:rPr>
          <w:rFonts w:hint="default"/>
          <w:color w:val="auto"/>
          <w:lang w:val="en-US" w:eastAsia="zh-CN"/>
        </w:rPr>
        <w:t>①坝体出现贯穿性横向裂缝；</w:t>
      </w:r>
    </w:p>
    <w:p w14:paraId="6C7E320D">
      <w:pPr>
        <w:bidi w:val="0"/>
        <w:rPr>
          <w:rFonts w:hint="default"/>
          <w:color w:val="auto"/>
          <w:lang w:val="en-US" w:eastAsia="zh-CN"/>
        </w:rPr>
      </w:pPr>
      <w:r>
        <w:rPr>
          <w:rFonts w:hint="default"/>
          <w:color w:val="auto"/>
          <w:lang w:val="en-US" w:eastAsia="zh-CN"/>
        </w:rPr>
        <w:t>②坝体出现较大范围管涌流土变形；</w:t>
      </w:r>
    </w:p>
    <w:p w14:paraId="57F7C8A2">
      <w:pPr>
        <w:bidi w:val="0"/>
        <w:rPr>
          <w:rFonts w:hint="default"/>
          <w:color w:val="auto"/>
          <w:lang w:val="en-US" w:eastAsia="zh-CN"/>
        </w:rPr>
      </w:pPr>
      <w:r>
        <w:rPr>
          <w:rFonts w:hint="default"/>
          <w:color w:val="auto"/>
          <w:lang w:val="en-US" w:eastAsia="zh-CN"/>
        </w:rPr>
        <w:t>③坝体出现深层滑动迹象；</w:t>
      </w:r>
    </w:p>
    <w:p w14:paraId="6F97F703">
      <w:pPr>
        <w:bidi w:val="0"/>
        <w:rPr>
          <w:rFonts w:hint="default"/>
          <w:color w:val="auto"/>
          <w:lang w:val="en-US" w:eastAsia="zh-CN"/>
        </w:rPr>
      </w:pPr>
      <w:r>
        <w:rPr>
          <w:rFonts w:hint="default"/>
          <w:color w:val="auto"/>
          <w:lang w:val="en-US" w:eastAsia="zh-CN"/>
        </w:rPr>
        <w:t>④坝体出现渗透破坏；</w:t>
      </w:r>
    </w:p>
    <w:p w14:paraId="5E3502AE">
      <w:pPr>
        <w:bidi w:val="0"/>
        <w:rPr>
          <w:rFonts w:hint="default"/>
          <w:color w:val="auto"/>
          <w:lang w:val="en-US" w:eastAsia="zh-CN"/>
        </w:rPr>
      </w:pPr>
      <w:r>
        <w:rPr>
          <w:rFonts w:hint="default"/>
          <w:color w:val="auto"/>
          <w:lang w:val="en-US" w:eastAsia="zh-CN"/>
        </w:rPr>
        <w:t>⑤坝体碾压压实度不够；入库尾矿细度变细，物理力学指标变差，坝体稳定性安全系数小于规范值的0.95倍。</w:t>
      </w:r>
    </w:p>
    <w:p w14:paraId="6C416B47">
      <w:pPr>
        <w:bidi w:val="0"/>
        <w:rPr>
          <w:rFonts w:hint="default"/>
          <w:color w:val="auto"/>
          <w:lang w:val="en-US" w:eastAsia="zh-CN"/>
        </w:rPr>
      </w:pPr>
      <w:r>
        <w:rPr>
          <w:rFonts w:hint="default"/>
          <w:color w:val="auto"/>
          <w:lang w:val="en-US" w:eastAsia="zh-CN"/>
        </w:rPr>
        <w:t>⑥地震破坏。</w:t>
      </w:r>
    </w:p>
    <w:p w14:paraId="4B17F741">
      <w:pPr>
        <w:bidi w:val="0"/>
        <w:rPr>
          <w:rFonts w:hint="default"/>
          <w:color w:val="auto"/>
          <w:lang w:val="en-US" w:eastAsia="zh-CN"/>
        </w:rPr>
      </w:pPr>
      <w:r>
        <w:rPr>
          <w:rFonts w:hint="default"/>
          <w:color w:val="auto"/>
          <w:lang w:val="en-US" w:eastAsia="zh-CN"/>
        </w:rPr>
        <w:t>⑦坝址地质构造等原因。</w:t>
      </w:r>
    </w:p>
    <w:p w14:paraId="2012B94C">
      <w:pPr>
        <w:bidi w:val="0"/>
        <w:rPr>
          <w:rFonts w:hint="default"/>
          <w:color w:val="auto"/>
          <w:lang w:val="en-US" w:eastAsia="zh-CN"/>
        </w:rPr>
      </w:pPr>
      <w:r>
        <w:rPr>
          <w:rFonts w:hint="default"/>
          <w:color w:val="auto"/>
          <w:lang w:val="en-US" w:eastAsia="zh-CN"/>
        </w:rPr>
        <w:t>⑧暴雨期间，坝坡面拉沟严重，且得不到及时充填夯实，拉沟继续扩大延伸导致溃坝。</w:t>
      </w:r>
    </w:p>
    <w:p w14:paraId="72703EC5">
      <w:pPr>
        <w:bidi w:val="0"/>
        <w:rPr>
          <w:rFonts w:hint="default"/>
          <w:color w:val="auto"/>
          <w:lang w:val="en-US" w:eastAsia="zh-CN"/>
        </w:rPr>
      </w:pPr>
      <w:r>
        <w:rPr>
          <w:rFonts w:hint="default"/>
          <w:color w:val="auto"/>
          <w:lang w:val="en-US" w:eastAsia="zh-CN"/>
        </w:rPr>
        <w:t>（2）因排洪系统隐患，最终造成溃坝事故</w:t>
      </w:r>
    </w:p>
    <w:p w14:paraId="3D43B589">
      <w:pPr>
        <w:bidi w:val="0"/>
        <w:rPr>
          <w:rFonts w:hint="default"/>
          <w:color w:val="auto"/>
          <w:lang w:val="en-US" w:eastAsia="zh-CN"/>
        </w:rPr>
      </w:pPr>
      <w:r>
        <w:rPr>
          <w:rFonts w:hint="default"/>
          <w:color w:val="auto"/>
          <w:lang w:val="en-US" w:eastAsia="zh-CN"/>
        </w:rPr>
        <w:t>①大量超设计洪水入库，尾矿库排水系统不畅，库内水位急剧上升，从坝面外溢，继而拉沟溃坝。</w:t>
      </w:r>
    </w:p>
    <w:p w14:paraId="3674C0B4">
      <w:pPr>
        <w:bidi w:val="0"/>
        <w:rPr>
          <w:rFonts w:hint="default"/>
          <w:color w:val="auto"/>
          <w:lang w:val="en-US" w:eastAsia="zh-CN"/>
        </w:rPr>
      </w:pPr>
      <w:r>
        <w:rPr>
          <w:rFonts w:hint="default"/>
          <w:color w:val="auto"/>
          <w:lang w:val="en-US" w:eastAsia="zh-CN"/>
        </w:rPr>
        <w:t>②排洪系统严重堵塞或坍塌。</w:t>
      </w:r>
    </w:p>
    <w:p w14:paraId="4715CC11">
      <w:pPr>
        <w:bidi w:val="0"/>
        <w:rPr>
          <w:rFonts w:hint="default"/>
          <w:color w:val="auto"/>
          <w:lang w:val="en-US" w:eastAsia="zh-CN"/>
        </w:rPr>
      </w:pPr>
      <w:r>
        <w:rPr>
          <w:rFonts w:hint="default"/>
          <w:color w:val="auto"/>
          <w:lang w:val="en-US" w:eastAsia="zh-CN"/>
        </w:rPr>
        <w:t>（3）因渗流破坏而造成溃坝；</w:t>
      </w:r>
    </w:p>
    <w:p w14:paraId="4A6047EF">
      <w:pPr>
        <w:bidi w:val="0"/>
        <w:rPr>
          <w:rFonts w:hint="default"/>
          <w:color w:val="auto"/>
          <w:lang w:val="en-US" w:eastAsia="zh-CN"/>
        </w:rPr>
      </w:pPr>
      <w:r>
        <w:rPr>
          <w:rFonts w:hint="default"/>
          <w:color w:val="auto"/>
          <w:lang w:val="en-US" w:eastAsia="zh-CN"/>
        </w:rPr>
        <w:t>（4）因结构破坏而造成溃坝；</w:t>
      </w:r>
    </w:p>
    <w:p w14:paraId="2E6F40DA">
      <w:pPr>
        <w:bidi w:val="0"/>
        <w:rPr>
          <w:rFonts w:hint="default"/>
          <w:color w:val="auto"/>
          <w:lang w:val="en-US" w:eastAsia="zh-CN"/>
        </w:rPr>
      </w:pPr>
      <w:r>
        <w:rPr>
          <w:rFonts w:hint="default"/>
          <w:color w:val="auto"/>
          <w:lang w:val="en-US" w:eastAsia="zh-CN"/>
        </w:rPr>
        <w:t>（5）因周边环境不利因素引发的溃坝，如在尾矿坝上或库内进行乱采滥挖，破坏坝体或排洪设施。</w:t>
      </w:r>
    </w:p>
    <w:p w14:paraId="4C010773">
      <w:pPr>
        <w:bidi w:val="0"/>
        <w:rPr>
          <w:rFonts w:hint="default"/>
          <w:color w:val="auto"/>
          <w:lang w:val="en-US" w:eastAsia="zh-CN"/>
        </w:rPr>
      </w:pPr>
      <w:r>
        <w:rPr>
          <w:rFonts w:hint="default"/>
          <w:color w:val="auto"/>
          <w:lang w:val="en-US" w:eastAsia="zh-CN"/>
        </w:rPr>
        <w:t>经现场勘查，杨家店尾矿库可能溃坝的原因主要有：软弱建基面施以动力荷载、坝体渗透破坏、溢洪道严重堵塞或坍塌、超标准洪水。</w:t>
      </w:r>
    </w:p>
    <w:p w14:paraId="680457CA">
      <w:pPr>
        <w:numPr>
          <w:ilvl w:val="0"/>
          <w:numId w:val="0"/>
        </w:numPr>
        <w:bidi w:val="0"/>
        <w:ind w:firstLine="562" w:firstLineChars="200"/>
        <w:rPr>
          <w:rFonts w:hint="default"/>
          <w:b/>
          <w:bCs/>
          <w:color w:val="auto"/>
          <w:lang w:val="en-US" w:eastAsia="zh-CN"/>
        </w:rPr>
      </w:pPr>
      <w:r>
        <w:rPr>
          <w:rFonts w:hint="default" w:ascii="Times New Roman" w:hAnsi="Times New Roman" w:eastAsia="宋体" w:cs="Times New Roman"/>
          <w:b/>
          <w:bCs/>
          <w:color w:val="auto"/>
          <w:kern w:val="2"/>
          <w:sz w:val="28"/>
          <w:szCs w:val="24"/>
          <w:lang w:val="en-US" w:eastAsia="zh-CN" w:bidi="ar-SA"/>
        </w:rPr>
        <w:t>2.</w:t>
      </w:r>
      <w:r>
        <w:rPr>
          <w:rFonts w:hint="eastAsia" w:cs="Times New Roman"/>
          <w:b/>
          <w:bCs/>
          <w:color w:val="auto"/>
          <w:kern w:val="2"/>
          <w:sz w:val="28"/>
          <w:szCs w:val="24"/>
          <w:lang w:val="en-US" w:eastAsia="zh-CN" w:bidi="ar-SA"/>
        </w:rPr>
        <w:t xml:space="preserve"> </w:t>
      </w:r>
      <w:r>
        <w:rPr>
          <w:rFonts w:hint="default"/>
          <w:b/>
          <w:bCs/>
          <w:color w:val="auto"/>
          <w:lang w:val="en-US" w:eastAsia="zh-CN"/>
        </w:rPr>
        <w:t>坝坡失稳（滑坡）</w:t>
      </w:r>
    </w:p>
    <w:p w14:paraId="35664054">
      <w:pPr>
        <w:bidi w:val="0"/>
        <w:rPr>
          <w:rFonts w:hint="default"/>
          <w:color w:val="auto"/>
          <w:lang w:val="en-US" w:eastAsia="zh-CN"/>
        </w:rPr>
      </w:pPr>
      <w:r>
        <w:rPr>
          <w:rFonts w:hint="default"/>
          <w:color w:val="auto"/>
          <w:lang w:val="en-US" w:eastAsia="zh-CN"/>
        </w:rPr>
        <w:t>坝坡失稳造成滑坡，是尾矿坝最危险的因素之一，较大规模的滑坡，往往是垮坝事故的先兆，即使是较小的滑坡也不能掉以轻心。有些滑坡是突然发生的，有的先由裂缝开始，如不及时处理，逐步扩大和漫延，则可能造成垮坝重大事故。</w:t>
      </w:r>
    </w:p>
    <w:p w14:paraId="0F6489DF">
      <w:pPr>
        <w:bidi w:val="0"/>
        <w:rPr>
          <w:rFonts w:hint="default"/>
          <w:color w:val="auto"/>
          <w:lang w:val="en-US" w:eastAsia="zh-CN"/>
        </w:rPr>
      </w:pPr>
      <w:r>
        <w:rPr>
          <w:rFonts w:hint="default"/>
          <w:color w:val="auto"/>
          <w:lang w:val="en-US" w:eastAsia="zh-CN"/>
        </w:rPr>
        <w:t>滑坡的种类，按滑坡的性质分剪切性滑坡，塑流性滑坡和液化性滑坡。</w:t>
      </w:r>
    </w:p>
    <w:p w14:paraId="415FC220">
      <w:pPr>
        <w:bidi w:val="0"/>
        <w:rPr>
          <w:rFonts w:hint="default"/>
          <w:color w:val="auto"/>
          <w:lang w:val="en-US" w:eastAsia="zh-CN"/>
        </w:rPr>
      </w:pPr>
      <w:r>
        <w:rPr>
          <w:rFonts w:hint="default"/>
          <w:color w:val="auto"/>
          <w:lang w:val="en-US" w:eastAsia="zh-CN"/>
        </w:rPr>
        <w:t>滑坡的主要原因：</w:t>
      </w:r>
    </w:p>
    <w:p w14:paraId="57293CA8">
      <w:pPr>
        <w:bidi w:val="0"/>
        <w:rPr>
          <w:rFonts w:hint="default"/>
          <w:color w:val="auto"/>
          <w:lang w:val="en-US" w:eastAsia="zh-CN"/>
        </w:rPr>
      </w:pPr>
      <w:r>
        <w:rPr>
          <w:rFonts w:hint="default"/>
          <w:color w:val="auto"/>
          <w:lang w:val="en-US" w:eastAsia="zh-CN"/>
        </w:rPr>
        <w:t>（1）尾矿坝边坡陡于设计边坡，坝体抗滑安全系数不足；</w:t>
      </w:r>
    </w:p>
    <w:p w14:paraId="544CD1C3">
      <w:pPr>
        <w:bidi w:val="0"/>
        <w:rPr>
          <w:rFonts w:hint="default"/>
          <w:color w:val="auto"/>
          <w:lang w:val="en-US" w:eastAsia="zh-CN"/>
        </w:rPr>
      </w:pPr>
      <w:r>
        <w:rPr>
          <w:rFonts w:hint="default"/>
          <w:color w:val="auto"/>
          <w:lang w:val="en-US" w:eastAsia="zh-CN"/>
        </w:rPr>
        <w:t>（2）坝面维护不善，雨水冲刷拉沟，严重时会造成局部坝段滑坡；</w:t>
      </w:r>
    </w:p>
    <w:p w14:paraId="06684935">
      <w:pPr>
        <w:bidi w:val="0"/>
        <w:rPr>
          <w:rFonts w:hint="default"/>
          <w:color w:val="auto"/>
          <w:lang w:val="en-US" w:eastAsia="zh-CN"/>
        </w:rPr>
      </w:pPr>
      <w:r>
        <w:rPr>
          <w:rFonts w:hint="default"/>
          <w:color w:val="auto"/>
          <w:lang w:val="en-US" w:eastAsia="zh-CN"/>
        </w:rPr>
        <w:t>（3）尾矿坝坡面无排水系统或排水系统不完善，造成坝面冲刷严重，威胁坝体安全。</w:t>
      </w:r>
    </w:p>
    <w:p w14:paraId="4AC5CBF3">
      <w:pPr>
        <w:bidi w:val="0"/>
        <w:rPr>
          <w:rFonts w:hint="default"/>
          <w:color w:val="auto"/>
          <w:lang w:val="en-US" w:eastAsia="zh-CN"/>
        </w:rPr>
      </w:pPr>
      <w:r>
        <w:rPr>
          <w:rFonts w:hint="default"/>
          <w:color w:val="auto"/>
          <w:lang w:val="en-US" w:eastAsia="zh-CN"/>
        </w:rPr>
        <w:t>经现场勘查，杨家店尾矿库可能坝坡失稳的原因主要有：坝坡面维护不善、坝坡面无排水系统或排水系统破坏。</w:t>
      </w:r>
    </w:p>
    <w:p w14:paraId="2E155B59">
      <w:pPr>
        <w:bidi w:val="0"/>
        <w:rPr>
          <w:rFonts w:hint="default"/>
          <w:b/>
          <w:bCs/>
          <w:color w:val="auto"/>
          <w:lang w:val="en-US" w:eastAsia="zh-CN"/>
        </w:rPr>
      </w:pPr>
      <w:r>
        <w:rPr>
          <w:rFonts w:hint="default"/>
          <w:b/>
          <w:bCs/>
          <w:color w:val="auto"/>
          <w:lang w:val="en-US" w:eastAsia="zh-CN"/>
        </w:rPr>
        <w:t>3.</w:t>
      </w:r>
      <w:r>
        <w:rPr>
          <w:rFonts w:hint="eastAsia"/>
          <w:b/>
          <w:bCs/>
          <w:color w:val="auto"/>
          <w:lang w:val="en-US" w:eastAsia="zh-CN"/>
        </w:rPr>
        <w:t xml:space="preserve"> </w:t>
      </w:r>
      <w:r>
        <w:rPr>
          <w:rFonts w:hint="default"/>
          <w:b/>
          <w:bCs/>
          <w:color w:val="auto"/>
          <w:lang w:val="en-US" w:eastAsia="zh-CN"/>
        </w:rPr>
        <w:t>坝体垮塌</w:t>
      </w:r>
    </w:p>
    <w:p w14:paraId="512E2061">
      <w:pPr>
        <w:bidi w:val="0"/>
        <w:rPr>
          <w:rFonts w:hint="default"/>
          <w:color w:val="auto"/>
          <w:lang w:val="en-US" w:eastAsia="zh-CN"/>
        </w:rPr>
      </w:pPr>
      <w:r>
        <w:rPr>
          <w:rFonts w:hint="default"/>
          <w:color w:val="auto"/>
          <w:lang w:val="en-US" w:eastAsia="zh-CN"/>
        </w:rPr>
        <w:t>坝体垮塌是严重事故，虽不多见，但有不少先例，须引起高度重视。坝体垮塌的主要原因：</w:t>
      </w:r>
    </w:p>
    <w:p w14:paraId="5D366CAD">
      <w:pPr>
        <w:bidi w:val="0"/>
        <w:rPr>
          <w:rFonts w:hint="default"/>
          <w:color w:val="auto"/>
          <w:lang w:val="en-US" w:eastAsia="zh-CN"/>
        </w:rPr>
      </w:pPr>
      <w:r>
        <w:rPr>
          <w:rFonts w:hint="default"/>
          <w:color w:val="auto"/>
          <w:lang w:val="en-US" w:eastAsia="zh-CN"/>
        </w:rPr>
        <w:t>（1）基础不稳固；</w:t>
      </w:r>
    </w:p>
    <w:p w14:paraId="35A1A678">
      <w:pPr>
        <w:bidi w:val="0"/>
        <w:rPr>
          <w:rFonts w:hint="default"/>
          <w:color w:val="auto"/>
          <w:lang w:val="en-US" w:eastAsia="zh-CN"/>
        </w:rPr>
      </w:pPr>
      <w:r>
        <w:rPr>
          <w:rFonts w:hint="default"/>
          <w:color w:val="auto"/>
          <w:lang w:val="en-US" w:eastAsia="zh-CN"/>
        </w:rPr>
        <w:t>（2）未按设计要求筑坝（压实度偏低、外坡比偏陡）；</w:t>
      </w:r>
    </w:p>
    <w:p w14:paraId="5B5B49F1">
      <w:pPr>
        <w:bidi w:val="0"/>
        <w:rPr>
          <w:rFonts w:hint="default"/>
          <w:color w:val="auto"/>
          <w:lang w:val="en-US" w:eastAsia="zh-CN"/>
        </w:rPr>
      </w:pPr>
      <w:r>
        <w:rPr>
          <w:rFonts w:hint="default"/>
          <w:color w:val="auto"/>
          <w:lang w:val="en-US" w:eastAsia="zh-CN"/>
        </w:rPr>
        <w:t>（3）未在库内铺设土工格栅；未采用加筋土工滤网对四周加高堆积体进行加筋处理；</w:t>
      </w:r>
    </w:p>
    <w:p w14:paraId="7AA1F375">
      <w:pPr>
        <w:bidi w:val="0"/>
        <w:rPr>
          <w:rFonts w:hint="default"/>
          <w:color w:val="auto"/>
          <w:lang w:val="en-US" w:eastAsia="zh-CN"/>
        </w:rPr>
      </w:pPr>
      <w:r>
        <w:rPr>
          <w:rFonts w:hint="default"/>
          <w:color w:val="auto"/>
          <w:lang w:val="en-US" w:eastAsia="zh-CN"/>
        </w:rPr>
        <w:t>（4）坝体内、外坡被山水冲刷；</w:t>
      </w:r>
    </w:p>
    <w:p w14:paraId="5C02EFC6">
      <w:pPr>
        <w:bidi w:val="0"/>
        <w:rPr>
          <w:rFonts w:hint="default"/>
          <w:color w:val="auto"/>
          <w:lang w:val="en-US" w:eastAsia="zh-CN"/>
        </w:rPr>
      </w:pPr>
      <w:r>
        <w:rPr>
          <w:rFonts w:hint="default"/>
          <w:color w:val="auto"/>
          <w:lang w:val="en-US" w:eastAsia="zh-CN"/>
        </w:rPr>
        <w:t>（5）排矿不规范、不合理；</w:t>
      </w:r>
    </w:p>
    <w:p w14:paraId="5444CD10">
      <w:pPr>
        <w:bidi w:val="0"/>
        <w:rPr>
          <w:rFonts w:hint="default"/>
          <w:color w:val="auto"/>
          <w:lang w:val="en-US" w:eastAsia="zh-CN"/>
        </w:rPr>
      </w:pPr>
      <w:r>
        <w:rPr>
          <w:rFonts w:hint="default"/>
          <w:color w:val="auto"/>
          <w:lang w:val="en-US" w:eastAsia="zh-CN"/>
        </w:rPr>
        <w:t>（6）尾矿滤饼含水率偏高；</w:t>
      </w:r>
    </w:p>
    <w:p w14:paraId="47495C63">
      <w:pPr>
        <w:bidi w:val="0"/>
        <w:rPr>
          <w:rFonts w:hint="default"/>
          <w:color w:val="auto"/>
          <w:lang w:val="en-US" w:eastAsia="zh-CN"/>
        </w:rPr>
      </w:pPr>
      <w:r>
        <w:rPr>
          <w:rFonts w:hint="default"/>
          <w:color w:val="auto"/>
          <w:lang w:val="en-US" w:eastAsia="zh-CN"/>
        </w:rPr>
        <w:t>（7）排洪构筑物、排渗设施遭损坏，又未及时修复，使排洪、排渗的功能不能满足要求；</w:t>
      </w:r>
    </w:p>
    <w:p w14:paraId="1E3D5A69">
      <w:pPr>
        <w:bidi w:val="0"/>
        <w:rPr>
          <w:rFonts w:hint="default"/>
          <w:color w:val="auto"/>
          <w:lang w:val="en-US" w:eastAsia="zh-CN"/>
        </w:rPr>
      </w:pPr>
      <w:r>
        <w:rPr>
          <w:rFonts w:hint="default"/>
          <w:color w:val="auto"/>
          <w:lang w:val="en-US" w:eastAsia="zh-CN"/>
        </w:rPr>
        <w:t>（8）尾矿粒度组成发生变化，矿泥增多，又未采取措施，使坝体稳固性受到较大影响；</w:t>
      </w:r>
    </w:p>
    <w:p w14:paraId="3C2038D5">
      <w:pPr>
        <w:bidi w:val="0"/>
        <w:rPr>
          <w:rFonts w:hint="default"/>
          <w:color w:val="auto"/>
          <w:lang w:val="en-US" w:eastAsia="zh-CN"/>
        </w:rPr>
      </w:pPr>
      <w:r>
        <w:rPr>
          <w:rFonts w:hint="default"/>
          <w:color w:val="auto"/>
          <w:lang w:val="en-US" w:eastAsia="zh-CN"/>
        </w:rPr>
        <w:t>（9）管理不善，麻痹大意，未能及时发现问题，或发现问题后，没有及时采取措施治理等。</w:t>
      </w:r>
    </w:p>
    <w:p w14:paraId="40070DC5">
      <w:pPr>
        <w:bidi w:val="0"/>
        <w:rPr>
          <w:rFonts w:hint="default"/>
          <w:color w:val="auto"/>
          <w:lang w:val="en-US" w:eastAsia="zh-CN"/>
        </w:rPr>
      </w:pPr>
      <w:r>
        <w:rPr>
          <w:rFonts w:hint="default"/>
          <w:color w:val="auto"/>
          <w:lang w:val="en-US" w:eastAsia="zh-CN"/>
        </w:rPr>
        <w:t>严重后果：</w:t>
      </w:r>
    </w:p>
    <w:p w14:paraId="3D39DCC5">
      <w:pPr>
        <w:bidi w:val="0"/>
        <w:rPr>
          <w:rFonts w:hint="default"/>
          <w:color w:val="auto"/>
          <w:lang w:val="en-US" w:eastAsia="zh-CN"/>
        </w:rPr>
      </w:pPr>
      <w:r>
        <w:rPr>
          <w:rFonts w:hint="default"/>
          <w:color w:val="auto"/>
          <w:lang w:val="en-US" w:eastAsia="zh-CN"/>
        </w:rPr>
        <w:t>（1）严重污染下游环境，影响渔业生产和人们的健康；</w:t>
      </w:r>
    </w:p>
    <w:p w14:paraId="5BFCBD79">
      <w:pPr>
        <w:bidi w:val="0"/>
        <w:rPr>
          <w:rFonts w:hint="default"/>
          <w:color w:val="auto"/>
          <w:lang w:val="en-US" w:eastAsia="zh-CN"/>
        </w:rPr>
      </w:pPr>
      <w:r>
        <w:rPr>
          <w:rFonts w:hint="default"/>
          <w:color w:val="auto"/>
          <w:lang w:val="en-US" w:eastAsia="zh-CN"/>
        </w:rPr>
        <w:t>（2）造成选矿厂停产，修建坝体需花费大量人力、物力、财力和时间。</w:t>
      </w:r>
    </w:p>
    <w:p w14:paraId="48CFB41F">
      <w:pPr>
        <w:bidi w:val="0"/>
        <w:rPr>
          <w:rFonts w:hint="default"/>
          <w:color w:val="auto"/>
          <w:lang w:val="en-US" w:eastAsia="zh-CN"/>
        </w:rPr>
      </w:pPr>
      <w:r>
        <w:rPr>
          <w:rFonts w:hint="default"/>
          <w:color w:val="auto"/>
          <w:lang w:val="en-US" w:eastAsia="zh-CN"/>
        </w:rPr>
        <w:t>经现场勘查，杨家店尾矿库坝体可能垮塌的原因主要有：未按设计要求筑坝、排洪构筑物遭损坏、排矿不规范、排渗设施缺失、管理缺失。</w:t>
      </w:r>
    </w:p>
    <w:p w14:paraId="4FD44833">
      <w:pPr>
        <w:bidi w:val="0"/>
        <w:rPr>
          <w:rFonts w:hint="default"/>
          <w:b/>
          <w:bCs/>
          <w:color w:val="auto"/>
          <w:lang w:val="en-US" w:eastAsia="zh-CN"/>
        </w:rPr>
      </w:pPr>
      <w:r>
        <w:rPr>
          <w:rFonts w:hint="default"/>
          <w:b/>
          <w:bCs/>
          <w:color w:val="auto"/>
          <w:lang w:val="en-US" w:eastAsia="zh-CN"/>
        </w:rPr>
        <w:t>4.</w:t>
      </w:r>
      <w:r>
        <w:rPr>
          <w:rFonts w:hint="eastAsia"/>
          <w:b/>
          <w:bCs/>
          <w:color w:val="auto"/>
          <w:lang w:val="en-US" w:eastAsia="zh-CN"/>
        </w:rPr>
        <w:t xml:space="preserve"> </w:t>
      </w:r>
      <w:r>
        <w:rPr>
          <w:rFonts w:hint="default"/>
          <w:b/>
          <w:bCs/>
          <w:color w:val="auto"/>
          <w:lang w:val="en-US" w:eastAsia="zh-CN"/>
        </w:rPr>
        <w:t>裂缝</w:t>
      </w:r>
    </w:p>
    <w:p w14:paraId="6FFC735A">
      <w:pPr>
        <w:bidi w:val="0"/>
        <w:rPr>
          <w:rFonts w:hint="default"/>
          <w:color w:val="auto"/>
          <w:lang w:val="en-US" w:eastAsia="zh-CN"/>
        </w:rPr>
      </w:pPr>
      <w:r>
        <w:rPr>
          <w:rFonts w:hint="default"/>
          <w:color w:val="auto"/>
          <w:lang w:val="en-US" w:eastAsia="zh-CN"/>
        </w:rPr>
        <w:t>裂缝是尾矿坝较为常见的有害因素，某些细小的横向裂缝有可能发展成为坝体的集中渗漏通道，有的纵向裂缝或水平裂缝也可能是坝体出现滑塌的预兆。</w:t>
      </w:r>
    </w:p>
    <w:p w14:paraId="4599FF25">
      <w:pPr>
        <w:bidi w:val="0"/>
        <w:rPr>
          <w:rFonts w:hint="default"/>
          <w:color w:val="auto"/>
          <w:lang w:val="en-US" w:eastAsia="zh-CN"/>
        </w:rPr>
      </w:pPr>
      <w:r>
        <w:rPr>
          <w:rFonts w:hint="default"/>
          <w:color w:val="auto"/>
          <w:lang w:val="en-US" w:eastAsia="zh-CN"/>
        </w:rPr>
        <w:t>裂缝的主要成因有：</w:t>
      </w:r>
    </w:p>
    <w:p w14:paraId="19BBCAC6">
      <w:pPr>
        <w:bidi w:val="0"/>
        <w:rPr>
          <w:rFonts w:hint="default"/>
          <w:color w:val="auto"/>
          <w:lang w:val="en-US" w:eastAsia="zh-CN"/>
        </w:rPr>
      </w:pPr>
      <w:r>
        <w:rPr>
          <w:rFonts w:hint="default"/>
          <w:color w:val="auto"/>
          <w:lang w:val="en-US" w:eastAsia="zh-CN"/>
        </w:rPr>
        <w:t>（1）坝基承载能力不均衡；</w:t>
      </w:r>
    </w:p>
    <w:p w14:paraId="4BFDE2DD">
      <w:pPr>
        <w:bidi w:val="0"/>
        <w:rPr>
          <w:rFonts w:hint="default"/>
          <w:color w:val="auto"/>
          <w:lang w:val="en-US" w:eastAsia="zh-CN"/>
        </w:rPr>
      </w:pPr>
      <w:r>
        <w:rPr>
          <w:rFonts w:hint="default"/>
          <w:color w:val="auto"/>
          <w:lang w:val="en-US" w:eastAsia="zh-CN"/>
        </w:rPr>
        <w:t>（2）坝体施工质量差；</w:t>
      </w:r>
    </w:p>
    <w:p w14:paraId="0010D811">
      <w:pPr>
        <w:bidi w:val="0"/>
        <w:rPr>
          <w:rFonts w:hint="default"/>
          <w:color w:val="auto"/>
          <w:lang w:val="en-US" w:eastAsia="zh-CN"/>
        </w:rPr>
      </w:pPr>
      <w:r>
        <w:rPr>
          <w:rFonts w:hint="default"/>
          <w:color w:val="auto"/>
          <w:lang w:val="en-US" w:eastAsia="zh-CN"/>
        </w:rPr>
        <w:t>（3）坝身结构及断面尺寸设计不当。</w:t>
      </w:r>
    </w:p>
    <w:p w14:paraId="2DA5E2AB">
      <w:pPr>
        <w:bidi w:val="0"/>
        <w:rPr>
          <w:rFonts w:hint="default"/>
          <w:color w:val="auto"/>
          <w:lang w:val="en-US" w:eastAsia="zh-CN"/>
        </w:rPr>
      </w:pPr>
      <w:r>
        <w:rPr>
          <w:rFonts w:hint="default"/>
          <w:color w:val="auto"/>
          <w:lang w:val="en-US" w:eastAsia="zh-CN"/>
        </w:rPr>
        <w:t>经现场勘查，杨家店尾矿库坝无裂缝现象。</w:t>
      </w:r>
    </w:p>
    <w:p w14:paraId="79EC8D48">
      <w:pPr>
        <w:bidi w:val="0"/>
        <w:rPr>
          <w:rFonts w:hint="default"/>
          <w:b/>
          <w:bCs/>
          <w:color w:val="auto"/>
          <w:lang w:val="en-US" w:eastAsia="zh-CN"/>
        </w:rPr>
      </w:pPr>
      <w:r>
        <w:rPr>
          <w:rFonts w:hint="default"/>
          <w:b/>
          <w:bCs/>
          <w:color w:val="auto"/>
          <w:lang w:val="en-US" w:eastAsia="zh-CN"/>
        </w:rPr>
        <w:t>5.</w:t>
      </w:r>
      <w:r>
        <w:rPr>
          <w:rFonts w:hint="eastAsia"/>
          <w:b/>
          <w:bCs/>
          <w:color w:val="auto"/>
          <w:lang w:val="en-US" w:eastAsia="zh-CN"/>
        </w:rPr>
        <w:t xml:space="preserve"> </w:t>
      </w:r>
      <w:r>
        <w:rPr>
          <w:rFonts w:hint="default"/>
          <w:b/>
          <w:bCs/>
          <w:color w:val="auto"/>
          <w:lang w:val="en-US" w:eastAsia="zh-CN"/>
        </w:rPr>
        <w:t>渗漏</w:t>
      </w:r>
    </w:p>
    <w:p w14:paraId="0A72C226">
      <w:pPr>
        <w:bidi w:val="0"/>
        <w:rPr>
          <w:rFonts w:hint="default"/>
          <w:color w:val="auto"/>
          <w:lang w:val="en-US" w:eastAsia="zh-CN"/>
        </w:rPr>
      </w:pPr>
      <w:r>
        <w:rPr>
          <w:rFonts w:hint="default"/>
          <w:color w:val="auto"/>
          <w:lang w:val="en-US" w:eastAsia="zh-CN"/>
        </w:rPr>
        <w:t>非正常渗漏也是尾矿库常见的危险、有害因素，异常渗漏常导致溢流出口处坝体流土、冲刷及管涌等多种形式的破坏，严重的会导致垮坝事故。非正常渗漏按渗漏的部位可分为：坝体渗漏、坝基渗漏。</w:t>
      </w:r>
    </w:p>
    <w:p w14:paraId="5BB9C082">
      <w:pPr>
        <w:bidi w:val="0"/>
        <w:rPr>
          <w:rFonts w:hint="default"/>
          <w:color w:val="auto"/>
          <w:lang w:val="en-US" w:eastAsia="zh-CN"/>
        </w:rPr>
      </w:pPr>
      <w:r>
        <w:rPr>
          <w:rFonts w:hint="default"/>
          <w:color w:val="auto"/>
          <w:lang w:val="en-US" w:eastAsia="zh-CN"/>
        </w:rPr>
        <w:t>坝体渗漏的主要原因：</w:t>
      </w:r>
    </w:p>
    <w:p w14:paraId="12897DF9">
      <w:pPr>
        <w:bidi w:val="0"/>
        <w:rPr>
          <w:rFonts w:hint="default"/>
          <w:color w:val="auto"/>
          <w:lang w:val="en-US" w:eastAsia="zh-CN"/>
        </w:rPr>
      </w:pPr>
      <w:r>
        <w:rPr>
          <w:rFonts w:hint="default"/>
          <w:color w:val="auto"/>
          <w:lang w:val="en-US" w:eastAsia="zh-CN"/>
        </w:rPr>
        <w:t>（1）尾矿坝无排渗设施；</w:t>
      </w:r>
    </w:p>
    <w:p w14:paraId="1DA8C3A7">
      <w:pPr>
        <w:bidi w:val="0"/>
        <w:rPr>
          <w:rFonts w:hint="default"/>
          <w:color w:val="auto"/>
          <w:lang w:val="en-US" w:eastAsia="zh-CN"/>
        </w:rPr>
      </w:pPr>
      <w:r>
        <w:rPr>
          <w:rFonts w:hint="default"/>
          <w:color w:val="auto"/>
          <w:lang w:val="en-US" w:eastAsia="zh-CN"/>
        </w:rPr>
        <w:t>（2）尾矿坝下游坝面坡度过陡。</w:t>
      </w:r>
    </w:p>
    <w:p w14:paraId="7A84EBE1">
      <w:pPr>
        <w:bidi w:val="0"/>
        <w:rPr>
          <w:rFonts w:hint="default"/>
          <w:color w:val="auto"/>
          <w:lang w:val="en-US" w:eastAsia="zh-CN"/>
        </w:rPr>
      </w:pPr>
      <w:r>
        <w:rPr>
          <w:rFonts w:hint="default"/>
          <w:color w:val="auto"/>
          <w:lang w:val="en-US" w:eastAsia="zh-CN"/>
        </w:rPr>
        <w:t>基础渗漏的主要原因：</w:t>
      </w:r>
    </w:p>
    <w:p w14:paraId="6F8DE519">
      <w:pPr>
        <w:bidi w:val="0"/>
        <w:rPr>
          <w:rFonts w:hint="default"/>
          <w:color w:val="auto"/>
          <w:lang w:val="en-US" w:eastAsia="zh-CN"/>
        </w:rPr>
      </w:pPr>
      <w:r>
        <w:rPr>
          <w:rFonts w:hint="default"/>
          <w:color w:val="auto"/>
          <w:lang w:val="en-US" w:eastAsia="zh-CN"/>
        </w:rPr>
        <w:t>（1）坝基的工程地质条件差，且施工时未进行必要的处理；</w:t>
      </w:r>
    </w:p>
    <w:p w14:paraId="0D4C2800">
      <w:pPr>
        <w:bidi w:val="0"/>
        <w:rPr>
          <w:rFonts w:hint="default"/>
          <w:color w:val="auto"/>
          <w:lang w:val="en-US" w:eastAsia="zh-CN"/>
        </w:rPr>
      </w:pPr>
      <w:r>
        <w:rPr>
          <w:rFonts w:hint="default"/>
          <w:color w:val="auto"/>
          <w:lang w:val="en-US" w:eastAsia="zh-CN"/>
        </w:rPr>
        <w:t>（2）筑坝材料不当；</w:t>
      </w:r>
    </w:p>
    <w:p w14:paraId="246AC19B">
      <w:pPr>
        <w:bidi w:val="0"/>
        <w:rPr>
          <w:rFonts w:hint="default"/>
          <w:color w:val="auto"/>
          <w:lang w:val="en-US" w:eastAsia="zh-CN"/>
        </w:rPr>
      </w:pPr>
      <w:r>
        <w:rPr>
          <w:rFonts w:hint="default"/>
          <w:color w:val="auto"/>
          <w:lang w:val="en-US" w:eastAsia="zh-CN"/>
        </w:rPr>
        <w:t>（3）无排渗设施。</w:t>
      </w:r>
    </w:p>
    <w:p w14:paraId="235ED8A3">
      <w:pPr>
        <w:bidi w:val="0"/>
        <w:rPr>
          <w:rFonts w:hint="default"/>
          <w:color w:val="auto"/>
          <w:lang w:val="en-US" w:eastAsia="zh-CN"/>
        </w:rPr>
      </w:pPr>
      <w:r>
        <w:rPr>
          <w:rFonts w:hint="default"/>
          <w:color w:val="auto"/>
          <w:lang w:val="en-US" w:eastAsia="zh-CN"/>
        </w:rPr>
        <w:t>经现场勘查，杨家店尾矿库坝无渗漏现象。杨家店尾矿库库区也未见渗漏现象。</w:t>
      </w:r>
    </w:p>
    <w:p w14:paraId="040F75D7">
      <w:pPr>
        <w:bidi w:val="0"/>
        <w:rPr>
          <w:rFonts w:hint="default"/>
          <w:b/>
          <w:bCs/>
          <w:color w:val="auto"/>
          <w:lang w:val="en-US" w:eastAsia="zh-CN"/>
        </w:rPr>
      </w:pPr>
      <w:r>
        <w:rPr>
          <w:rFonts w:hint="default"/>
          <w:b/>
          <w:bCs/>
          <w:color w:val="auto"/>
          <w:lang w:val="en-US" w:eastAsia="zh-CN"/>
        </w:rPr>
        <w:t>6.</w:t>
      </w:r>
      <w:r>
        <w:rPr>
          <w:rFonts w:hint="eastAsia"/>
          <w:b/>
          <w:bCs/>
          <w:color w:val="auto"/>
          <w:lang w:val="en-US" w:eastAsia="zh-CN"/>
        </w:rPr>
        <w:t xml:space="preserve"> </w:t>
      </w:r>
      <w:r>
        <w:rPr>
          <w:rFonts w:hint="default"/>
          <w:b/>
          <w:bCs/>
          <w:color w:val="auto"/>
          <w:lang w:val="en-US" w:eastAsia="zh-CN"/>
        </w:rPr>
        <w:t>渗流破坏</w:t>
      </w:r>
    </w:p>
    <w:p w14:paraId="39F62436">
      <w:pPr>
        <w:bidi w:val="0"/>
        <w:rPr>
          <w:rFonts w:hint="default"/>
          <w:color w:val="auto"/>
          <w:lang w:val="en-US" w:eastAsia="zh-CN"/>
        </w:rPr>
      </w:pPr>
      <w:r>
        <w:rPr>
          <w:rFonts w:hint="default"/>
          <w:color w:val="auto"/>
          <w:lang w:val="en-US" w:eastAsia="zh-CN"/>
        </w:rPr>
        <w:t>渗流破坏是尾矿坝中最常见的病险症状之一，尾矿水受重力作用，由高水位区向低水位区流动，水在尾矿坝体，坝肩和坝基土中的运动。尾矿坝是一种散粒体堆筑的水工构筑物，当上游存在高势能水位时，坝体内必然形成复杂的渗流场。在渗流作用下，坝体有可能发生渗流破坏，严重时将导致溃坝；同时，坝体浸润线还直接影响坝体静力和动力稳定性。在尾矿坝设计上和管理上必须严格控制坝体渗流，保证尾矿坝稳定性。渗流破坏主要有四种破坏形式，即管涌、流砂、接触冲刷和接触冲砂。但无论何种形式引起的渗流破坏，导致尾矿坝溃决，总是表现为集中渗流，发展成管涌、流砂，冲刷周边通道不断坍塌、扩大，管涌无法控制而最终溃坝。当尾矿坝渗、漏水</w:t>
      </w:r>
      <w:r>
        <w:rPr>
          <w:rFonts w:hint="eastAsia"/>
          <w:color w:val="auto"/>
          <w:lang w:val="en-US" w:eastAsia="zh-CN"/>
        </w:rPr>
        <w:t>“</w:t>
      </w:r>
      <w:r>
        <w:rPr>
          <w:rFonts w:hint="default"/>
          <w:color w:val="auto"/>
          <w:lang w:val="en-US" w:eastAsia="zh-CN"/>
        </w:rPr>
        <w:t>跑浑</w:t>
      </w:r>
      <w:r>
        <w:rPr>
          <w:rFonts w:hint="eastAsia"/>
          <w:color w:val="auto"/>
          <w:lang w:val="en-US" w:eastAsia="zh-CN"/>
        </w:rPr>
        <w:t>”</w:t>
      </w:r>
      <w:r>
        <w:rPr>
          <w:rFonts w:hint="default"/>
          <w:color w:val="auto"/>
          <w:lang w:val="en-US" w:eastAsia="zh-CN"/>
        </w:rPr>
        <w:t>或下游坝面出现管涌、流土迹象时，应及时处理，以避免加剧渗流破坏。</w:t>
      </w:r>
    </w:p>
    <w:p w14:paraId="4B116541">
      <w:pPr>
        <w:bidi w:val="0"/>
        <w:rPr>
          <w:rFonts w:hint="default"/>
          <w:color w:val="auto"/>
          <w:lang w:val="en-US" w:eastAsia="zh-CN"/>
        </w:rPr>
      </w:pPr>
      <w:r>
        <w:rPr>
          <w:rFonts w:hint="default"/>
          <w:color w:val="auto"/>
          <w:lang w:val="en-US" w:eastAsia="zh-CN"/>
        </w:rPr>
        <w:t>渗流破坏的主要类型：</w:t>
      </w:r>
    </w:p>
    <w:p w14:paraId="23EC4E29">
      <w:pPr>
        <w:bidi w:val="0"/>
        <w:rPr>
          <w:rFonts w:hint="default"/>
          <w:color w:val="auto"/>
          <w:lang w:val="en-US" w:eastAsia="zh-CN"/>
        </w:rPr>
      </w:pPr>
      <w:r>
        <w:rPr>
          <w:rFonts w:hint="default"/>
          <w:color w:val="auto"/>
          <w:lang w:val="en-US" w:eastAsia="zh-CN"/>
        </w:rPr>
        <w:t>（1）坝面局部管涌、流土、隆起、坍塌；</w:t>
      </w:r>
    </w:p>
    <w:p w14:paraId="626CEB31">
      <w:pPr>
        <w:bidi w:val="0"/>
        <w:rPr>
          <w:rFonts w:hint="default"/>
          <w:color w:val="auto"/>
          <w:lang w:val="en-US" w:eastAsia="zh-CN"/>
        </w:rPr>
      </w:pPr>
      <w:r>
        <w:rPr>
          <w:rFonts w:hint="default"/>
          <w:color w:val="auto"/>
          <w:lang w:val="en-US" w:eastAsia="zh-CN"/>
        </w:rPr>
        <w:t>（2）坝肩和岸坡接触处出现裂缝；</w:t>
      </w:r>
    </w:p>
    <w:p w14:paraId="1C6B0A8A">
      <w:pPr>
        <w:bidi w:val="0"/>
        <w:rPr>
          <w:rFonts w:hint="default"/>
          <w:color w:val="auto"/>
          <w:lang w:val="en-US" w:eastAsia="zh-CN"/>
        </w:rPr>
      </w:pPr>
      <w:r>
        <w:rPr>
          <w:rFonts w:hint="default"/>
          <w:color w:val="auto"/>
          <w:lang w:val="en-US" w:eastAsia="zh-CN"/>
        </w:rPr>
        <w:t>（3）坝体下游坡面或坝肩渗水量增加或渗透水浑浊；</w:t>
      </w:r>
    </w:p>
    <w:p w14:paraId="44DC752B">
      <w:pPr>
        <w:bidi w:val="0"/>
        <w:rPr>
          <w:rFonts w:hint="default"/>
          <w:color w:val="auto"/>
          <w:lang w:val="en-US" w:eastAsia="zh-CN"/>
        </w:rPr>
      </w:pPr>
      <w:r>
        <w:rPr>
          <w:rFonts w:hint="default"/>
          <w:color w:val="auto"/>
          <w:lang w:val="en-US" w:eastAsia="zh-CN"/>
        </w:rPr>
        <w:t>（4）坝顶高程不一致；</w:t>
      </w:r>
    </w:p>
    <w:p w14:paraId="265190FF">
      <w:pPr>
        <w:bidi w:val="0"/>
        <w:rPr>
          <w:rFonts w:hint="default"/>
          <w:color w:val="auto"/>
          <w:lang w:val="en-US" w:eastAsia="zh-CN"/>
        </w:rPr>
      </w:pPr>
      <w:r>
        <w:rPr>
          <w:rFonts w:hint="default"/>
          <w:color w:val="auto"/>
          <w:lang w:val="en-US" w:eastAsia="zh-CN"/>
        </w:rPr>
        <w:t>（5）坝底、坝肩漏砂。</w:t>
      </w:r>
    </w:p>
    <w:p w14:paraId="0845A57A">
      <w:pPr>
        <w:bidi w:val="0"/>
        <w:rPr>
          <w:rFonts w:hint="default"/>
          <w:color w:val="auto"/>
          <w:lang w:val="en-US" w:eastAsia="zh-CN"/>
        </w:rPr>
      </w:pPr>
      <w:r>
        <w:rPr>
          <w:rFonts w:hint="default"/>
          <w:color w:val="auto"/>
          <w:lang w:val="en-US" w:eastAsia="zh-CN"/>
        </w:rPr>
        <w:t>渗流破坏的主要原因：</w:t>
      </w:r>
    </w:p>
    <w:p w14:paraId="2BDD3323">
      <w:pPr>
        <w:bidi w:val="0"/>
        <w:rPr>
          <w:rFonts w:hint="default"/>
          <w:color w:val="auto"/>
          <w:lang w:val="en-US" w:eastAsia="zh-CN"/>
        </w:rPr>
      </w:pPr>
      <w:r>
        <w:rPr>
          <w:rFonts w:hint="default"/>
          <w:color w:val="auto"/>
          <w:lang w:val="en-US" w:eastAsia="zh-CN"/>
        </w:rPr>
        <w:t>（1）筑坝没按设计要求精心施工，施工质量没达设计要求；</w:t>
      </w:r>
    </w:p>
    <w:p w14:paraId="178BCE5E">
      <w:pPr>
        <w:bidi w:val="0"/>
        <w:rPr>
          <w:rFonts w:hint="default"/>
          <w:color w:val="auto"/>
          <w:lang w:val="en-US" w:eastAsia="zh-CN"/>
        </w:rPr>
      </w:pPr>
      <w:r>
        <w:rPr>
          <w:rFonts w:hint="default"/>
          <w:color w:val="auto"/>
          <w:lang w:val="en-US" w:eastAsia="zh-CN"/>
        </w:rPr>
        <w:t>（2）坝肩和岸坡接触面没做妥善处理或清理不彻底；</w:t>
      </w:r>
    </w:p>
    <w:p w14:paraId="4DCEA5F4">
      <w:pPr>
        <w:bidi w:val="0"/>
        <w:rPr>
          <w:rFonts w:hint="default"/>
          <w:color w:val="auto"/>
          <w:lang w:val="en-US" w:eastAsia="zh-CN"/>
        </w:rPr>
      </w:pPr>
      <w:r>
        <w:rPr>
          <w:rFonts w:hint="default"/>
          <w:color w:val="auto"/>
          <w:lang w:val="en-US" w:eastAsia="zh-CN"/>
        </w:rPr>
        <w:t>（3）排渗、反滤层等重要措施设计不能满足渗流要求；</w:t>
      </w:r>
    </w:p>
    <w:p w14:paraId="1338C466">
      <w:pPr>
        <w:bidi w:val="0"/>
        <w:rPr>
          <w:rFonts w:hint="default"/>
          <w:color w:val="auto"/>
          <w:lang w:val="en-US" w:eastAsia="zh-CN"/>
        </w:rPr>
      </w:pPr>
      <w:r>
        <w:rPr>
          <w:rFonts w:hint="default"/>
          <w:color w:val="auto"/>
          <w:lang w:val="en-US" w:eastAsia="zh-CN"/>
        </w:rPr>
        <w:t>（4）排渗构筑和反滤层施工质量不高，未达要求；</w:t>
      </w:r>
    </w:p>
    <w:p w14:paraId="2F1A0C5B">
      <w:pPr>
        <w:bidi w:val="0"/>
        <w:rPr>
          <w:rFonts w:hint="default"/>
          <w:color w:val="auto"/>
          <w:lang w:val="en-US" w:eastAsia="zh-CN"/>
        </w:rPr>
      </w:pPr>
      <w:r>
        <w:rPr>
          <w:rFonts w:hint="default"/>
          <w:color w:val="auto"/>
          <w:lang w:val="en-US" w:eastAsia="zh-CN"/>
        </w:rPr>
        <w:t>（5）排渗设施在运行过程中出现淤塞或局部破损坍塌；</w:t>
      </w:r>
    </w:p>
    <w:p w14:paraId="4B9678CE">
      <w:pPr>
        <w:bidi w:val="0"/>
        <w:rPr>
          <w:rFonts w:hint="default"/>
          <w:color w:val="auto"/>
          <w:lang w:val="en-US" w:eastAsia="zh-CN"/>
        </w:rPr>
      </w:pPr>
      <w:r>
        <w:rPr>
          <w:rFonts w:hint="default"/>
          <w:color w:val="auto"/>
          <w:lang w:val="en-US" w:eastAsia="zh-CN"/>
        </w:rPr>
        <w:t>（6）尾矿排放违规，方式不当；</w:t>
      </w:r>
    </w:p>
    <w:p w14:paraId="531BDF9A">
      <w:pPr>
        <w:bidi w:val="0"/>
        <w:rPr>
          <w:rFonts w:hint="default"/>
          <w:color w:val="auto"/>
          <w:lang w:val="en-US" w:eastAsia="zh-CN"/>
        </w:rPr>
      </w:pPr>
      <w:r>
        <w:rPr>
          <w:rFonts w:hint="default"/>
          <w:color w:val="auto"/>
          <w:lang w:val="en-US" w:eastAsia="zh-CN"/>
        </w:rPr>
        <w:t>（7）管理不善，没有认真的经常的检查与观测，没能及时发现问题。</w:t>
      </w:r>
    </w:p>
    <w:p w14:paraId="7EA58E7A">
      <w:pPr>
        <w:bidi w:val="0"/>
        <w:rPr>
          <w:rFonts w:hint="default"/>
          <w:color w:val="auto"/>
          <w:lang w:val="en-US" w:eastAsia="zh-CN"/>
        </w:rPr>
      </w:pPr>
      <w:r>
        <w:rPr>
          <w:rFonts w:hint="default"/>
          <w:color w:val="auto"/>
          <w:lang w:val="en-US" w:eastAsia="zh-CN"/>
        </w:rPr>
        <w:t>渗流破坏的后果：</w:t>
      </w:r>
    </w:p>
    <w:p w14:paraId="57B89C47">
      <w:pPr>
        <w:bidi w:val="0"/>
        <w:rPr>
          <w:rFonts w:hint="default"/>
          <w:color w:val="auto"/>
          <w:lang w:val="en-US" w:eastAsia="zh-CN"/>
        </w:rPr>
      </w:pPr>
      <w:r>
        <w:rPr>
          <w:rFonts w:hint="default"/>
          <w:color w:val="auto"/>
          <w:lang w:val="en-US" w:eastAsia="zh-CN"/>
        </w:rPr>
        <w:t>（1）污染下游环境；</w:t>
      </w:r>
    </w:p>
    <w:p w14:paraId="2FC2F27B">
      <w:pPr>
        <w:bidi w:val="0"/>
        <w:rPr>
          <w:rFonts w:hint="default"/>
          <w:color w:val="auto"/>
          <w:lang w:val="en-US" w:eastAsia="zh-CN"/>
        </w:rPr>
      </w:pPr>
      <w:r>
        <w:rPr>
          <w:rFonts w:hint="default"/>
          <w:color w:val="auto"/>
          <w:lang w:val="en-US" w:eastAsia="zh-CN"/>
        </w:rPr>
        <w:t>（2）局部停产，暂停排放；</w:t>
      </w:r>
    </w:p>
    <w:p w14:paraId="40AF9277">
      <w:pPr>
        <w:bidi w:val="0"/>
        <w:rPr>
          <w:rFonts w:hint="default"/>
          <w:color w:val="auto"/>
          <w:lang w:val="en-US" w:eastAsia="zh-CN"/>
        </w:rPr>
      </w:pPr>
      <w:r>
        <w:rPr>
          <w:rFonts w:hint="default"/>
          <w:color w:val="auto"/>
          <w:lang w:val="en-US" w:eastAsia="zh-CN"/>
        </w:rPr>
        <w:t>（3）渗透变形达到一定程度时，将导致坝体整体垮塌。</w:t>
      </w:r>
    </w:p>
    <w:p w14:paraId="4B020213">
      <w:pPr>
        <w:bidi w:val="0"/>
        <w:rPr>
          <w:rFonts w:hint="default"/>
          <w:color w:val="auto"/>
          <w:lang w:val="en-US" w:eastAsia="zh-CN"/>
        </w:rPr>
      </w:pPr>
      <w:r>
        <w:rPr>
          <w:rFonts w:hint="default"/>
          <w:color w:val="auto"/>
          <w:lang w:val="en-US" w:eastAsia="zh-CN"/>
        </w:rPr>
        <w:t>经现场勘查，杨家店尾矿库坝无渗流破坏现象。</w:t>
      </w:r>
    </w:p>
    <w:p w14:paraId="7CE70A36">
      <w:pPr>
        <w:bidi w:val="0"/>
        <w:rPr>
          <w:rFonts w:hint="default"/>
          <w:b/>
          <w:bCs/>
          <w:color w:val="auto"/>
          <w:lang w:val="en-US" w:eastAsia="zh-CN"/>
        </w:rPr>
      </w:pPr>
      <w:r>
        <w:rPr>
          <w:rFonts w:hint="default"/>
          <w:b/>
          <w:bCs/>
          <w:color w:val="auto"/>
          <w:lang w:val="en-US" w:eastAsia="zh-CN"/>
        </w:rPr>
        <w:t>7.</w:t>
      </w:r>
      <w:r>
        <w:rPr>
          <w:rFonts w:hint="eastAsia"/>
          <w:b/>
          <w:bCs/>
          <w:color w:val="auto"/>
          <w:lang w:val="en-US" w:eastAsia="zh-CN"/>
        </w:rPr>
        <w:t xml:space="preserve"> </w:t>
      </w:r>
      <w:r>
        <w:rPr>
          <w:rFonts w:hint="default"/>
          <w:b/>
          <w:bCs/>
          <w:color w:val="auto"/>
          <w:lang w:val="en-US" w:eastAsia="zh-CN"/>
        </w:rPr>
        <w:t>结构破坏</w:t>
      </w:r>
    </w:p>
    <w:p w14:paraId="3C8F0B27">
      <w:pPr>
        <w:bidi w:val="0"/>
        <w:rPr>
          <w:rFonts w:hint="default"/>
          <w:color w:val="auto"/>
          <w:lang w:val="en-US" w:eastAsia="zh-CN"/>
        </w:rPr>
      </w:pPr>
      <w:r>
        <w:rPr>
          <w:rFonts w:hint="default"/>
          <w:color w:val="auto"/>
          <w:lang w:val="en-US" w:eastAsia="zh-CN"/>
        </w:rPr>
        <w:t>结构破坏是尾矿坝最危险的因素之一，因放矿冲刷坝体、未构筑坝肩坝坡排水设施、防渗层或反滤层施工质量差、坝坡未护坡、渗流破坏、洪水漫顶、地震等因素，造成坝体结构破坏，降低了坝体的稳定性安全系数，造成坝体失稳，最终导致溃坝。</w:t>
      </w:r>
    </w:p>
    <w:p w14:paraId="22ED5CBF">
      <w:pPr>
        <w:bidi w:val="0"/>
        <w:rPr>
          <w:rFonts w:hint="default"/>
          <w:color w:val="auto"/>
          <w:lang w:val="en-US" w:eastAsia="zh-CN"/>
        </w:rPr>
      </w:pPr>
      <w:r>
        <w:rPr>
          <w:rFonts w:hint="default"/>
          <w:color w:val="auto"/>
          <w:lang w:val="en-US" w:eastAsia="zh-CN"/>
        </w:rPr>
        <w:t>经现场勘察，杨家店尾矿库目前没有坝体结构破坏因素，但不排除后期因排矿筑坝不规范、管理不善、雨水冲刷坝体导致的结构破坏现象。</w:t>
      </w:r>
    </w:p>
    <w:p w14:paraId="55F262FE">
      <w:pPr>
        <w:bidi w:val="0"/>
        <w:rPr>
          <w:rFonts w:hint="default"/>
          <w:b/>
          <w:bCs/>
          <w:color w:val="auto"/>
          <w:lang w:val="en-US" w:eastAsia="zh-CN"/>
        </w:rPr>
      </w:pPr>
      <w:r>
        <w:rPr>
          <w:rFonts w:hint="default"/>
          <w:b/>
          <w:bCs/>
          <w:color w:val="auto"/>
          <w:lang w:val="en-US" w:eastAsia="zh-CN"/>
        </w:rPr>
        <w:t>8.</w:t>
      </w:r>
      <w:r>
        <w:rPr>
          <w:rFonts w:hint="eastAsia"/>
          <w:b/>
          <w:bCs/>
          <w:color w:val="auto"/>
          <w:lang w:val="en-US" w:eastAsia="zh-CN"/>
        </w:rPr>
        <w:t xml:space="preserve"> </w:t>
      </w:r>
      <w:r>
        <w:rPr>
          <w:rFonts w:hint="default"/>
          <w:b/>
          <w:bCs/>
          <w:color w:val="auto"/>
          <w:lang w:val="en-US" w:eastAsia="zh-CN"/>
        </w:rPr>
        <w:t>高处坠落</w:t>
      </w:r>
    </w:p>
    <w:p w14:paraId="5884751D">
      <w:pPr>
        <w:bidi w:val="0"/>
        <w:rPr>
          <w:rFonts w:hint="default"/>
          <w:color w:val="auto"/>
          <w:lang w:val="en-US" w:eastAsia="zh-CN"/>
        </w:rPr>
      </w:pPr>
      <w:r>
        <w:rPr>
          <w:rFonts w:hint="default"/>
          <w:color w:val="auto"/>
          <w:lang w:val="en-US" w:eastAsia="zh-CN"/>
        </w:rPr>
        <w:t>高处坠落是指在高度超过2m以上的高处坠落，并造成伤害的事故。坠落伤害的原因：</w:t>
      </w:r>
    </w:p>
    <w:p w14:paraId="4560C6DA">
      <w:pPr>
        <w:bidi w:val="0"/>
        <w:rPr>
          <w:rFonts w:hint="default"/>
          <w:color w:val="auto"/>
          <w:lang w:val="en-US" w:eastAsia="zh-CN"/>
        </w:rPr>
      </w:pPr>
      <w:r>
        <w:rPr>
          <w:rFonts w:hint="default"/>
          <w:color w:val="auto"/>
          <w:lang w:val="en-US" w:eastAsia="zh-CN"/>
        </w:rPr>
        <w:t>（1）检查人员注意力不集中、思想麻痹；</w:t>
      </w:r>
    </w:p>
    <w:p w14:paraId="73ECB48D">
      <w:pPr>
        <w:bidi w:val="0"/>
        <w:rPr>
          <w:rFonts w:hint="default"/>
          <w:color w:val="auto"/>
          <w:lang w:val="en-US" w:eastAsia="zh-CN"/>
        </w:rPr>
      </w:pPr>
      <w:r>
        <w:rPr>
          <w:rFonts w:hint="default"/>
          <w:color w:val="auto"/>
          <w:lang w:val="en-US" w:eastAsia="zh-CN"/>
        </w:rPr>
        <w:t>（2）夜间无照明。</w:t>
      </w:r>
    </w:p>
    <w:p w14:paraId="642250B4">
      <w:pPr>
        <w:bidi w:val="0"/>
        <w:rPr>
          <w:rFonts w:hint="default"/>
          <w:color w:val="auto"/>
          <w:lang w:val="en-US" w:eastAsia="zh-CN"/>
        </w:rPr>
      </w:pPr>
      <w:r>
        <w:rPr>
          <w:rFonts w:hint="default"/>
          <w:color w:val="auto"/>
          <w:lang w:val="en-US" w:eastAsia="zh-CN"/>
        </w:rPr>
        <w:t>易发生坠落伤害的地点：</w:t>
      </w:r>
    </w:p>
    <w:p w14:paraId="527A3EAD">
      <w:pPr>
        <w:bidi w:val="0"/>
        <w:rPr>
          <w:rFonts w:hint="default"/>
          <w:color w:val="auto"/>
          <w:lang w:val="en-US" w:eastAsia="zh-CN"/>
        </w:rPr>
      </w:pPr>
      <w:r>
        <w:rPr>
          <w:rFonts w:hint="default"/>
          <w:color w:val="auto"/>
          <w:lang w:val="en-US" w:eastAsia="zh-CN"/>
        </w:rPr>
        <w:t>（1）杨家店尾矿库坝的外坡；</w:t>
      </w:r>
    </w:p>
    <w:p w14:paraId="717E9021">
      <w:pPr>
        <w:bidi w:val="0"/>
        <w:rPr>
          <w:rFonts w:hint="default"/>
          <w:color w:val="auto"/>
          <w:lang w:val="en-US" w:eastAsia="zh-CN"/>
        </w:rPr>
      </w:pPr>
      <w:r>
        <w:rPr>
          <w:rFonts w:hint="default"/>
          <w:color w:val="auto"/>
          <w:lang w:val="en-US" w:eastAsia="zh-CN"/>
        </w:rPr>
        <w:t>（2）其它超过2m高的场所。</w:t>
      </w:r>
    </w:p>
    <w:p w14:paraId="5546AF38">
      <w:pPr>
        <w:bidi w:val="0"/>
        <w:rPr>
          <w:rFonts w:hint="default"/>
          <w:color w:val="auto"/>
          <w:lang w:val="en-US" w:eastAsia="zh-CN"/>
        </w:rPr>
      </w:pPr>
      <w:r>
        <w:rPr>
          <w:rFonts w:hint="default"/>
          <w:color w:val="auto"/>
          <w:lang w:val="en-US" w:eastAsia="zh-CN"/>
        </w:rPr>
        <w:t>坠落伤害的后果：造成人身伤亡。</w:t>
      </w:r>
    </w:p>
    <w:p w14:paraId="2DD5F2C7">
      <w:pPr>
        <w:bidi w:val="0"/>
        <w:rPr>
          <w:rFonts w:hint="default"/>
          <w:color w:val="auto"/>
          <w:lang w:val="en-US" w:eastAsia="zh-CN"/>
        </w:rPr>
      </w:pPr>
      <w:r>
        <w:rPr>
          <w:rFonts w:hint="default"/>
          <w:color w:val="auto"/>
          <w:lang w:val="en-US" w:eastAsia="zh-CN"/>
        </w:rPr>
        <w:t>三、排水、泄洪构筑物</w:t>
      </w:r>
    </w:p>
    <w:p w14:paraId="352B84F4">
      <w:pPr>
        <w:bidi w:val="0"/>
        <w:rPr>
          <w:rFonts w:hint="default"/>
          <w:b/>
          <w:bCs/>
          <w:color w:val="auto"/>
          <w:lang w:val="en-US" w:eastAsia="zh-CN"/>
        </w:rPr>
      </w:pPr>
      <w:r>
        <w:rPr>
          <w:rFonts w:hint="eastAsia"/>
          <w:b/>
          <w:bCs/>
          <w:color w:val="auto"/>
          <w:lang w:val="en-US" w:eastAsia="zh-CN"/>
        </w:rPr>
        <w:t xml:space="preserve">1. </w:t>
      </w:r>
      <w:r>
        <w:rPr>
          <w:rFonts w:hint="default"/>
          <w:b/>
          <w:bCs/>
          <w:color w:val="auto"/>
          <w:lang w:val="en-US" w:eastAsia="zh-CN"/>
        </w:rPr>
        <w:t>排水、泄洪构筑物破坏</w:t>
      </w:r>
    </w:p>
    <w:p w14:paraId="2687B724">
      <w:pPr>
        <w:bidi w:val="0"/>
        <w:rPr>
          <w:rFonts w:hint="default"/>
          <w:color w:val="auto"/>
          <w:lang w:val="en-US" w:eastAsia="zh-CN"/>
        </w:rPr>
      </w:pPr>
      <w:r>
        <w:rPr>
          <w:rFonts w:hint="default"/>
          <w:color w:val="auto"/>
          <w:lang w:val="en-US" w:eastAsia="zh-CN"/>
        </w:rPr>
        <w:t>排洪构筑物堵塞、断裂、垮塌等破坏，导致排洪能力急剧下降，直接危及坝体安全。</w:t>
      </w:r>
    </w:p>
    <w:p w14:paraId="31394E49">
      <w:pPr>
        <w:bidi w:val="0"/>
        <w:rPr>
          <w:rFonts w:hint="default"/>
          <w:color w:val="auto"/>
          <w:lang w:val="en-US" w:eastAsia="zh-CN"/>
        </w:rPr>
      </w:pPr>
      <w:r>
        <w:rPr>
          <w:rFonts w:hint="default"/>
          <w:color w:val="auto"/>
          <w:lang w:val="en-US" w:eastAsia="zh-CN"/>
        </w:rPr>
        <w:t>排洪构筑物堵塞、断裂、垮塌主要原因有：</w:t>
      </w:r>
    </w:p>
    <w:p w14:paraId="07C7F3AD">
      <w:pPr>
        <w:bidi w:val="0"/>
        <w:rPr>
          <w:rFonts w:hint="default"/>
          <w:color w:val="auto"/>
          <w:lang w:val="en-US" w:eastAsia="zh-CN"/>
        </w:rPr>
      </w:pPr>
      <w:r>
        <w:rPr>
          <w:rFonts w:hint="eastAsia"/>
          <w:color w:val="auto"/>
          <w:lang w:val="en-US" w:eastAsia="zh-CN"/>
        </w:rPr>
        <w:t>（1）</w:t>
      </w:r>
      <w:r>
        <w:rPr>
          <w:rFonts w:hint="default"/>
          <w:color w:val="auto"/>
          <w:lang w:val="en-US" w:eastAsia="zh-CN"/>
        </w:rPr>
        <w:t>进水口杂物淤积；</w:t>
      </w:r>
    </w:p>
    <w:p w14:paraId="68D5F343">
      <w:pPr>
        <w:bidi w:val="0"/>
        <w:rPr>
          <w:rFonts w:hint="default"/>
          <w:color w:val="auto"/>
          <w:lang w:val="en-US" w:eastAsia="zh-CN"/>
        </w:rPr>
      </w:pPr>
      <w:r>
        <w:rPr>
          <w:rFonts w:hint="eastAsia"/>
          <w:color w:val="auto"/>
          <w:lang w:val="en-US" w:eastAsia="zh-CN"/>
        </w:rPr>
        <w:t>（2）</w:t>
      </w:r>
      <w:r>
        <w:rPr>
          <w:rFonts w:hint="default"/>
          <w:color w:val="auto"/>
          <w:lang w:val="en-US" w:eastAsia="zh-CN"/>
        </w:rPr>
        <w:t>排洪构筑物堵塞、垮塌不及时处理，造成洪水漫顶，最终导致溃坝。</w:t>
      </w:r>
    </w:p>
    <w:p w14:paraId="6BAF23EF">
      <w:pPr>
        <w:bidi w:val="0"/>
        <w:rPr>
          <w:rFonts w:hint="default"/>
          <w:color w:val="auto"/>
          <w:lang w:val="en-US" w:eastAsia="zh-CN"/>
        </w:rPr>
      </w:pPr>
      <w:r>
        <w:rPr>
          <w:rFonts w:hint="eastAsia"/>
          <w:color w:val="auto"/>
          <w:lang w:val="en-US" w:eastAsia="zh-CN"/>
        </w:rPr>
        <w:t>（3）</w:t>
      </w:r>
      <w:r>
        <w:rPr>
          <w:rFonts w:hint="default"/>
          <w:color w:val="auto"/>
          <w:lang w:val="en-US" w:eastAsia="zh-CN"/>
        </w:rPr>
        <w:t>长期对排洪构筑物不进行检查、维修，致使堵塞、露筋、塌陷等隐患未能及时发现。</w:t>
      </w:r>
    </w:p>
    <w:p w14:paraId="2888E007">
      <w:pPr>
        <w:bidi w:val="0"/>
        <w:rPr>
          <w:rFonts w:hint="default"/>
          <w:color w:val="auto"/>
          <w:lang w:val="en-US" w:eastAsia="zh-CN"/>
        </w:rPr>
      </w:pPr>
      <w:r>
        <w:rPr>
          <w:rFonts w:hint="eastAsia"/>
          <w:color w:val="auto"/>
          <w:lang w:val="en-US" w:eastAsia="zh-CN"/>
        </w:rPr>
        <w:t>（4）</w:t>
      </w:r>
      <w:r>
        <w:rPr>
          <w:rFonts w:hint="default"/>
          <w:color w:val="auto"/>
          <w:lang w:val="en-US" w:eastAsia="zh-CN"/>
        </w:rPr>
        <w:t>基础资料不确切、设计方案及技术论证方法不当、不遵循设计规范、对库水位及浸润线深度的控制要求不明确，或要求不切实际等方面。</w:t>
      </w:r>
    </w:p>
    <w:p w14:paraId="707B10A3">
      <w:pPr>
        <w:bidi w:val="0"/>
        <w:rPr>
          <w:rFonts w:hint="default"/>
          <w:color w:val="auto"/>
          <w:lang w:val="en-US" w:eastAsia="zh-CN"/>
        </w:rPr>
      </w:pPr>
      <w:r>
        <w:rPr>
          <w:rFonts w:hint="eastAsia"/>
          <w:color w:val="auto"/>
          <w:lang w:val="en-US" w:eastAsia="zh-CN"/>
        </w:rPr>
        <w:t>（5）</w:t>
      </w:r>
      <w:r>
        <w:rPr>
          <w:rFonts w:hint="default"/>
          <w:color w:val="auto"/>
          <w:lang w:val="en-US" w:eastAsia="zh-CN"/>
        </w:rPr>
        <w:t>排洪管线等处的地基不均匀沉陷；出现不均匀或集中荷载；水流流态改变等。</w:t>
      </w:r>
    </w:p>
    <w:p w14:paraId="0B63976C">
      <w:pPr>
        <w:bidi w:val="0"/>
        <w:rPr>
          <w:rFonts w:hint="default"/>
          <w:color w:val="auto"/>
          <w:lang w:val="en-US" w:eastAsia="zh-CN"/>
        </w:rPr>
      </w:pPr>
      <w:r>
        <w:rPr>
          <w:rFonts w:hint="default"/>
          <w:color w:val="auto"/>
          <w:lang w:val="en-US" w:eastAsia="zh-CN"/>
        </w:rPr>
        <w:t>严重后果：</w:t>
      </w:r>
    </w:p>
    <w:p w14:paraId="70115D40">
      <w:pPr>
        <w:bidi w:val="0"/>
        <w:rPr>
          <w:rFonts w:hint="default"/>
          <w:color w:val="auto"/>
          <w:lang w:val="en-US" w:eastAsia="zh-CN"/>
        </w:rPr>
      </w:pPr>
      <w:r>
        <w:rPr>
          <w:rFonts w:hint="default"/>
          <w:color w:val="auto"/>
          <w:lang w:val="en-US" w:eastAsia="zh-CN"/>
        </w:rPr>
        <w:t>排洪构筑物堵塞、断裂、垮塌，导致库内水位过高，甚至造成坝体垮塌，污染下游环境，会带来十分严重后果。</w:t>
      </w:r>
    </w:p>
    <w:p w14:paraId="2C9B6D73">
      <w:pPr>
        <w:bidi w:val="0"/>
        <w:rPr>
          <w:rFonts w:hint="default"/>
          <w:b/>
          <w:bCs/>
          <w:color w:val="auto"/>
          <w:lang w:val="en-US" w:eastAsia="zh-CN"/>
        </w:rPr>
      </w:pPr>
      <w:r>
        <w:rPr>
          <w:rFonts w:hint="eastAsia"/>
          <w:b/>
          <w:bCs/>
          <w:color w:val="auto"/>
          <w:lang w:val="en-US" w:eastAsia="zh-CN"/>
        </w:rPr>
        <w:t xml:space="preserve">2. </w:t>
      </w:r>
      <w:r>
        <w:rPr>
          <w:rFonts w:hint="default"/>
          <w:b/>
          <w:bCs/>
          <w:color w:val="auto"/>
          <w:lang w:val="en-US" w:eastAsia="zh-CN"/>
        </w:rPr>
        <w:t>洪水漫顶</w:t>
      </w:r>
    </w:p>
    <w:p w14:paraId="4F8B3366">
      <w:pPr>
        <w:bidi w:val="0"/>
        <w:rPr>
          <w:rFonts w:hint="default"/>
          <w:color w:val="auto"/>
          <w:lang w:val="en-US" w:eastAsia="zh-CN"/>
        </w:rPr>
      </w:pPr>
      <w:r>
        <w:rPr>
          <w:rFonts w:hint="eastAsia"/>
          <w:color w:val="auto"/>
          <w:lang w:val="en-US" w:eastAsia="zh-CN"/>
        </w:rPr>
        <w:t>（1）</w:t>
      </w:r>
      <w:r>
        <w:rPr>
          <w:rFonts w:hint="default"/>
          <w:color w:val="auto"/>
          <w:lang w:val="en-US" w:eastAsia="zh-CN"/>
        </w:rPr>
        <w:t>杨家店尾矿库若遇超设计频率的洪水或暴雨极易造成洪水漫顶。</w:t>
      </w:r>
    </w:p>
    <w:p w14:paraId="56B6F3CA">
      <w:pPr>
        <w:bidi w:val="0"/>
        <w:rPr>
          <w:rFonts w:hint="default"/>
          <w:color w:val="auto"/>
          <w:lang w:val="en-US" w:eastAsia="zh-CN"/>
        </w:rPr>
      </w:pPr>
      <w:r>
        <w:rPr>
          <w:rFonts w:hint="eastAsia"/>
          <w:color w:val="auto"/>
          <w:lang w:val="en-US" w:eastAsia="zh-CN"/>
        </w:rPr>
        <w:t>（2）</w:t>
      </w:r>
      <w:r>
        <w:rPr>
          <w:rFonts w:hint="default"/>
          <w:color w:val="auto"/>
          <w:lang w:val="en-US" w:eastAsia="zh-CN"/>
        </w:rPr>
        <w:t>若排洪系统受外部力量，造成排洪系统不均匀沉降或结构破坏，极易造成洪水漫顶。</w:t>
      </w:r>
    </w:p>
    <w:p w14:paraId="35B5D628">
      <w:pPr>
        <w:bidi w:val="0"/>
        <w:rPr>
          <w:rFonts w:hint="default"/>
          <w:b/>
          <w:bCs/>
          <w:color w:val="auto"/>
          <w:lang w:val="en-US" w:eastAsia="zh-CN"/>
        </w:rPr>
      </w:pPr>
      <w:r>
        <w:rPr>
          <w:rFonts w:hint="eastAsia"/>
          <w:b/>
          <w:bCs/>
          <w:color w:val="auto"/>
          <w:lang w:val="en-US" w:eastAsia="zh-CN"/>
        </w:rPr>
        <w:t xml:space="preserve">3. </w:t>
      </w:r>
      <w:r>
        <w:rPr>
          <w:rFonts w:hint="default"/>
          <w:b/>
          <w:bCs/>
          <w:color w:val="auto"/>
          <w:lang w:val="en-US" w:eastAsia="zh-CN"/>
        </w:rPr>
        <w:t>淹溺</w:t>
      </w:r>
    </w:p>
    <w:p w14:paraId="01DBE6F3">
      <w:pPr>
        <w:bidi w:val="0"/>
        <w:rPr>
          <w:rFonts w:hint="default"/>
          <w:color w:val="auto"/>
          <w:lang w:val="en-US" w:eastAsia="zh-CN"/>
        </w:rPr>
      </w:pPr>
      <w:r>
        <w:rPr>
          <w:rFonts w:hint="default"/>
          <w:color w:val="auto"/>
          <w:lang w:val="en-US" w:eastAsia="zh-CN"/>
        </w:rPr>
        <w:t>操作人员及其他人员在巡查杨家店尾矿库时意外坠入水中，或在取水平台作业时，意外坠入积水区，将造成人员淹溺窒息。</w:t>
      </w:r>
    </w:p>
    <w:p w14:paraId="3F1360FD">
      <w:pPr>
        <w:bidi w:val="0"/>
        <w:rPr>
          <w:rFonts w:hint="default"/>
          <w:color w:val="auto"/>
          <w:lang w:val="en-US" w:eastAsia="zh-CN"/>
        </w:rPr>
      </w:pPr>
      <w:r>
        <w:rPr>
          <w:rFonts w:hint="default"/>
          <w:color w:val="auto"/>
          <w:lang w:val="en-US" w:eastAsia="zh-CN"/>
        </w:rPr>
        <w:t>主要淹溺场所：库内汇水处。</w:t>
      </w:r>
    </w:p>
    <w:p w14:paraId="356A973A">
      <w:pPr>
        <w:bidi w:val="0"/>
        <w:rPr>
          <w:rFonts w:hint="default"/>
          <w:color w:val="auto"/>
          <w:lang w:val="en-US" w:eastAsia="zh-CN"/>
        </w:rPr>
      </w:pPr>
      <w:r>
        <w:rPr>
          <w:rFonts w:hint="default"/>
          <w:color w:val="auto"/>
          <w:lang w:val="en-US" w:eastAsia="zh-CN"/>
        </w:rPr>
        <w:t>四、运行工艺</w:t>
      </w:r>
    </w:p>
    <w:p w14:paraId="205AA803">
      <w:pPr>
        <w:bidi w:val="0"/>
        <w:rPr>
          <w:rFonts w:hint="default"/>
          <w:b/>
          <w:bCs/>
          <w:color w:val="auto"/>
          <w:lang w:val="en-US" w:eastAsia="zh-CN"/>
        </w:rPr>
      </w:pPr>
      <w:r>
        <w:rPr>
          <w:rFonts w:hint="default"/>
          <w:b/>
          <w:bCs/>
          <w:color w:val="auto"/>
          <w:lang w:val="en-US" w:eastAsia="zh-CN"/>
        </w:rPr>
        <w:t>1.</w:t>
      </w:r>
      <w:r>
        <w:rPr>
          <w:rFonts w:hint="eastAsia"/>
          <w:b/>
          <w:bCs/>
          <w:color w:val="auto"/>
          <w:lang w:val="en-US" w:eastAsia="zh-CN"/>
        </w:rPr>
        <w:t xml:space="preserve"> </w:t>
      </w:r>
      <w:r>
        <w:rPr>
          <w:rFonts w:hint="default"/>
          <w:b/>
          <w:bCs/>
          <w:color w:val="auto"/>
          <w:lang w:val="en-US" w:eastAsia="zh-CN"/>
        </w:rPr>
        <w:t>放矿不当</w:t>
      </w:r>
    </w:p>
    <w:p w14:paraId="76FFC26B">
      <w:pPr>
        <w:bidi w:val="0"/>
        <w:rPr>
          <w:rFonts w:hint="default"/>
          <w:color w:val="auto"/>
          <w:lang w:val="en-US" w:eastAsia="zh-CN"/>
        </w:rPr>
      </w:pPr>
      <w:r>
        <w:rPr>
          <w:rFonts w:hint="default"/>
          <w:color w:val="auto"/>
          <w:lang w:val="en-US" w:eastAsia="zh-CN"/>
        </w:rPr>
        <w:t>杨家店尾矿库属于湿排尾矿库，如果尾矿浆排放不均匀，堆积坝坝顶高程将不能保持基本一致，或排放方式不符合设计要求，容易导致沉积滩滩顶最低高程不满足防洪设计要求，坝体稳定性造成洪水漫顶甚至溃坝事故。</w:t>
      </w:r>
    </w:p>
    <w:p w14:paraId="27355872">
      <w:pPr>
        <w:bidi w:val="0"/>
        <w:rPr>
          <w:rFonts w:hint="default"/>
          <w:b/>
          <w:bCs/>
          <w:color w:val="auto"/>
          <w:lang w:val="en-US" w:eastAsia="zh-CN"/>
        </w:rPr>
      </w:pPr>
      <w:r>
        <w:rPr>
          <w:rFonts w:hint="default"/>
          <w:b/>
          <w:bCs/>
          <w:color w:val="auto"/>
          <w:lang w:val="en-US" w:eastAsia="zh-CN"/>
        </w:rPr>
        <w:t>2.</w:t>
      </w:r>
      <w:r>
        <w:rPr>
          <w:rFonts w:hint="eastAsia"/>
          <w:b/>
          <w:bCs/>
          <w:color w:val="auto"/>
          <w:lang w:val="en-US" w:eastAsia="zh-CN"/>
        </w:rPr>
        <w:t xml:space="preserve"> </w:t>
      </w:r>
      <w:r>
        <w:rPr>
          <w:rFonts w:hint="default"/>
          <w:b/>
          <w:bCs/>
          <w:color w:val="auto"/>
          <w:lang w:val="en-US" w:eastAsia="zh-CN"/>
        </w:rPr>
        <w:t>车辆伤害</w:t>
      </w:r>
    </w:p>
    <w:p w14:paraId="3F3DFAC6">
      <w:pPr>
        <w:bidi w:val="0"/>
        <w:rPr>
          <w:rFonts w:hint="default"/>
          <w:color w:val="auto"/>
          <w:lang w:val="en-US" w:eastAsia="zh-CN"/>
        </w:rPr>
      </w:pPr>
      <w:r>
        <w:rPr>
          <w:rFonts w:hint="default"/>
          <w:color w:val="auto"/>
          <w:lang w:val="en-US" w:eastAsia="zh-CN"/>
        </w:rPr>
        <w:t>杨家店尾矿库一般需要开汽车进去实施安全检查，由于该尾矿库有通往尾矿库的公路，路窄坡徒弯急，容易伤害到尾矿库管理工作人员，易发生车辆伤害事故。</w:t>
      </w:r>
    </w:p>
    <w:p w14:paraId="64EE6F0F">
      <w:pPr>
        <w:numPr>
          <w:ilvl w:val="0"/>
          <w:numId w:val="0"/>
        </w:numPr>
        <w:bidi w:val="0"/>
        <w:ind w:firstLine="562" w:firstLineChars="200"/>
        <w:rPr>
          <w:rFonts w:hint="default"/>
          <w:b/>
          <w:bCs/>
          <w:color w:val="auto"/>
          <w:lang w:val="en-US" w:eastAsia="zh-CN"/>
        </w:rPr>
      </w:pPr>
      <w:r>
        <w:rPr>
          <w:rFonts w:hint="default" w:ascii="Times New Roman" w:hAnsi="Times New Roman" w:eastAsia="宋体" w:cs="Times New Roman"/>
          <w:b/>
          <w:bCs/>
          <w:color w:val="auto"/>
          <w:kern w:val="2"/>
          <w:sz w:val="28"/>
          <w:szCs w:val="24"/>
          <w:lang w:val="en-US" w:eastAsia="zh-CN" w:bidi="ar-SA"/>
        </w:rPr>
        <w:t>3.</w:t>
      </w:r>
      <w:r>
        <w:rPr>
          <w:rFonts w:hint="eastAsia" w:cs="Times New Roman"/>
          <w:b/>
          <w:bCs/>
          <w:color w:val="auto"/>
          <w:kern w:val="2"/>
          <w:sz w:val="28"/>
          <w:szCs w:val="24"/>
          <w:lang w:val="en-US" w:eastAsia="zh-CN" w:bidi="ar-SA"/>
        </w:rPr>
        <w:t xml:space="preserve"> </w:t>
      </w:r>
      <w:r>
        <w:rPr>
          <w:rFonts w:hint="default"/>
          <w:b/>
          <w:bCs/>
          <w:color w:val="auto"/>
          <w:lang w:val="en-US" w:eastAsia="zh-CN"/>
        </w:rPr>
        <w:t>粉尘</w:t>
      </w:r>
    </w:p>
    <w:p w14:paraId="4871A1E6">
      <w:pPr>
        <w:bidi w:val="0"/>
        <w:rPr>
          <w:rFonts w:hint="default"/>
          <w:color w:val="auto"/>
          <w:lang w:val="en-US" w:eastAsia="zh-CN"/>
        </w:rPr>
      </w:pPr>
      <w:r>
        <w:rPr>
          <w:rFonts w:hint="default"/>
          <w:color w:val="auto"/>
          <w:lang w:val="en-US" w:eastAsia="zh-CN"/>
        </w:rPr>
        <w:t>杨家店尾矿库在干旱季节和久晴未雨的情况下，遇上刮风时尾矿沉积滩面上部分粒径较小的尾矿粉将会被风扬起，对人体产生危害（尘肺病），或对环境产生污染。</w:t>
      </w:r>
    </w:p>
    <w:p w14:paraId="0A7DE6DC">
      <w:pPr>
        <w:numPr>
          <w:ilvl w:val="0"/>
          <w:numId w:val="0"/>
        </w:numPr>
        <w:bidi w:val="0"/>
        <w:ind w:left="0" w:leftChars="0" w:firstLine="562" w:firstLineChars="200"/>
        <w:rPr>
          <w:rFonts w:hint="default"/>
          <w:b/>
          <w:bCs/>
          <w:color w:val="auto"/>
          <w:lang w:val="en-US" w:eastAsia="zh-CN"/>
        </w:rPr>
      </w:pPr>
      <w:r>
        <w:rPr>
          <w:rFonts w:hint="default" w:ascii="Times New Roman" w:hAnsi="Times New Roman" w:eastAsia="宋体" w:cs="Times New Roman"/>
          <w:b/>
          <w:bCs/>
          <w:color w:val="auto"/>
          <w:kern w:val="2"/>
          <w:sz w:val="28"/>
          <w:szCs w:val="24"/>
          <w:lang w:val="en-US" w:eastAsia="zh-CN" w:bidi="ar-SA"/>
        </w:rPr>
        <w:t>4.</w:t>
      </w:r>
      <w:r>
        <w:rPr>
          <w:rFonts w:hint="eastAsia" w:cs="Times New Roman"/>
          <w:b/>
          <w:bCs/>
          <w:color w:val="auto"/>
          <w:kern w:val="2"/>
          <w:sz w:val="28"/>
          <w:szCs w:val="24"/>
          <w:lang w:val="en-US" w:eastAsia="zh-CN" w:bidi="ar-SA"/>
        </w:rPr>
        <w:t xml:space="preserve"> </w:t>
      </w:r>
      <w:r>
        <w:rPr>
          <w:rFonts w:hint="default"/>
          <w:b/>
          <w:bCs/>
          <w:color w:val="auto"/>
          <w:lang w:val="en-US" w:eastAsia="zh-CN"/>
        </w:rPr>
        <w:t>触电</w:t>
      </w:r>
    </w:p>
    <w:p w14:paraId="41A004AA">
      <w:pPr>
        <w:bidi w:val="0"/>
        <w:rPr>
          <w:rFonts w:hint="default"/>
          <w:color w:val="auto"/>
          <w:lang w:val="en-US" w:eastAsia="zh-CN"/>
        </w:rPr>
      </w:pPr>
      <w:r>
        <w:rPr>
          <w:rFonts w:hint="default"/>
          <w:color w:val="auto"/>
          <w:lang w:val="en-US" w:eastAsia="zh-CN"/>
        </w:rPr>
        <w:t>库区工作人员在电气线路或电气设备检修时存在触电危险，管理制度不完善、违章作业、电气设备绝缘破坏、接地不良等事故造成人员触电伤亡。</w:t>
      </w:r>
    </w:p>
    <w:p w14:paraId="374EFE34">
      <w:pPr>
        <w:pStyle w:val="3"/>
        <w:bidi w:val="0"/>
        <w:rPr>
          <w:rFonts w:hint="default"/>
          <w:color w:val="auto"/>
          <w:lang w:val="en-US" w:eastAsia="zh-CN"/>
        </w:rPr>
      </w:pPr>
      <w:bookmarkStart w:id="130" w:name="_Toc11773"/>
      <w:r>
        <w:rPr>
          <w:rFonts w:hint="default"/>
          <w:color w:val="auto"/>
          <w:lang w:val="en-US" w:eastAsia="zh-CN"/>
        </w:rPr>
        <w:t>5.2</w:t>
      </w:r>
      <w:r>
        <w:rPr>
          <w:rFonts w:hint="eastAsia"/>
          <w:color w:val="auto"/>
          <w:lang w:val="en-US" w:eastAsia="zh-CN"/>
        </w:rPr>
        <w:t xml:space="preserve"> </w:t>
      </w:r>
      <w:r>
        <w:rPr>
          <w:rFonts w:hint="default"/>
          <w:color w:val="auto"/>
          <w:lang w:val="en-US" w:eastAsia="zh-CN"/>
        </w:rPr>
        <w:t>危险、有害因素分析结果</w:t>
      </w:r>
      <w:bookmarkEnd w:id="130"/>
    </w:p>
    <w:p w14:paraId="753F3B0F">
      <w:pPr>
        <w:bidi w:val="0"/>
        <w:rPr>
          <w:rFonts w:hint="default"/>
          <w:color w:val="auto"/>
          <w:lang w:val="en-US" w:eastAsia="zh-CN"/>
        </w:rPr>
      </w:pPr>
      <w:r>
        <w:rPr>
          <w:rFonts w:hint="default"/>
          <w:color w:val="auto"/>
          <w:lang w:val="en-US" w:eastAsia="zh-CN"/>
        </w:rPr>
        <w:t>杨家店尾矿库可能存在坝坡失稳（滑坡），洪水漫顶，渗漏</w:t>
      </w:r>
      <w:r>
        <w:rPr>
          <w:rFonts w:hint="eastAsia"/>
          <w:color w:val="auto"/>
          <w:lang w:val="en-US" w:eastAsia="zh-CN"/>
        </w:rPr>
        <w:t>，</w:t>
      </w:r>
      <w:r>
        <w:rPr>
          <w:rFonts w:hint="default"/>
          <w:color w:val="auto"/>
          <w:lang w:val="en-US" w:eastAsia="zh-CN"/>
        </w:rPr>
        <w:t>排水</w:t>
      </w:r>
      <w:r>
        <w:rPr>
          <w:rFonts w:hint="eastAsia"/>
          <w:color w:val="auto"/>
          <w:lang w:val="en-US" w:eastAsia="zh-CN"/>
        </w:rPr>
        <w:t>、</w:t>
      </w:r>
      <w:r>
        <w:rPr>
          <w:rFonts w:hint="default"/>
          <w:color w:val="auto"/>
          <w:lang w:val="en-US" w:eastAsia="zh-CN"/>
        </w:rPr>
        <w:t>泄洪构筑物破坏，裂缝，淹溺，高处坠落，粉尘，岸坡山体滑坡</w:t>
      </w:r>
      <w:r>
        <w:rPr>
          <w:rFonts w:hint="eastAsia"/>
          <w:color w:val="auto"/>
          <w:lang w:val="en-US" w:eastAsia="zh-CN"/>
        </w:rPr>
        <w:t>，</w:t>
      </w:r>
      <w:r>
        <w:rPr>
          <w:rFonts w:hint="default"/>
          <w:color w:val="auto"/>
          <w:lang w:val="en-US" w:eastAsia="zh-CN"/>
        </w:rPr>
        <w:t>触电</w:t>
      </w:r>
      <w:r>
        <w:rPr>
          <w:rFonts w:hint="eastAsia"/>
          <w:color w:val="auto"/>
          <w:lang w:val="en-US" w:eastAsia="zh-CN"/>
        </w:rPr>
        <w:t>，</w:t>
      </w:r>
      <w:r>
        <w:rPr>
          <w:rFonts w:hint="default"/>
          <w:color w:val="auto"/>
          <w:lang w:val="en-US" w:eastAsia="zh-CN"/>
        </w:rPr>
        <w:t>车辆伤害</w:t>
      </w:r>
      <w:r>
        <w:rPr>
          <w:rFonts w:hint="eastAsia"/>
          <w:color w:val="auto"/>
          <w:lang w:val="en-US" w:eastAsia="zh-CN"/>
        </w:rPr>
        <w:t>，</w:t>
      </w:r>
      <w:r>
        <w:rPr>
          <w:rFonts w:hint="default"/>
          <w:color w:val="auto"/>
          <w:lang w:val="en-US" w:eastAsia="zh-CN"/>
        </w:rPr>
        <w:t>动植物危害</w:t>
      </w:r>
      <w:r>
        <w:rPr>
          <w:rFonts w:hint="eastAsia"/>
          <w:color w:val="auto"/>
          <w:lang w:val="en-US" w:eastAsia="zh-CN"/>
        </w:rPr>
        <w:t>，</w:t>
      </w:r>
      <w:r>
        <w:rPr>
          <w:rFonts w:hint="default"/>
          <w:color w:val="auto"/>
          <w:lang w:val="en-US" w:eastAsia="zh-CN"/>
        </w:rPr>
        <w:t>暴雨</w:t>
      </w:r>
      <w:r>
        <w:rPr>
          <w:rFonts w:hint="eastAsia"/>
          <w:color w:val="auto"/>
          <w:lang w:val="en-US" w:eastAsia="zh-CN"/>
        </w:rPr>
        <w:t>，</w:t>
      </w:r>
      <w:r>
        <w:rPr>
          <w:rFonts w:hint="default"/>
          <w:color w:val="auto"/>
          <w:lang w:val="en-US" w:eastAsia="zh-CN"/>
        </w:rPr>
        <w:t>雷电等不良环境因素及其他因素造成的病害。其中：坝坡失稳（滑坡）、排水、泄洪构筑物破坏、淹溺、岸坡山体滑坡为本库主要危害因素，在日常管理过程中应引起高度重视。</w:t>
      </w:r>
    </w:p>
    <w:p w14:paraId="1D3951A9">
      <w:pPr>
        <w:pStyle w:val="3"/>
        <w:bidi w:val="0"/>
        <w:rPr>
          <w:rFonts w:hint="default"/>
          <w:color w:val="auto"/>
          <w:lang w:val="en-US" w:eastAsia="zh-CN"/>
        </w:rPr>
      </w:pPr>
      <w:bookmarkStart w:id="131" w:name="_Toc28262"/>
      <w:r>
        <w:rPr>
          <w:rFonts w:hint="default"/>
          <w:color w:val="auto"/>
          <w:lang w:val="en-US" w:eastAsia="zh-CN"/>
        </w:rPr>
        <w:t>5.3</w:t>
      </w:r>
      <w:r>
        <w:rPr>
          <w:rFonts w:hint="eastAsia"/>
          <w:color w:val="auto"/>
          <w:lang w:val="en-US" w:eastAsia="zh-CN"/>
        </w:rPr>
        <w:t xml:space="preserve"> </w:t>
      </w:r>
      <w:r>
        <w:rPr>
          <w:rFonts w:hint="default"/>
          <w:color w:val="auto"/>
          <w:lang w:val="en-US" w:eastAsia="zh-CN"/>
        </w:rPr>
        <w:t>风险度分析与评估方法</w:t>
      </w:r>
      <w:bookmarkEnd w:id="131"/>
    </w:p>
    <w:p w14:paraId="3ACBBE18">
      <w:pPr>
        <w:rPr>
          <w:rFonts w:hint="default"/>
          <w:color w:val="auto"/>
          <w:lang w:val="en-US" w:eastAsia="zh-CN"/>
        </w:rPr>
      </w:pPr>
      <w:r>
        <w:rPr>
          <w:rFonts w:hint="default"/>
          <w:color w:val="auto"/>
          <w:lang w:val="en-US" w:eastAsia="zh-CN"/>
        </w:rPr>
        <w:t>依《江西省安委会办公室关于印发江西省安全风险分级管控体系建设通用指南的通知》（赣安办字〔2016〕55号），本次江西浒坑钨业事故风险分析采用风险矩阵法（LS）、作业条件危险性评价法（LEC）。前者多用于尾矿库设施场所风险评估（固有风险）、后者多用于作业活动风险评估。同时，依《江西省金属非金属矿尾矿库安全监管风险分级评定表》，对杨家店尾矿库的风险等级进行分析评判。</w:t>
      </w:r>
    </w:p>
    <w:p w14:paraId="0A70A72D">
      <w:pPr>
        <w:rPr>
          <w:rFonts w:hint="default"/>
          <w:color w:val="auto"/>
          <w:lang w:val="en-US" w:eastAsia="zh-CN"/>
        </w:rPr>
      </w:pPr>
      <w:r>
        <w:rPr>
          <w:rFonts w:hint="default"/>
          <w:color w:val="auto"/>
          <w:lang w:val="en-US" w:eastAsia="zh-CN"/>
        </w:rPr>
        <w:t>（1）风险矩阵法（LS）</w:t>
      </w:r>
    </w:p>
    <w:p w14:paraId="76D5D5AD">
      <w:pPr>
        <w:rPr>
          <w:rFonts w:hint="default"/>
          <w:color w:val="auto"/>
          <w:lang w:val="en-US" w:eastAsia="zh-CN"/>
        </w:rPr>
      </w:pPr>
      <w:r>
        <w:rPr>
          <w:rFonts w:hint="default"/>
          <w:color w:val="auto"/>
          <w:lang w:val="en-US" w:eastAsia="zh-CN"/>
        </w:rPr>
        <w:t>风险矩阵法的风险度是指事件发生的可能性与事件后果的结合，即：R=L×S，其中：R——代表风险值；L——代表发生伤害的可能性；S——代表发生伤害后果的严重程度。</w:t>
      </w:r>
    </w:p>
    <w:p w14:paraId="226DB7EF">
      <w:pPr>
        <w:rPr>
          <w:rFonts w:hint="default"/>
          <w:color w:val="auto"/>
          <w:lang w:val="en-US" w:eastAsia="zh-CN"/>
        </w:rPr>
      </w:pPr>
      <w:r>
        <w:rPr>
          <w:rFonts w:hint="default"/>
          <w:color w:val="auto"/>
          <w:lang w:val="en-US" w:eastAsia="zh-CN"/>
        </w:rPr>
        <w:t>风险矩阵法把风险等级分为5级，分别是：</w:t>
      </w:r>
      <w:r>
        <w:rPr>
          <w:rFonts w:hint="eastAsia" w:ascii="宋体" w:hAnsi="宋体" w:eastAsia="宋体" w:cs="宋体"/>
          <w:color w:val="auto"/>
          <w:lang w:val="en-US" w:eastAsia="zh-CN"/>
        </w:rPr>
        <w:t>I</w:t>
      </w:r>
      <w:r>
        <w:rPr>
          <w:rFonts w:hint="default"/>
          <w:color w:val="auto"/>
          <w:lang w:val="en-US" w:eastAsia="zh-CN"/>
        </w:rPr>
        <w:t>级（很高）、</w:t>
      </w:r>
      <w:r>
        <w:rPr>
          <w:rFonts w:hint="eastAsia" w:ascii="宋体" w:hAnsi="宋体" w:eastAsia="宋体" w:cs="宋体"/>
          <w:color w:val="auto"/>
          <w:lang w:val="en-US" w:eastAsia="zh-CN"/>
        </w:rPr>
        <w:t>II</w:t>
      </w:r>
      <w:r>
        <w:rPr>
          <w:rFonts w:hint="default"/>
          <w:color w:val="auto"/>
          <w:lang w:val="en-US" w:eastAsia="zh-CN"/>
        </w:rPr>
        <w:t>级（高）、</w:t>
      </w:r>
      <w:r>
        <w:rPr>
          <w:rFonts w:hint="eastAsia" w:ascii="宋体" w:hAnsi="宋体" w:eastAsia="宋体" w:cs="宋体"/>
          <w:color w:val="auto"/>
          <w:lang w:val="en-US" w:eastAsia="zh-CN"/>
        </w:rPr>
        <w:t>III</w:t>
      </w:r>
      <w:r>
        <w:rPr>
          <w:rFonts w:hint="default"/>
          <w:color w:val="auto"/>
          <w:lang w:val="en-US" w:eastAsia="zh-CN"/>
        </w:rPr>
        <w:t>级（中）、</w:t>
      </w:r>
      <w:r>
        <w:rPr>
          <w:rFonts w:hint="eastAsia" w:ascii="宋体" w:hAnsi="宋体" w:eastAsia="宋体" w:cs="宋体"/>
          <w:color w:val="auto"/>
          <w:lang w:val="en-US" w:eastAsia="zh-CN"/>
        </w:rPr>
        <w:t>IV</w:t>
      </w:r>
      <w:r>
        <w:rPr>
          <w:rFonts w:hint="default"/>
          <w:color w:val="auto"/>
          <w:lang w:val="en-US" w:eastAsia="zh-CN"/>
        </w:rPr>
        <w:t>级（低）、</w:t>
      </w:r>
      <w:r>
        <w:rPr>
          <w:rFonts w:hint="eastAsia" w:ascii="宋体" w:hAnsi="宋体" w:eastAsia="宋体" w:cs="宋体"/>
          <w:color w:val="auto"/>
          <w:lang w:val="en-US" w:eastAsia="zh-CN"/>
        </w:rPr>
        <w:t>V</w:t>
      </w:r>
      <w:r>
        <w:rPr>
          <w:rFonts w:hint="default"/>
          <w:color w:val="auto"/>
          <w:lang w:val="en-US" w:eastAsia="zh-CN"/>
        </w:rPr>
        <w:t>级（较低）。</w:t>
      </w:r>
    </w:p>
    <w:p w14:paraId="36B2010E">
      <w:pPr>
        <w:rPr>
          <w:rFonts w:hint="default"/>
          <w:color w:val="auto"/>
          <w:lang w:val="en-US" w:eastAsia="zh-CN"/>
        </w:rPr>
      </w:pPr>
      <w:r>
        <w:rPr>
          <w:rFonts w:hint="default"/>
          <w:color w:val="auto"/>
          <w:lang w:val="en-US" w:eastAsia="zh-CN"/>
        </w:rPr>
        <w:t>①事故发生的可能性（L）取值</w:t>
      </w:r>
    </w:p>
    <w:p w14:paraId="2088F32B">
      <w:pPr>
        <w:rPr>
          <w:rFonts w:hint="default"/>
          <w:color w:val="auto"/>
          <w:lang w:val="en-US" w:eastAsia="zh-CN"/>
        </w:rPr>
      </w:pPr>
      <w:r>
        <w:rPr>
          <w:rFonts w:hint="default"/>
          <w:color w:val="auto"/>
          <w:lang w:val="en-US" w:eastAsia="zh-CN"/>
        </w:rPr>
        <w:t>从偏差发生频率、安全检查、操作规程、员工胜任程度、控制措施等五个方面对危险有害事件发生的可能性进行评价取值，取五项得分的最高的分值作为其最终的L值。</w:t>
      </w:r>
    </w:p>
    <w:p w14:paraId="455600D1">
      <w:pPr>
        <w:ind w:left="0" w:leftChars="0" w:firstLine="0" w:firstLineChars="0"/>
        <w:jc w:val="center"/>
        <w:rPr>
          <w:rFonts w:hint="default"/>
          <w:color w:val="auto"/>
          <w:lang w:val="en-US" w:eastAsia="zh-CN"/>
        </w:rPr>
      </w:pPr>
      <w:r>
        <w:rPr>
          <w:rFonts w:hint="eastAsia"/>
          <w:color w:val="auto"/>
          <w:lang w:val="en-US" w:eastAsia="zh-CN"/>
        </w:rPr>
        <w:t xml:space="preserve">表5.3-1 </w:t>
      </w:r>
      <w:r>
        <w:rPr>
          <w:rFonts w:hint="default"/>
          <w:color w:val="auto"/>
          <w:lang w:val="en-US" w:eastAsia="zh-CN"/>
        </w:rPr>
        <w:t>事故发生的可能性L判断准则</w:t>
      </w:r>
    </w:p>
    <w:tbl>
      <w:tblPr>
        <w:tblStyle w:val="19"/>
        <w:tblW w:w="0" w:type="auto"/>
        <w:jc w:val="center"/>
        <w:tblLayout w:type="fixed"/>
        <w:tblCellMar>
          <w:top w:w="0" w:type="dxa"/>
          <w:left w:w="10" w:type="dxa"/>
          <w:bottom w:w="0" w:type="dxa"/>
          <w:right w:w="10" w:type="dxa"/>
        </w:tblCellMar>
      </w:tblPr>
      <w:tblGrid>
        <w:gridCol w:w="806"/>
        <w:gridCol w:w="8100"/>
      </w:tblGrid>
      <w:tr w14:paraId="47AACC5A">
        <w:tblPrEx>
          <w:tblCellMar>
            <w:top w:w="0" w:type="dxa"/>
            <w:left w:w="10" w:type="dxa"/>
            <w:bottom w:w="0" w:type="dxa"/>
            <w:right w:w="10" w:type="dxa"/>
          </w:tblCellMar>
        </w:tblPrEx>
        <w:trPr>
          <w:trHeight w:val="201" w:hRule="atLeast"/>
          <w:jc w:val="center"/>
        </w:trPr>
        <w:tc>
          <w:tcPr>
            <w:tcW w:w="806"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5D350CE1">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等级</w:t>
            </w:r>
          </w:p>
        </w:tc>
        <w:tc>
          <w:tcPr>
            <w:tcW w:w="810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40F557FB">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标</w:t>
            </w:r>
            <w:r>
              <w:rPr>
                <w:rFonts w:hint="eastAsia" w:hAnsi="宋体" w:cs="Times New Roman"/>
                <w:color w:val="auto"/>
                <w:sz w:val="21"/>
                <w:szCs w:val="21"/>
                <w:lang w:val="en-US" w:eastAsia="zh-CN"/>
              </w:rPr>
              <w:t xml:space="preserve">     </w:t>
            </w:r>
            <w:r>
              <w:rPr>
                <w:rFonts w:ascii="Times New Roman" w:hAnsi="宋体" w:eastAsia="宋体" w:cs="Times New Roman"/>
                <w:color w:val="auto"/>
                <w:sz w:val="21"/>
                <w:szCs w:val="21"/>
              </w:rPr>
              <w:t>准</w:t>
            </w:r>
          </w:p>
        </w:tc>
      </w:tr>
      <w:tr w14:paraId="31D3C828">
        <w:tblPrEx>
          <w:tblCellMar>
            <w:top w:w="0" w:type="dxa"/>
            <w:left w:w="10" w:type="dxa"/>
            <w:bottom w:w="0" w:type="dxa"/>
            <w:right w:w="10" w:type="dxa"/>
          </w:tblCellMar>
        </w:tblPrEx>
        <w:trPr>
          <w:trHeight w:val="146" w:hRule="atLeast"/>
          <w:jc w:val="center"/>
        </w:trPr>
        <w:tc>
          <w:tcPr>
            <w:tcW w:w="806"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5D0457EC">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5</w:t>
            </w:r>
          </w:p>
        </w:tc>
        <w:tc>
          <w:tcPr>
            <w:tcW w:w="810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top"/>
          </w:tcPr>
          <w:p w14:paraId="2EEAB47F">
            <w:pPr>
              <w:spacing w:line="300" w:lineRule="exact"/>
              <w:ind w:firstLine="0" w:firstLineChars="0"/>
              <w:jc w:val="left"/>
              <w:rPr>
                <w:rFonts w:ascii="Times New Roman" w:hAnsi="Times New Roman" w:eastAsia="宋体" w:cs="Times New Roman"/>
                <w:color w:val="auto"/>
                <w:sz w:val="21"/>
                <w:szCs w:val="21"/>
              </w:rPr>
            </w:pPr>
            <w:r>
              <w:rPr>
                <w:rFonts w:ascii="Times New Roman" w:hAnsi="宋体" w:eastAsia="宋体" w:cs="Times New Roman"/>
                <w:color w:val="auto"/>
                <w:sz w:val="21"/>
                <w:szCs w:val="21"/>
              </w:rPr>
              <w:t>在现场没有采取防范、监测、保护、控制措施，或危险有害的发生不能被发现（没有监测系统），或在正常情况下经常发生此类事故或事件。</w:t>
            </w:r>
          </w:p>
        </w:tc>
      </w:tr>
      <w:tr w14:paraId="019E6676">
        <w:tblPrEx>
          <w:tblCellMar>
            <w:top w:w="0" w:type="dxa"/>
            <w:left w:w="10" w:type="dxa"/>
            <w:bottom w:w="0" w:type="dxa"/>
            <w:right w:w="10" w:type="dxa"/>
          </w:tblCellMar>
        </w:tblPrEx>
        <w:trPr>
          <w:trHeight w:val="595" w:hRule="atLeast"/>
          <w:jc w:val="center"/>
        </w:trPr>
        <w:tc>
          <w:tcPr>
            <w:tcW w:w="806"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2E1E6884">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4</w:t>
            </w:r>
          </w:p>
        </w:tc>
        <w:tc>
          <w:tcPr>
            <w:tcW w:w="810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top"/>
          </w:tcPr>
          <w:p w14:paraId="604F5C1A">
            <w:pPr>
              <w:spacing w:line="300" w:lineRule="exact"/>
              <w:ind w:firstLine="0" w:firstLineChars="0"/>
              <w:jc w:val="left"/>
              <w:rPr>
                <w:rFonts w:ascii="Times New Roman" w:hAnsi="Times New Roman" w:eastAsia="宋体" w:cs="Times New Roman"/>
                <w:color w:val="auto"/>
                <w:sz w:val="21"/>
                <w:szCs w:val="21"/>
              </w:rPr>
            </w:pPr>
            <w:r>
              <w:rPr>
                <w:rFonts w:ascii="Times New Roman" w:hAnsi="宋体" w:eastAsia="宋体" w:cs="Times New Roman"/>
                <w:color w:val="auto"/>
                <w:sz w:val="21"/>
                <w:szCs w:val="21"/>
              </w:rPr>
              <w:t>危险有害的发生不容易被发现，现场没有检测系统，也未发生过任何监测，或在现场有控制措施，但未有效执行或控制措施不当，或危险有害发生或预期情况下发生</w:t>
            </w:r>
          </w:p>
        </w:tc>
      </w:tr>
      <w:tr w14:paraId="1D6953B1">
        <w:tblPrEx>
          <w:tblCellMar>
            <w:top w:w="0" w:type="dxa"/>
            <w:left w:w="10" w:type="dxa"/>
            <w:bottom w:w="0" w:type="dxa"/>
            <w:right w:w="10" w:type="dxa"/>
          </w:tblCellMar>
        </w:tblPrEx>
        <w:trPr>
          <w:trHeight w:val="902" w:hRule="atLeast"/>
          <w:jc w:val="center"/>
        </w:trPr>
        <w:tc>
          <w:tcPr>
            <w:tcW w:w="806"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51DB2E54">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810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top"/>
          </w:tcPr>
          <w:p w14:paraId="7F22140C">
            <w:pPr>
              <w:spacing w:line="300" w:lineRule="exact"/>
              <w:ind w:firstLine="0" w:firstLineChars="0"/>
              <w:jc w:val="left"/>
              <w:rPr>
                <w:rFonts w:ascii="Times New Roman" w:hAnsi="Times New Roman" w:eastAsia="宋体" w:cs="Times New Roman"/>
                <w:color w:val="auto"/>
                <w:sz w:val="21"/>
                <w:szCs w:val="21"/>
              </w:rPr>
            </w:pPr>
            <w:r>
              <w:rPr>
                <w:rFonts w:ascii="Times New Roman" w:hAnsi="宋体" w:eastAsia="宋体" w:cs="Times New Roman"/>
                <w:color w:val="auto"/>
                <w:sz w:val="21"/>
                <w:szCs w:val="21"/>
              </w:rPr>
              <w:t>没有保护措施（如没有保护装置、没有个人防护用品等），或未严格按操作程序执行，或危险有害的发生容易被发现（现场有监测系统），或曾经作过监测，或过去曾经发生类似事故或事件。</w:t>
            </w:r>
          </w:p>
        </w:tc>
      </w:tr>
      <w:tr w14:paraId="1E9B2A26">
        <w:tblPrEx>
          <w:tblCellMar>
            <w:top w:w="0" w:type="dxa"/>
            <w:left w:w="10" w:type="dxa"/>
            <w:bottom w:w="0" w:type="dxa"/>
            <w:right w:w="10" w:type="dxa"/>
          </w:tblCellMar>
        </w:tblPrEx>
        <w:trPr>
          <w:trHeight w:val="595" w:hRule="atLeast"/>
          <w:jc w:val="center"/>
        </w:trPr>
        <w:tc>
          <w:tcPr>
            <w:tcW w:w="806"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28E25D8F">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w:t>
            </w:r>
          </w:p>
        </w:tc>
        <w:tc>
          <w:tcPr>
            <w:tcW w:w="810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top"/>
          </w:tcPr>
          <w:p w14:paraId="099E3536">
            <w:pPr>
              <w:spacing w:line="300" w:lineRule="exact"/>
              <w:ind w:firstLine="0" w:firstLineChars="0"/>
              <w:jc w:val="left"/>
              <w:rPr>
                <w:rFonts w:ascii="Times New Roman" w:hAnsi="Times New Roman" w:eastAsia="宋体" w:cs="Times New Roman"/>
                <w:color w:val="auto"/>
                <w:sz w:val="21"/>
                <w:szCs w:val="21"/>
              </w:rPr>
            </w:pPr>
            <w:r>
              <w:rPr>
                <w:rFonts w:ascii="Times New Roman" w:hAnsi="宋体" w:eastAsia="宋体" w:cs="Times New Roman"/>
                <w:color w:val="auto"/>
                <w:sz w:val="21"/>
                <w:szCs w:val="21"/>
              </w:rPr>
              <w:t>危险有害一旦发生能及时发现，并定期进行监测，或现场有防范控制措施，并能有效执行，或过去偶尔发生事故或事件。</w:t>
            </w:r>
          </w:p>
        </w:tc>
      </w:tr>
      <w:tr w14:paraId="6990C27A">
        <w:tblPrEx>
          <w:tblCellMar>
            <w:top w:w="0" w:type="dxa"/>
            <w:left w:w="10" w:type="dxa"/>
            <w:bottom w:w="0" w:type="dxa"/>
            <w:right w:w="10" w:type="dxa"/>
          </w:tblCellMar>
        </w:tblPrEx>
        <w:trPr>
          <w:trHeight w:val="595" w:hRule="atLeast"/>
          <w:jc w:val="center"/>
        </w:trPr>
        <w:tc>
          <w:tcPr>
            <w:tcW w:w="806"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4E77CCF2">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810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top"/>
          </w:tcPr>
          <w:p w14:paraId="100F4416">
            <w:pPr>
              <w:spacing w:line="300" w:lineRule="exact"/>
              <w:ind w:firstLine="0" w:firstLineChars="0"/>
              <w:jc w:val="left"/>
              <w:rPr>
                <w:rFonts w:ascii="Times New Roman" w:hAnsi="Times New Roman" w:eastAsia="宋体" w:cs="Times New Roman"/>
                <w:color w:val="auto"/>
                <w:sz w:val="21"/>
                <w:szCs w:val="21"/>
              </w:rPr>
            </w:pPr>
            <w:r>
              <w:rPr>
                <w:rFonts w:ascii="Times New Roman" w:hAnsi="宋体" w:eastAsia="宋体" w:cs="Times New Roman"/>
                <w:color w:val="auto"/>
                <w:sz w:val="21"/>
                <w:szCs w:val="21"/>
              </w:rPr>
              <w:t>有充分、有效的防范、控制、监测、保护措施，或员工安全卫生意识相当高，严格执行操作规程。极不可能发生事故或事件。</w:t>
            </w:r>
          </w:p>
        </w:tc>
      </w:tr>
    </w:tbl>
    <w:p w14:paraId="5A5E3E1A">
      <w:pPr>
        <w:bidi w:val="0"/>
        <w:rPr>
          <w:rFonts w:hint="default"/>
          <w:color w:val="auto"/>
          <w:lang w:val="en-US" w:eastAsia="zh-CN"/>
        </w:rPr>
      </w:pPr>
      <w:r>
        <w:rPr>
          <w:rFonts w:hint="default"/>
          <w:color w:val="auto"/>
          <w:lang w:val="en-US" w:eastAsia="zh-CN"/>
        </w:rPr>
        <w:t>②事故发生的严重程度（S）取值</w:t>
      </w:r>
    </w:p>
    <w:p w14:paraId="64F3DCC6">
      <w:pPr>
        <w:bidi w:val="0"/>
        <w:rPr>
          <w:rFonts w:hint="default"/>
          <w:color w:val="auto"/>
          <w:lang w:val="en-US" w:eastAsia="zh-CN"/>
        </w:rPr>
      </w:pPr>
      <w:r>
        <w:rPr>
          <w:rFonts w:hint="default"/>
          <w:color w:val="auto"/>
          <w:lang w:val="en-US" w:eastAsia="zh-CN"/>
        </w:rPr>
        <w:t>从人员伤亡情况、财产损失、法律法规符合性、环境破坏和对企业声誉损坏等五个方面对后果的严重程度进行评价取值，取五项得分最高的分值作为其最终的S值。</w:t>
      </w:r>
    </w:p>
    <w:p w14:paraId="73E8C7AA">
      <w:pPr>
        <w:ind w:left="0" w:leftChars="0" w:firstLine="0" w:firstLineChars="0"/>
        <w:jc w:val="center"/>
        <w:rPr>
          <w:rFonts w:hint="default"/>
          <w:color w:val="auto"/>
          <w:lang w:val="en-US" w:eastAsia="zh-CN"/>
        </w:rPr>
      </w:pPr>
      <w:r>
        <w:rPr>
          <w:rFonts w:hint="eastAsia"/>
          <w:color w:val="auto"/>
          <w:lang w:val="en-US" w:eastAsia="zh-CN"/>
        </w:rPr>
        <w:t xml:space="preserve">表5.3-2 </w:t>
      </w:r>
      <w:r>
        <w:rPr>
          <w:rFonts w:hint="default"/>
          <w:color w:val="auto"/>
          <w:lang w:val="en-US" w:eastAsia="zh-CN"/>
        </w:rPr>
        <w:t>事件后果严重性S判别准则</w:t>
      </w:r>
    </w:p>
    <w:tbl>
      <w:tblPr>
        <w:tblStyle w:val="19"/>
        <w:tblW w:w="0" w:type="auto"/>
        <w:jc w:val="center"/>
        <w:tblLayout w:type="fixed"/>
        <w:tblCellMar>
          <w:top w:w="0" w:type="dxa"/>
          <w:left w:w="10" w:type="dxa"/>
          <w:bottom w:w="0" w:type="dxa"/>
          <w:right w:w="10" w:type="dxa"/>
        </w:tblCellMar>
      </w:tblPr>
      <w:tblGrid>
        <w:gridCol w:w="720"/>
        <w:gridCol w:w="2362"/>
        <w:gridCol w:w="1418"/>
        <w:gridCol w:w="1080"/>
        <w:gridCol w:w="1743"/>
        <w:gridCol w:w="1677"/>
      </w:tblGrid>
      <w:tr w14:paraId="53B4C167">
        <w:tblPrEx>
          <w:tblCellMar>
            <w:top w:w="0" w:type="dxa"/>
            <w:left w:w="10" w:type="dxa"/>
            <w:bottom w:w="0" w:type="dxa"/>
            <w:right w:w="10" w:type="dxa"/>
          </w:tblCellMar>
        </w:tblPrEx>
        <w:trPr>
          <w:trHeight w:val="221"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41B8A50A">
            <w:pPr>
              <w:spacing w:line="300" w:lineRule="exact"/>
              <w:ind w:firstLine="0" w:firstLineChars="0"/>
              <w:jc w:val="center"/>
              <w:rPr>
                <w:rFonts w:ascii="Times New Roman" w:hAnsi="宋体" w:eastAsia="宋体" w:cs="Times New Roman"/>
                <w:color w:val="auto"/>
                <w:sz w:val="21"/>
                <w:szCs w:val="21"/>
              </w:rPr>
            </w:pPr>
            <w:r>
              <w:rPr>
                <w:rFonts w:ascii="Times New Roman" w:hAnsi="宋体" w:eastAsia="宋体" w:cs="Times New Roman"/>
                <w:color w:val="auto"/>
                <w:sz w:val="21"/>
                <w:szCs w:val="21"/>
              </w:rPr>
              <w:t>等级</w:t>
            </w:r>
          </w:p>
        </w:tc>
        <w:tc>
          <w:tcPr>
            <w:tcW w:w="2362"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470421D5">
            <w:pPr>
              <w:spacing w:line="300" w:lineRule="exact"/>
              <w:ind w:firstLine="0" w:firstLineChars="0"/>
              <w:jc w:val="center"/>
              <w:rPr>
                <w:rFonts w:ascii="Times New Roman" w:hAnsi="宋体" w:eastAsia="宋体" w:cs="Times New Roman"/>
                <w:color w:val="auto"/>
                <w:sz w:val="21"/>
                <w:szCs w:val="21"/>
              </w:rPr>
            </w:pPr>
            <w:r>
              <w:rPr>
                <w:rFonts w:ascii="Times New Roman" w:hAnsi="宋体" w:eastAsia="宋体" w:cs="Times New Roman"/>
                <w:color w:val="auto"/>
                <w:sz w:val="21"/>
                <w:szCs w:val="21"/>
              </w:rPr>
              <w:t>法律、法规及其他要求</w:t>
            </w:r>
          </w:p>
        </w:tc>
        <w:tc>
          <w:tcPr>
            <w:tcW w:w="1418"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12539778">
            <w:pPr>
              <w:spacing w:line="300" w:lineRule="exact"/>
              <w:ind w:firstLine="0" w:firstLineChars="0"/>
              <w:jc w:val="center"/>
              <w:rPr>
                <w:rFonts w:ascii="Times New Roman" w:hAnsi="宋体" w:eastAsia="宋体" w:cs="Times New Roman"/>
                <w:color w:val="auto"/>
                <w:sz w:val="21"/>
                <w:szCs w:val="21"/>
              </w:rPr>
            </w:pPr>
            <w:r>
              <w:rPr>
                <w:rFonts w:ascii="Times New Roman" w:hAnsi="宋体" w:eastAsia="宋体" w:cs="Times New Roman"/>
                <w:color w:val="auto"/>
                <w:sz w:val="21"/>
                <w:szCs w:val="21"/>
              </w:rPr>
              <w:t>人员</w:t>
            </w:r>
          </w:p>
        </w:tc>
        <w:tc>
          <w:tcPr>
            <w:tcW w:w="108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20F0EC88">
            <w:pPr>
              <w:spacing w:line="300" w:lineRule="exact"/>
              <w:ind w:firstLine="0" w:firstLineChars="0"/>
              <w:jc w:val="center"/>
              <w:rPr>
                <w:rFonts w:ascii="Times New Roman" w:hAnsi="宋体" w:eastAsia="宋体" w:cs="Times New Roman"/>
                <w:color w:val="auto"/>
                <w:sz w:val="21"/>
                <w:szCs w:val="21"/>
              </w:rPr>
            </w:pPr>
            <w:r>
              <w:rPr>
                <w:rFonts w:ascii="Times New Roman" w:hAnsi="宋体" w:eastAsia="宋体" w:cs="Times New Roman"/>
                <w:color w:val="auto"/>
                <w:sz w:val="21"/>
                <w:szCs w:val="21"/>
              </w:rPr>
              <w:t>财产损失/万元</w:t>
            </w:r>
          </w:p>
        </w:tc>
        <w:tc>
          <w:tcPr>
            <w:tcW w:w="1743"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3D11942A">
            <w:pPr>
              <w:spacing w:line="300" w:lineRule="exact"/>
              <w:ind w:firstLine="0" w:firstLineChars="0"/>
              <w:jc w:val="center"/>
              <w:rPr>
                <w:rFonts w:ascii="Times New Roman" w:hAnsi="宋体" w:eastAsia="宋体" w:cs="Times New Roman"/>
                <w:color w:val="auto"/>
                <w:sz w:val="21"/>
                <w:szCs w:val="21"/>
              </w:rPr>
            </w:pPr>
            <w:r>
              <w:rPr>
                <w:rFonts w:ascii="Times New Roman" w:hAnsi="宋体" w:eastAsia="宋体" w:cs="Times New Roman"/>
                <w:color w:val="auto"/>
                <w:sz w:val="21"/>
                <w:szCs w:val="21"/>
              </w:rPr>
              <w:t>停工</w:t>
            </w:r>
          </w:p>
        </w:tc>
        <w:tc>
          <w:tcPr>
            <w:tcW w:w="1677"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36558A58">
            <w:pPr>
              <w:spacing w:line="300" w:lineRule="exact"/>
              <w:ind w:firstLine="0" w:firstLineChars="0"/>
              <w:jc w:val="center"/>
              <w:rPr>
                <w:rFonts w:ascii="Times New Roman" w:hAnsi="宋体" w:eastAsia="宋体" w:cs="Times New Roman"/>
                <w:color w:val="auto"/>
                <w:sz w:val="21"/>
                <w:szCs w:val="21"/>
              </w:rPr>
            </w:pPr>
            <w:r>
              <w:rPr>
                <w:rFonts w:ascii="Times New Roman" w:hAnsi="宋体" w:eastAsia="宋体" w:cs="Times New Roman"/>
                <w:color w:val="auto"/>
                <w:sz w:val="21"/>
                <w:szCs w:val="21"/>
              </w:rPr>
              <w:t>企业形象</w:t>
            </w:r>
          </w:p>
        </w:tc>
      </w:tr>
      <w:tr w14:paraId="7FC1C9E1">
        <w:tblPrEx>
          <w:tblCellMar>
            <w:top w:w="0" w:type="dxa"/>
            <w:left w:w="10" w:type="dxa"/>
            <w:bottom w:w="0" w:type="dxa"/>
            <w:right w:w="10" w:type="dxa"/>
          </w:tblCellMar>
        </w:tblPrEx>
        <w:trPr>
          <w:trHeight w:val="486"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79BBF386">
            <w:pPr>
              <w:spacing w:line="300" w:lineRule="exact"/>
              <w:ind w:firstLine="0" w:firstLineChars="0"/>
              <w:jc w:val="center"/>
              <w:rPr>
                <w:rFonts w:ascii="Times New Roman" w:hAnsi="宋体" w:eastAsia="宋体" w:cs="Times New Roman"/>
                <w:color w:val="auto"/>
                <w:sz w:val="21"/>
                <w:szCs w:val="21"/>
              </w:rPr>
            </w:pPr>
            <w:r>
              <w:rPr>
                <w:rFonts w:ascii="Times New Roman" w:hAnsi="宋体" w:eastAsia="宋体" w:cs="Times New Roman"/>
                <w:color w:val="auto"/>
                <w:sz w:val="21"/>
                <w:szCs w:val="21"/>
              </w:rPr>
              <w:t>5</w:t>
            </w:r>
          </w:p>
        </w:tc>
        <w:tc>
          <w:tcPr>
            <w:tcW w:w="2362"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64202B36">
            <w:pPr>
              <w:spacing w:line="300" w:lineRule="exact"/>
              <w:ind w:firstLine="0" w:firstLineChars="0"/>
              <w:jc w:val="center"/>
              <w:rPr>
                <w:rFonts w:ascii="Times New Roman" w:hAnsi="宋体" w:eastAsia="宋体" w:cs="Times New Roman"/>
                <w:color w:val="auto"/>
                <w:sz w:val="21"/>
                <w:szCs w:val="21"/>
              </w:rPr>
            </w:pPr>
            <w:r>
              <w:rPr>
                <w:rFonts w:ascii="Times New Roman" w:hAnsi="宋体" w:eastAsia="宋体" w:cs="Times New Roman"/>
                <w:color w:val="auto"/>
                <w:sz w:val="21"/>
                <w:szCs w:val="21"/>
              </w:rPr>
              <w:t>违反法律、法规和标准</w:t>
            </w:r>
          </w:p>
        </w:tc>
        <w:tc>
          <w:tcPr>
            <w:tcW w:w="1418"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24C7ECBA">
            <w:pPr>
              <w:spacing w:line="300" w:lineRule="exact"/>
              <w:ind w:firstLine="0" w:firstLineChars="0"/>
              <w:jc w:val="center"/>
              <w:rPr>
                <w:rFonts w:ascii="Times New Roman" w:hAnsi="宋体" w:eastAsia="宋体" w:cs="Times New Roman"/>
                <w:color w:val="auto"/>
                <w:sz w:val="21"/>
                <w:szCs w:val="21"/>
              </w:rPr>
            </w:pPr>
            <w:r>
              <w:rPr>
                <w:rFonts w:ascii="Times New Roman" w:hAnsi="宋体" w:eastAsia="宋体" w:cs="Times New Roman"/>
                <w:color w:val="auto"/>
                <w:sz w:val="21"/>
                <w:szCs w:val="21"/>
              </w:rPr>
              <w:t>死亡</w:t>
            </w:r>
          </w:p>
        </w:tc>
        <w:tc>
          <w:tcPr>
            <w:tcW w:w="108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15727A1C">
            <w:pPr>
              <w:spacing w:line="300" w:lineRule="exact"/>
              <w:ind w:firstLine="0" w:firstLineChars="0"/>
              <w:jc w:val="center"/>
              <w:rPr>
                <w:rFonts w:ascii="Times New Roman" w:hAnsi="宋体" w:eastAsia="宋体" w:cs="Times New Roman"/>
                <w:color w:val="auto"/>
                <w:sz w:val="21"/>
                <w:szCs w:val="21"/>
              </w:rPr>
            </w:pPr>
            <w:r>
              <w:rPr>
                <w:rFonts w:hint="eastAsia" w:ascii="Times New Roman" w:hAnsi="宋体" w:eastAsia="宋体" w:cs="Times New Roman"/>
                <w:color w:val="auto"/>
                <w:sz w:val="21"/>
                <w:szCs w:val="21"/>
              </w:rPr>
              <w:t>＞</w:t>
            </w:r>
            <w:r>
              <w:rPr>
                <w:rFonts w:ascii="Times New Roman" w:hAnsi="宋体" w:eastAsia="宋体" w:cs="Times New Roman"/>
                <w:color w:val="auto"/>
                <w:sz w:val="21"/>
                <w:szCs w:val="21"/>
              </w:rPr>
              <w:t>50</w:t>
            </w:r>
          </w:p>
        </w:tc>
        <w:tc>
          <w:tcPr>
            <w:tcW w:w="1743"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3E8B4A96">
            <w:pPr>
              <w:spacing w:line="300" w:lineRule="exact"/>
              <w:ind w:firstLine="0" w:firstLineChars="0"/>
              <w:jc w:val="center"/>
              <w:rPr>
                <w:rFonts w:ascii="Times New Roman" w:hAnsi="宋体" w:eastAsia="宋体" w:cs="Times New Roman"/>
                <w:color w:val="auto"/>
                <w:sz w:val="21"/>
                <w:szCs w:val="21"/>
              </w:rPr>
            </w:pPr>
            <w:r>
              <w:rPr>
                <w:rFonts w:ascii="Times New Roman" w:hAnsi="宋体" w:eastAsia="宋体" w:cs="Times New Roman"/>
                <w:color w:val="auto"/>
                <w:sz w:val="21"/>
                <w:szCs w:val="21"/>
              </w:rPr>
              <w:t>部分装置（</w:t>
            </w:r>
            <w:r>
              <w:rPr>
                <w:rFonts w:hint="eastAsia" w:ascii="Times New Roman" w:hAnsi="宋体" w:eastAsia="宋体" w:cs="Times New Roman"/>
                <w:color w:val="auto"/>
                <w:sz w:val="21"/>
                <w:szCs w:val="21"/>
              </w:rPr>
              <w:t>＞</w:t>
            </w:r>
            <w:r>
              <w:rPr>
                <w:rFonts w:ascii="Times New Roman" w:hAnsi="宋体" w:eastAsia="宋体" w:cs="Times New Roman"/>
                <w:color w:val="auto"/>
                <w:sz w:val="21"/>
                <w:szCs w:val="21"/>
              </w:rPr>
              <w:t>2套）或设备</w:t>
            </w:r>
          </w:p>
        </w:tc>
        <w:tc>
          <w:tcPr>
            <w:tcW w:w="1677"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5FAA48B3">
            <w:pPr>
              <w:spacing w:line="300" w:lineRule="exact"/>
              <w:ind w:firstLine="0" w:firstLineChars="0"/>
              <w:jc w:val="center"/>
              <w:rPr>
                <w:rFonts w:ascii="Times New Roman" w:hAnsi="宋体" w:eastAsia="宋体" w:cs="Times New Roman"/>
                <w:color w:val="auto"/>
                <w:sz w:val="21"/>
                <w:szCs w:val="21"/>
              </w:rPr>
            </w:pPr>
            <w:r>
              <w:rPr>
                <w:rFonts w:ascii="Times New Roman" w:hAnsi="宋体" w:eastAsia="宋体" w:cs="Times New Roman"/>
                <w:color w:val="auto"/>
                <w:sz w:val="21"/>
                <w:szCs w:val="21"/>
              </w:rPr>
              <w:t>重大国际影响</w:t>
            </w:r>
          </w:p>
        </w:tc>
      </w:tr>
      <w:tr w14:paraId="5FF23BA9">
        <w:tblPrEx>
          <w:tblCellMar>
            <w:top w:w="0" w:type="dxa"/>
            <w:left w:w="10" w:type="dxa"/>
            <w:bottom w:w="0" w:type="dxa"/>
            <w:right w:w="10" w:type="dxa"/>
          </w:tblCellMar>
        </w:tblPrEx>
        <w:trPr>
          <w:trHeight w:val="551"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2FFCC983">
            <w:pPr>
              <w:spacing w:line="300" w:lineRule="exact"/>
              <w:ind w:firstLine="0" w:firstLineChars="0"/>
              <w:jc w:val="center"/>
              <w:rPr>
                <w:rFonts w:ascii="Times New Roman" w:hAnsi="宋体" w:eastAsia="宋体" w:cs="Times New Roman"/>
                <w:color w:val="auto"/>
                <w:sz w:val="21"/>
                <w:szCs w:val="21"/>
              </w:rPr>
            </w:pPr>
            <w:r>
              <w:rPr>
                <w:rFonts w:ascii="Times New Roman" w:hAnsi="宋体" w:eastAsia="宋体" w:cs="Times New Roman"/>
                <w:color w:val="auto"/>
                <w:sz w:val="21"/>
                <w:szCs w:val="21"/>
              </w:rPr>
              <w:t>4</w:t>
            </w:r>
          </w:p>
        </w:tc>
        <w:tc>
          <w:tcPr>
            <w:tcW w:w="2362"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5D150D13">
            <w:pPr>
              <w:spacing w:line="300" w:lineRule="exact"/>
              <w:ind w:firstLine="0" w:firstLineChars="0"/>
              <w:jc w:val="center"/>
              <w:rPr>
                <w:rFonts w:ascii="Times New Roman" w:hAnsi="宋体" w:eastAsia="宋体" w:cs="Times New Roman"/>
                <w:color w:val="auto"/>
                <w:sz w:val="21"/>
                <w:szCs w:val="21"/>
              </w:rPr>
            </w:pPr>
            <w:r>
              <w:rPr>
                <w:rFonts w:ascii="Times New Roman" w:hAnsi="宋体" w:eastAsia="宋体" w:cs="Times New Roman"/>
                <w:color w:val="auto"/>
                <w:sz w:val="21"/>
                <w:szCs w:val="21"/>
              </w:rPr>
              <w:t>潜在违反法规和标准</w:t>
            </w:r>
          </w:p>
        </w:tc>
        <w:tc>
          <w:tcPr>
            <w:tcW w:w="1418"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1C982B35">
            <w:pPr>
              <w:spacing w:line="300" w:lineRule="exact"/>
              <w:ind w:firstLine="0" w:firstLineChars="0"/>
              <w:jc w:val="center"/>
              <w:rPr>
                <w:rFonts w:ascii="Times New Roman" w:hAnsi="宋体" w:eastAsia="宋体" w:cs="Times New Roman"/>
                <w:color w:val="auto"/>
                <w:sz w:val="21"/>
                <w:szCs w:val="21"/>
              </w:rPr>
            </w:pPr>
            <w:r>
              <w:rPr>
                <w:rFonts w:ascii="Times New Roman" w:hAnsi="宋体" w:eastAsia="宋体" w:cs="Times New Roman"/>
                <w:color w:val="auto"/>
                <w:sz w:val="21"/>
                <w:szCs w:val="21"/>
              </w:rPr>
              <w:t>丧失劳动能力</w:t>
            </w:r>
          </w:p>
        </w:tc>
        <w:tc>
          <w:tcPr>
            <w:tcW w:w="108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76179C9B">
            <w:pPr>
              <w:spacing w:line="300" w:lineRule="exact"/>
              <w:ind w:firstLine="0" w:firstLineChars="0"/>
              <w:jc w:val="center"/>
              <w:rPr>
                <w:rFonts w:ascii="Times New Roman" w:hAnsi="宋体" w:eastAsia="宋体" w:cs="Times New Roman"/>
                <w:color w:val="auto"/>
                <w:sz w:val="21"/>
                <w:szCs w:val="21"/>
              </w:rPr>
            </w:pPr>
            <w:r>
              <w:rPr>
                <w:rFonts w:hint="eastAsia" w:ascii="Times New Roman" w:hAnsi="宋体" w:eastAsia="宋体" w:cs="Times New Roman"/>
                <w:color w:val="auto"/>
                <w:sz w:val="21"/>
                <w:szCs w:val="21"/>
              </w:rPr>
              <w:t>＞</w:t>
            </w:r>
            <w:r>
              <w:rPr>
                <w:rFonts w:ascii="Times New Roman" w:hAnsi="宋体" w:eastAsia="宋体" w:cs="Times New Roman"/>
                <w:color w:val="auto"/>
                <w:sz w:val="21"/>
                <w:szCs w:val="21"/>
              </w:rPr>
              <w:t>25</w:t>
            </w:r>
          </w:p>
        </w:tc>
        <w:tc>
          <w:tcPr>
            <w:tcW w:w="1743"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6BAF3281">
            <w:pPr>
              <w:spacing w:line="300" w:lineRule="exact"/>
              <w:ind w:firstLine="0" w:firstLineChars="0"/>
              <w:jc w:val="center"/>
              <w:rPr>
                <w:rFonts w:ascii="Times New Roman" w:hAnsi="宋体" w:eastAsia="宋体" w:cs="Times New Roman"/>
                <w:color w:val="auto"/>
                <w:sz w:val="21"/>
                <w:szCs w:val="21"/>
              </w:rPr>
            </w:pPr>
            <w:r>
              <w:rPr>
                <w:rFonts w:ascii="Times New Roman" w:hAnsi="宋体" w:eastAsia="宋体" w:cs="Times New Roman"/>
                <w:color w:val="auto"/>
                <w:sz w:val="21"/>
                <w:szCs w:val="21"/>
              </w:rPr>
              <w:t>2套装置停工、或设备停工</w:t>
            </w:r>
          </w:p>
        </w:tc>
        <w:tc>
          <w:tcPr>
            <w:tcW w:w="1677"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6FA3616D">
            <w:pPr>
              <w:spacing w:line="300" w:lineRule="exact"/>
              <w:ind w:firstLine="0" w:firstLineChars="0"/>
              <w:jc w:val="center"/>
              <w:rPr>
                <w:rFonts w:ascii="Times New Roman" w:hAnsi="宋体" w:eastAsia="宋体" w:cs="Times New Roman"/>
                <w:color w:val="auto"/>
                <w:sz w:val="21"/>
                <w:szCs w:val="21"/>
              </w:rPr>
            </w:pPr>
            <w:r>
              <w:rPr>
                <w:rFonts w:ascii="Times New Roman" w:hAnsi="宋体" w:eastAsia="宋体" w:cs="Times New Roman"/>
                <w:color w:val="auto"/>
                <w:sz w:val="21"/>
                <w:szCs w:val="21"/>
              </w:rPr>
              <w:t>行业内、省内影响</w:t>
            </w:r>
          </w:p>
        </w:tc>
      </w:tr>
      <w:tr w14:paraId="0D372552">
        <w:tblPrEx>
          <w:tblCellMar>
            <w:top w:w="0" w:type="dxa"/>
            <w:left w:w="10" w:type="dxa"/>
            <w:bottom w:w="0" w:type="dxa"/>
            <w:right w:w="10" w:type="dxa"/>
          </w:tblCellMar>
        </w:tblPrEx>
        <w:trPr>
          <w:trHeight w:val="406"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39033EC7">
            <w:pPr>
              <w:spacing w:line="300" w:lineRule="exact"/>
              <w:ind w:firstLine="0" w:firstLineChars="0"/>
              <w:jc w:val="center"/>
              <w:rPr>
                <w:rFonts w:ascii="Times New Roman" w:hAnsi="宋体" w:eastAsia="宋体" w:cs="Times New Roman"/>
                <w:color w:val="auto"/>
                <w:sz w:val="21"/>
                <w:szCs w:val="21"/>
              </w:rPr>
            </w:pPr>
            <w:r>
              <w:rPr>
                <w:rFonts w:ascii="Times New Roman" w:hAnsi="宋体" w:eastAsia="宋体" w:cs="Times New Roman"/>
                <w:color w:val="auto"/>
                <w:sz w:val="21"/>
                <w:szCs w:val="21"/>
              </w:rPr>
              <w:t>3</w:t>
            </w:r>
          </w:p>
        </w:tc>
        <w:tc>
          <w:tcPr>
            <w:tcW w:w="2362"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69FAEB72">
            <w:pPr>
              <w:spacing w:line="300" w:lineRule="exact"/>
              <w:ind w:firstLine="0" w:firstLineChars="0"/>
              <w:jc w:val="center"/>
              <w:rPr>
                <w:rFonts w:ascii="Times New Roman" w:hAnsi="宋体" w:eastAsia="宋体" w:cs="Times New Roman"/>
                <w:color w:val="auto"/>
                <w:sz w:val="21"/>
                <w:szCs w:val="21"/>
              </w:rPr>
            </w:pPr>
            <w:r>
              <w:rPr>
                <w:rFonts w:ascii="Times New Roman" w:hAnsi="宋体" w:eastAsia="宋体" w:cs="Times New Roman"/>
                <w:color w:val="auto"/>
                <w:sz w:val="21"/>
                <w:szCs w:val="21"/>
              </w:rPr>
              <w:t>不符合上级企业或行业的安全方针、制度、规定等</w:t>
            </w:r>
          </w:p>
        </w:tc>
        <w:tc>
          <w:tcPr>
            <w:tcW w:w="1418"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64EAA121">
            <w:pPr>
              <w:spacing w:line="300" w:lineRule="exact"/>
              <w:ind w:firstLine="0" w:firstLineChars="0"/>
              <w:jc w:val="center"/>
              <w:rPr>
                <w:rFonts w:ascii="Times New Roman" w:hAnsi="宋体" w:eastAsia="宋体" w:cs="Times New Roman"/>
                <w:color w:val="auto"/>
                <w:sz w:val="21"/>
                <w:szCs w:val="21"/>
              </w:rPr>
            </w:pPr>
            <w:r>
              <w:rPr>
                <w:rFonts w:ascii="Times New Roman" w:hAnsi="宋体" w:eastAsia="宋体" w:cs="Times New Roman"/>
                <w:color w:val="auto"/>
                <w:sz w:val="21"/>
                <w:szCs w:val="21"/>
              </w:rPr>
              <w:t>截肢、骨折、听力丧失、慢性病</w:t>
            </w:r>
          </w:p>
        </w:tc>
        <w:tc>
          <w:tcPr>
            <w:tcW w:w="108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02EFD7FF">
            <w:pPr>
              <w:spacing w:line="300" w:lineRule="exact"/>
              <w:ind w:firstLine="0" w:firstLineChars="0"/>
              <w:jc w:val="center"/>
              <w:rPr>
                <w:rFonts w:ascii="Times New Roman" w:hAnsi="宋体" w:eastAsia="宋体" w:cs="Times New Roman"/>
                <w:color w:val="auto"/>
                <w:sz w:val="21"/>
                <w:szCs w:val="21"/>
              </w:rPr>
            </w:pPr>
            <w:r>
              <w:rPr>
                <w:rFonts w:hint="eastAsia" w:ascii="Times New Roman" w:hAnsi="宋体" w:eastAsia="宋体" w:cs="Times New Roman"/>
                <w:color w:val="auto"/>
                <w:sz w:val="21"/>
                <w:szCs w:val="21"/>
              </w:rPr>
              <w:t>＞</w:t>
            </w:r>
            <w:r>
              <w:rPr>
                <w:rFonts w:ascii="Times New Roman" w:hAnsi="宋体" w:eastAsia="宋体" w:cs="Times New Roman"/>
                <w:color w:val="auto"/>
                <w:sz w:val="21"/>
                <w:szCs w:val="21"/>
              </w:rPr>
              <w:t>10</w:t>
            </w:r>
          </w:p>
        </w:tc>
        <w:tc>
          <w:tcPr>
            <w:tcW w:w="1743"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061B651F">
            <w:pPr>
              <w:spacing w:line="300" w:lineRule="exact"/>
              <w:ind w:firstLine="0" w:firstLineChars="0"/>
              <w:jc w:val="center"/>
              <w:rPr>
                <w:rFonts w:ascii="Times New Roman" w:hAnsi="宋体" w:eastAsia="宋体" w:cs="Times New Roman"/>
                <w:color w:val="auto"/>
                <w:sz w:val="21"/>
                <w:szCs w:val="21"/>
              </w:rPr>
            </w:pPr>
            <w:r>
              <w:rPr>
                <w:rFonts w:ascii="Times New Roman" w:hAnsi="宋体" w:eastAsia="宋体" w:cs="Times New Roman"/>
                <w:color w:val="auto"/>
                <w:sz w:val="21"/>
                <w:szCs w:val="21"/>
              </w:rPr>
              <w:t>1套装置停工或设备</w:t>
            </w:r>
          </w:p>
        </w:tc>
        <w:tc>
          <w:tcPr>
            <w:tcW w:w="1677"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1DB11FEF">
            <w:pPr>
              <w:spacing w:line="300" w:lineRule="exact"/>
              <w:ind w:firstLine="0" w:firstLineChars="0"/>
              <w:jc w:val="center"/>
              <w:rPr>
                <w:rFonts w:ascii="Times New Roman" w:hAnsi="宋体" w:eastAsia="宋体" w:cs="Times New Roman"/>
                <w:color w:val="auto"/>
                <w:sz w:val="21"/>
                <w:szCs w:val="21"/>
              </w:rPr>
            </w:pPr>
            <w:r>
              <w:rPr>
                <w:rFonts w:ascii="Times New Roman" w:hAnsi="宋体" w:eastAsia="宋体" w:cs="Times New Roman"/>
                <w:color w:val="auto"/>
                <w:sz w:val="21"/>
                <w:szCs w:val="21"/>
              </w:rPr>
              <w:t>地区影响</w:t>
            </w:r>
          </w:p>
        </w:tc>
      </w:tr>
      <w:tr w14:paraId="520E7359">
        <w:tblPrEx>
          <w:tblCellMar>
            <w:top w:w="0" w:type="dxa"/>
            <w:left w:w="10" w:type="dxa"/>
            <w:bottom w:w="0" w:type="dxa"/>
            <w:right w:w="10" w:type="dxa"/>
          </w:tblCellMar>
        </w:tblPrEx>
        <w:trPr>
          <w:trHeight w:val="551"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7650557A">
            <w:pPr>
              <w:spacing w:line="300" w:lineRule="exact"/>
              <w:ind w:firstLine="0" w:firstLineChars="0"/>
              <w:jc w:val="center"/>
              <w:rPr>
                <w:rFonts w:ascii="Times New Roman" w:hAnsi="宋体" w:eastAsia="宋体" w:cs="Times New Roman"/>
                <w:color w:val="auto"/>
                <w:sz w:val="21"/>
                <w:szCs w:val="21"/>
              </w:rPr>
            </w:pPr>
            <w:r>
              <w:rPr>
                <w:rFonts w:ascii="Times New Roman" w:hAnsi="宋体" w:eastAsia="宋体" w:cs="Times New Roman"/>
                <w:color w:val="auto"/>
                <w:sz w:val="21"/>
                <w:szCs w:val="21"/>
              </w:rPr>
              <w:t>2</w:t>
            </w:r>
          </w:p>
        </w:tc>
        <w:tc>
          <w:tcPr>
            <w:tcW w:w="2362"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5FF38CA5">
            <w:pPr>
              <w:spacing w:line="300" w:lineRule="exact"/>
              <w:ind w:firstLine="0" w:firstLineChars="0"/>
              <w:jc w:val="center"/>
              <w:rPr>
                <w:rFonts w:ascii="Times New Roman" w:hAnsi="宋体" w:eastAsia="宋体" w:cs="Times New Roman"/>
                <w:color w:val="auto"/>
                <w:sz w:val="21"/>
                <w:szCs w:val="21"/>
              </w:rPr>
            </w:pPr>
            <w:r>
              <w:rPr>
                <w:rFonts w:ascii="Times New Roman" w:hAnsi="宋体" w:eastAsia="宋体" w:cs="Times New Roman"/>
                <w:color w:val="auto"/>
                <w:sz w:val="21"/>
                <w:szCs w:val="21"/>
              </w:rPr>
              <w:t>不符合企业的安全操作程序、规定</w:t>
            </w:r>
          </w:p>
        </w:tc>
        <w:tc>
          <w:tcPr>
            <w:tcW w:w="1418"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020E044A">
            <w:pPr>
              <w:spacing w:line="300" w:lineRule="exact"/>
              <w:ind w:firstLine="0" w:firstLineChars="0"/>
              <w:jc w:val="center"/>
              <w:rPr>
                <w:rFonts w:ascii="Times New Roman" w:hAnsi="宋体" w:eastAsia="宋体" w:cs="Times New Roman"/>
                <w:color w:val="auto"/>
                <w:sz w:val="21"/>
                <w:szCs w:val="21"/>
              </w:rPr>
            </w:pPr>
            <w:r>
              <w:rPr>
                <w:rFonts w:ascii="Times New Roman" w:hAnsi="宋体" w:eastAsia="宋体" w:cs="Times New Roman"/>
                <w:color w:val="auto"/>
                <w:sz w:val="21"/>
                <w:szCs w:val="21"/>
              </w:rPr>
              <w:t>轻微受伤、间歇不舒服</w:t>
            </w:r>
          </w:p>
        </w:tc>
        <w:tc>
          <w:tcPr>
            <w:tcW w:w="108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238473D0">
            <w:pPr>
              <w:spacing w:line="300" w:lineRule="exact"/>
              <w:ind w:firstLine="0" w:firstLineChars="0"/>
              <w:jc w:val="center"/>
              <w:rPr>
                <w:rFonts w:ascii="Times New Roman" w:hAnsi="宋体" w:eastAsia="宋体" w:cs="Times New Roman"/>
                <w:color w:val="auto"/>
                <w:sz w:val="21"/>
                <w:szCs w:val="21"/>
              </w:rPr>
            </w:pPr>
            <w:r>
              <w:rPr>
                <w:rFonts w:hint="eastAsia" w:ascii="Times New Roman" w:hAnsi="宋体" w:eastAsia="宋体" w:cs="Times New Roman"/>
                <w:color w:val="auto"/>
                <w:sz w:val="21"/>
                <w:szCs w:val="21"/>
              </w:rPr>
              <w:t>＜</w:t>
            </w:r>
            <w:r>
              <w:rPr>
                <w:rFonts w:ascii="Times New Roman" w:hAnsi="宋体" w:eastAsia="宋体" w:cs="Times New Roman"/>
                <w:color w:val="auto"/>
                <w:sz w:val="21"/>
                <w:szCs w:val="21"/>
              </w:rPr>
              <w:t>10</w:t>
            </w:r>
          </w:p>
        </w:tc>
        <w:tc>
          <w:tcPr>
            <w:tcW w:w="1743"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77782976">
            <w:pPr>
              <w:spacing w:line="300" w:lineRule="exact"/>
              <w:ind w:firstLine="0" w:firstLineChars="0"/>
              <w:jc w:val="center"/>
              <w:rPr>
                <w:rFonts w:ascii="Times New Roman" w:hAnsi="宋体" w:eastAsia="宋体" w:cs="Times New Roman"/>
                <w:color w:val="auto"/>
                <w:sz w:val="21"/>
                <w:szCs w:val="21"/>
              </w:rPr>
            </w:pPr>
            <w:r>
              <w:rPr>
                <w:rFonts w:ascii="Times New Roman" w:hAnsi="宋体" w:eastAsia="宋体" w:cs="Times New Roman"/>
                <w:color w:val="auto"/>
                <w:sz w:val="21"/>
                <w:szCs w:val="21"/>
              </w:rPr>
              <w:t>受影响不大，几乎不停工</w:t>
            </w:r>
          </w:p>
        </w:tc>
        <w:tc>
          <w:tcPr>
            <w:tcW w:w="1677"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46FF9AE7">
            <w:pPr>
              <w:spacing w:line="300" w:lineRule="exact"/>
              <w:ind w:firstLine="0" w:firstLineChars="0"/>
              <w:jc w:val="center"/>
              <w:rPr>
                <w:rFonts w:ascii="Times New Roman" w:hAnsi="宋体" w:eastAsia="宋体" w:cs="Times New Roman"/>
                <w:color w:val="auto"/>
                <w:sz w:val="21"/>
                <w:szCs w:val="21"/>
              </w:rPr>
            </w:pPr>
            <w:r>
              <w:rPr>
                <w:rFonts w:ascii="Times New Roman" w:hAnsi="宋体" w:eastAsia="宋体" w:cs="Times New Roman"/>
                <w:color w:val="auto"/>
                <w:sz w:val="21"/>
                <w:szCs w:val="21"/>
              </w:rPr>
              <w:t>企业及周边范围</w:t>
            </w:r>
          </w:p>
        </w:tc>
      </w:tr>
      <w:tr w14:paraId="6BD9248F">
        <w:tblPrEx>
          <w:tblCellMar>
            <w:top w:w="0" w:type="dxa"/>
            <w:left w:w="10" w:type="dxa"/>
            <w:bottom w:w="0" w:type="dxa"/>
            <w:right w:w="10" w:type="dxa"/>
          </w:tblCellMar>
        </w:tblPrEx>
        <w:trPr>
          <w:trHeight w:val="45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4EA697CE">
            <w:pPr>
              <w:spacing w:line="300" w:lineRule="exact"/>
              <w:ind w:firstLine="0" w:firstLineChars="0"/>
              <w:jc w:val="center"/>
              <w:rPr>
                <w:rFonts w:ascii="Times New Roman" w:hAnsi="宋体" w:eastAsia="宋体" w:cs="Times New Roman"/>
                <w:color w:val="auto"/>
                <w:sz w:val="21"/>
                <w:szCs w:val="21"/>
              </w:rPr>
            </w:pPr>
            <w:r>
              <w:rPr>
                <w:rFonts w:ascii="Times New Roman" w:hAnsi="宋体" w:eastAsia="宋体" w:cs="Times New Roman"/>
                <w:color w:val="auto"/>
                <w:sz w:val="21"/>
                <w:szCs w:val="21"/>
              </w:rPr>
              <w:t>1</w:t>
            </w:r>
          </w:p>
        </w:tc>
        <w:tc>
          <w:tcPr>
            <w:tcW w:w="2362"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60305FC3">
            <w:pPr>
              <w:spacing w:line="300" w:lineRule="exact"/>
              <w:ind w:firstLine="0" w:firstLineChars="0"/>
              <w:jc w:val="center"/>
              <w:rPr>
                <w:rFonts w:ascii="Times New Roman" w:hAnsi="宋体" w:eastAsia="宋体" w:cs="Times New Roman"/>
                <w:color w:val="auto"/>
                <w:sz w:val="21"/>
                <w:szCs w:val="21"/>
              </w:rPr>
            </w:pPr>
            <w:r>
              <w:rPr>
                <w:rFonts w:ascii="Times New Roman" w:hAnsi="宋体" w:eastAsia="宋体" w:cs="Times New Roman"/>
                <w:color w:val="auto"/>
                <w:sz w:val="21"/>
                <w:szCs w:val="21"/>
              </w:rPr>
              <w:t>完全符合</w:t>
            </w:r>
          </w:p>
        </w:tc>
        <w:tc>
          <w:tcPr>
            <w:tcW w:w="1418"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7BFF3804">
            <w:pPr>
              <w:spacing w:line="300" w:lineRule="exact"/>
              <w:ind w:firstLine="0" w:firstLineChars="0"/>
              <w:jc w:val="center"/>
              <w:rPr>
                <w:rFonts w:ascii="Times New Roman" w:hAnsi="宋体" w:eastAsia="宋体" w:cs="Times New Roman"/>
                <w:color w:val="auto"/>
                <w:sz w:val="21"/>
                <w:szCs w:val="21"/>
              </w:rPr>
            </w:pPr>
            <w:r>
              <w:rPr>
                <w:rFonts w:ascii="Times New Roman" w:hAnsi="宋体" w:eastAsia="宋体" w:cs="Times New Roman"/>
                <w:color w:val="auto"/>
                <w:sz w:val="21"/>
                <w:szCs w:val="21"/>
              </w:rPr>
              <w:t>无伤亡</w:t>
            </w:r>
          </w:p>
        </w:tc>
        <w:tc>
          <w:tcPr>
            <w:tcW w:w="108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3BE35275">
            <w:pPr>
              <w:spacing w:line="300" w:lineRule="exact"/>
              <w:ind w:firstLine="0" w:firstLineChars="0"/>
              <w:jc w:val="center"/>
              <w:rPr>
                <w:rFonts w:ascii="Times New Roman" w:hAnsi="宋体" w:eastAsia="宋体" w:cs="Times New Roman"/>
                <w:color w:val="auto"/>
                <w:sz w:val="21"/>
                <w:szCs w:val="21"/>
              </w:rPr>
            </w:pPr>
            <w:r>
              <w:rPr>
                <w:rFonts w:ascii="Times New Roman" w:hAnsi="宋体" w:eastAsia="宋体" w:cs="Times New Roman"/>
                <w:color w:val="auto"/>
                <w:sz w:val="21"/>
                <w:szCs w:val="21"/>
              </w:rPr>
              <w:t>无损失</w:t>
            </w:r>
          </w:p>
        </w:tc>
        <w:tc>
          <w:tcPr>
            <w:tcW w:w="1743"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1E2C59BD">
            <w:pPr>
              <w:spacing w:line="300" w:lineRule="exact"/>
              <w:ind w:firstLine="0" w:firstLineChars="0"/>
              <w:jc w:val="center"/>
              <w:rPr>
                <w:rFonts w:ascii="Times New Roman" w:hAnsi="宋体" w:eastAsia="宋体" w:cs="Times New Roman"/>
                <w:color w:val="auto"/>
                <w:sz w:val="21"/>
                <w:szCs w:val="21"/>
              </w:rPr>
            </w:pPr>
            <w:r>
              <w:rPr>
                <w:rFonts w:ascii="Times New Roman" w:hAnsi="宋体" w:eastAsia="宋体" w:cs="Times New Roman"/>
                <w:color w:val="auto"/>
                <w:sz w:val="21"/>
                <w:szCs w:val="21"/>
              </w:rPr>
              <w:t>没有停工</w:t>
            </w:r>
          </w:p>
        </w:tc>
        <w:tc>
          <w:tcPr>
            <w:tcW w:w="1677"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20F181B9">
            <w:pPr>
              <w:spacing w:line="300" w:lineRule="exact"/>
              <w:ind w:firstLine="0" w:firstLineChars="0"/>
              <w:jc w:val="center"/>
              <w:rPr>
                <w:rFonts w:ascii="Times New Roman" w:hAnsi="宋体" w:eastAsia="宋体" w:cs="Times New Roman"/>
                <w:color w:val="auto"/>
                <w:sz w:val="21"/>
                <w:szCs w:val="21"/>
              </w:rPr>
            </w:pPr>
            <w:r>
              <w:rPr>
                <w:rFonts w:ascii="Times New Roman" w:hAnsi="宋体" w:eastAsia="宋体" w:cs="Times New Roman"/>
                <w:color w:val="auto"/>
                <w:sz w:val="21"/>
                <w:szCs w:val="21"/>
              </w:rPr>
              <w:t>形象没有受损</w:t>
            </w:r>
          </w:p>
        </w:tc>
      </w:tr>
    </w:tbl>
    <w:p w14:paraId="43477802">
      <w:pPr>
        <w:bidi w:val="0"/>
        <w:rPr>
          <w:rFonts w:hint="default"/>
          <w:color w:val="auto"/>
          <w:lang w:val="en-US" w:eastAsia="zh-CN"/>
        </w:rPr>
      </w:pPr>
      <w:r>
        <w:rPr>
          <w:rFonts w:hint="default"/>
          <w:color w:val="auto"/>
          <w:lang w:val="en-US" w:eastAsia="zh-CN"/>
        </w:rPr>
        <w:t>③风险矩阵</w:t>
      </w:r>
    </w:p>
    <w:p w14:paraId="5E0AB5D1">
      <w:pPr>
        <w:bidi w:val="0"/>
        <w:rPr>
          <w:rFonts w:hint="default"/>
          <w:color w:val="auto"/>
          <w:lang w:val="en-US" w:eastAsia="zh-CN"/>
        </w:rPr>
      </w:pPr>
      <w:r>
        <w:rPr>
          <w:rFonts w:hint="default"/>
          <w:color w:val="auto"/>
          <w:lang w:val="en-US" w:eastAsia="zh-CN"/>
        </w:rPr>
        <w:t>确定了S和L值后，根据R=L×S计算出风险度R的值，依据表</w:t>
      </w:r>
      <w:r>
        <w:rPr>
          <w:rFonts w:hint="eastAsia"/>
          <w:color w:val="auto"/>
          <w:lang w:val="en-US" w:eastAsia="zh-CN"/>
        </w:rPr>
        <w:t>5.3-3</w:t>
      </w:r>
      <w:r>
        <w:rPr>
          <w:rFonts w:hint="default"/>
          <w:color w:val="auto"/>
          <w:lang w:val="en-US" w:eastAsia="zh-CN"/>
        </w:rPr>
        <w:t>的风险矩阵进行风险评价分级（注：风险度R值的界限值，以及L和S定义不是一成不变的，可依据具体情况加以修订，至少不能低于国家或地方法规要求）。</w:t>
      </w:r>
    </w:p>
    <w:p w14:paraId="2C52BB00">
      <w:pPr>
        <w:bidi w:val="0"/>
        <w:rPr>
          <w:rFonts w:hint="default"/>
          <w:color w:val="auto"/>
          <w:lang w:val="en-US" w:eastAsia="zh-CN"/>
        </w:rPr>
      </w:pPr>
      <w:r>
        <w:rPr>
          <w:rFonts w:hint="default"/>
          <w:color w:val="auto"/>
          <w:lang w:val="en-US" w:eastAsia="zh-CN"/>
        </w:rPr>
        <w:t>根据R的值的大小将风险级别分为以下五级：</w:t>
      </w:r>
    </w:p>
    <w:p w14:paraId="20EB84CD">
      <w:pPr>
        <w:bidi w:val="0"/>
        <w:rPr>
          <w:rFonts w:hint="default"/>
          <w:color w:val="auto"/>
          <w:lang w:val="en-US" w:eastAsia="zh-CN"/>
        </w:rPr>
      </w:pPr>
      <w:r>
        <w:rPr>
          <w:rFonts w:hint="default"/>
          <w:color w:val="auto"/>
          <w:lang w:val="en-US" w:eastAsia="zh-CN"/>
        </w:rPr>
        <w:t>R=L×S=17～25：关键风险（</w:t>
      </w:r>
      <w:r>
        <w:rPr>
          <w:rFonts w:hint="eastAsia" w:ascii="宋体" w:hAnsi="宋体" w:eastAsia="宋体" w:cs="宋体"/>
          <w:color w:val="auto"/>
          <w:lang w:val="en-US" w:eastAsia="zh-CN"/>
        </w:rPr>
        <w:t>Ⅰ</w:t>
      </w:r>
      <w:r>
        <w:rPr>
          <w:rFonts w:hint="default"/>
          <w:color w:val="auto"/>
          <w:lang w:val="en-US" w:eastAsia="zh-CN"/>
        </w:rPr>
        <w:t>级），需要立即停止作业；</w:t>
      </w:r>
    </w:p>
    <w:p w14:paraId="54B71B0B">
      <w:pPr>
        <w:bidi w:val="0"/>
        <w:rPr>
          <w:rFonts w:hint="default"/>
          <w:color w:val="auto"/>
          <w:lang w:val="en-US" w:eastAsia="zh-CN"/>
        </w:rPr>
      </w:pPr>
      <w:r>
        <w:rPr>
          <w:rFonts w:hint="default"/>
          <w:color w:val="auto"/>
          <w:lang w:val="en-US" w:eastAsia="zh-CN"/>
        </w:rPr>
        <w:t>R=L×S=13～16：重要风险（</w:t>
      </w:r>
      <w:r>
        <w:rPr>
          <w:rFonts w:hint="eastAsia" w:ascii="宋体" w:hAnsi="宋体" w:eastAsia="宋体" w:cs="宋体"/>
          <w:color w:val="auto"/>
          <w:lang w:val="en-US" w:eastAsia="zh-CN"/>
        </w:rPr>
        <w:t>Ⅱ</w:t>
      </w:r>
      <w:r>
        <w:rPr>
          <w:rFonts w:hint="default"/>
          <w:color w:val="auto"/>
          <w:lang w:val="en-US" w:eastAsia="zh-CN"/>
        </w:rPr>
        <w:t>级），需要消减的风险；</w:t>
      </w:r>
    </w:p>
    <w:p w14:paraId="6786A40C">
      <w:pPr>
        <w:bidi w:val="0"/>
        <w:rPr>
          <w:rFonts w:hint="default"/>
          <w:color w:val="auto"/>
          <w:lang w:val="en-US" w:eastAsia="zh-CN"/>
        </w:rPr>
      </w:pPr>
      <w:r>
        <w:rPr>
          <w:rFonts w:hint="default"/>
          <w:color w:val="auto"/>
          <w:lang w:val="en-US" w:eastAsia="zh-CN"/>
        </w:rPr>
        <w:t>R=L×S=8～12：中度风险（</w:t>
      </w:r>
      <w:r>
        <w:rPr>
          <w:rFonts w:hint="eastAsia" w:ascii="宋体" w:hAnsi="宋体" w:eastAsia="宋体" w:cs="宋体"/>
          <w:color w:val="auto"/>
          <w:lang w:val="en-US" w:eastAsia="zh-CN"/>
        </w:rPr>
        <w:t>Ⅲ</w:t>
      </w:r>
      <w:r>
        <w:rPr>
          <w:rFonts w:hint="default"/>
          <w:color w:val="auto"/>
          <w:lang w:val="en-US" w:eastAsia="zh-CN"/>
        </w:rPr>
        <w:t>级），需要特别控制的风险；</w:t>
      </w:r>
    </w:p>
    <w:p w14:paraId="166615EC">
      <w:pPr>
        <w:bidi w:val="0"/>
        <w:rPr>
          <w:rFonts w:hint="default"/>
          <w:color w:val="auto"/>
          <w:lang w:val="en-US" w:eastAsia="zh-CN"/>
        </w:rPr>
      </w:pPr>
      <w:r>
        <w:rPr>
          <w:rFonts w:hint="default"/>
          <w:color w:val="auto"/>
          <w:lang w:val="en-US" w:eastAsia="zh-CN"/>
        </w:rPr>
        <w:t>R=L×S=4～7：低度风险（</w:t>
      </w:r>
      <w:r>
        <w:rPr>
          <w:rFonts w:hint="eastAsia" w:ascii="宋体" w:hAnsi="宋体" w:eastAsia="宋体" w:cs="宋体"/>
          <w:color w:val="auto"/>
          <w:lang w:val="en-US" w:eastAsia="zh-CN"/>
        </w:rPr>
        <w:t>Ⅳ</w:t>
      </w:r>
      <w:r>
        <w:rPr>
          <w:rFonts w:hint="default"/>
          <w:color w:val="auto"/>
          <w:lang w:val="en-US" w:eastAsia="zh-CN"/>
        </w:rPr>
        <w:t>级），需要关注的风险；</w:t>
      </w:r>
    </w:p>
    <w:p w14:paraId="6950A4F2">
      <w:pPr>
        <w:bidi w:val="0"/>
        <w:rPr>
          <w:rFonts w:hint="default"/>
          <w:color w:val="auto"/>
          <w:lang w:val="en-US" w:eastAsia="zh-CN"/>
        </w:rPr>
      </w:pPr>
      <w:r>
        <w:rPr>
          <w:rFonts w:hint="default"/>
          <w:color w:val="auto"/>
          <w:lang w:val="en-US" w:eastAsia="zh-CN"/>
        </w:rPr>
        <w:t>R=L×S=1～3：轻微风险（</w:t>
      </w:r>
      <w:r>
        <w:rPr>
          <w:rFonts w:hint="eastAsia" w:ascii="宋体" w:hAnsi="宋体" w:eastAsia="宋体" w:cs="宋体"/>
          <w:color w:val="auto"/>
          <w:lang w:val="en-US" w:eastAsia="zh-CN"/>
        </w:rPr>
        <w:t>Ⅴ</w:t>
      </w:r>
      <w:r>
        <w:rPr>
          <w:rFonts w:hint="default"/>
          <w:color w:val="auto"/>
          <w:lang w:val="en-US" w:eastAsia="zh-CN"/>
        </w:rPr>
        <w:t>级），可接受或可容许风险。</w:t>
      </w:r>
    </w:p>
    <w:p w14:paraId="59F49E40">
      <w:pPr>
        <w:bidi w:val="0"/>
        <w:ind w:left="0" w:leftChars="0" w:firstLine="0" w:firstLineChars="0"/>
        <w:jc w:val="center"/>
        <w:rPr>
          <w:rFonts w:hint="default"/>
          <w:color w:val="auto"/>
          <w:lang w:val="en-US" w:eastAsia="zh-CN"/>
        </w:rPr>
      </w:pPr>
      <w:r>
        <w:rPr>
          <w:rFonts w:hint="default"/>
          <w:color w:val="auto"/>
          <w:lang w:val="en-US" w:eastAsia="zh-CN"/>
        </w:rPr>
        <w:t>表5.3-3</w:t>
      </w:r>
      <w:r>
        <w:rPr>
          <w:rFonts w:hint="eastAsia"/>
          <w:color w:val="auto"/>
          <w:lang w:val="en-US" w:eastAsia="zh-CN"/>
        </w:rPr>
        <w:t xml:space="preserve"> </w:t>
      </w:r>
      <w:r>
        <w:rPr>
          <w:rFonts w:hint="default"/>
          <w:color w:val="auto"/>
          <w:lang w:val="en-US" w:eastAsia="zh-CN"/>
        </w:rPr>
        <w:t>风险矩阵（R）</w:t>
      </w:r>
    </w:p>
    <w:p w14:paraId="56DA64D1">
      <w:pPr>
        <w:bidi w:val="0"/>
        <w:ind w:left="0" w:leftChars="0" w:firstLine="0" w:firstLineChars="0"/>
        <w:jc w:val="center"/>
        <w:rPr>
          <w:rFonts w:hint="default"/>
          <w:color w:val="auto"/>
          <w:lang w:val="en-US" w:eastAsia="zh-CN"/>
        </w:rPr>
      </w:pPr>
      <w:r>
        <w:rPr>
          <w:rFonts w:hint="default"/>
          <w:color w:val="auto"/>
          <w:lang w:val="en-US" w:eastAsia="zh-CN"/>
        </w:rPr>
        <w:drawing>
          <wp:inline distT="0" distB="0" distL="114300" distR="114300">
            <wp:extent cx="5760720" cy="2124075"/>
            <wp:effectExtent l="0" t="0" r="11430" b="9525"/>
            <wp:docPr id="2" name="图片 2" descr="0f6eeb32691c09708378e1d7e995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0f6eeb32691c09708378e1d7e995509"/>
                    <pic:cNvPicPr>
                      <a:picLocks noChangeAspect="1"/>
                    </pic:cNvPicPr>
                  </pic:nvPicPr>
                  <pic:blipFill>
                    <a:blip r:embed="rId79"/>
                    <a:stretch>
                      <a:fillRect/>
                    </a:stretch>
                  </pic:blipFill>
                  <pic:spPr>
                    <a:xfrm>
                      <a:off x="0" y="0"/>
                      <a:ext cx="5760720" cy="2124075"/>
                    </a:xfrm>
                    <a:prstGeom prst="rect">
                      <a:avLst/>
                    </a:prstGeom>
                  </pic:spPr>
                </pic:pic>
              </a:graphicData>
            </a:graphic>
          </wp:inline>
        </w:drawing>
      </w:r>
    </w:p>
    <w:p w14:paraId="2FF547AA">
      <w:pPr>
        <w:bidi w:val="0"/>
        <w:rPr>
          <w:rFonts w:hint="default"/>
          <w:color w:val="auto"/>
          <w:lang w:val="en-US" w:eastAsia="zh-CN"/>
        </w:rPr>
      </w:pPr>
      <w:r>
        <w:rPr>
          <w:rFonts w:hint="default"/>
          <w:color w:val="auto"/>
          <w:lang w:val="en-US" w:eastAsia="zh-CN"/>
        </w:rPr>
        <w:t>④风险分级</w:t>
      </w:r>
    </w:p>
    <w:p w14:paraId="19F027E6">
      <w:pPr>
        <w:bidi w:val="0"/>
        <w:ind w:left="0" w:leftChars="0" w:firstLine="0" w:firstLineChars="0"/>
        <w:jc w:val="center"/>
        <w:rPr>
          <w:rFonts w:hint="default"/>
          <w:color w:val="auto"/>
          <w:lang w:val="en-US" w:eastAsia="zh-CN"/>
        </w:rPr>
      </w:pPr>
      <w:r>
        <w:rPr>
          <w:rFonts w:hint="default"/>
          <w:color w:val="auto"/>
          <w:lang w:val="en-US" w:eastAsia="zh-CN"/>
        </w:rPr>
        <w:t>表5.3-</w:t>
      </w:r>
      <w:r>
        <w:rPr>
          <w:rFonts w:hint="eastAsia"/>
          <w:color w:val="auto"/>
          <w:lang w:val="en-US" w:eastAsia="zh-CN"/>
        </w:rPr>
        <w:t xml:space="preserve">4 </w:t>
      </w:r>
      <w:r>
        <w:rPr>
          <w:rFonts w:hint="default"/>
          <w:color w:val="auto"/>
          <w:lang w:val="en-US" w:eastAsia="zh-CN"/>
        </w:rPr>
        <w:t>安全风险等级判定准则及控制措施R</w:t>
      </w:r>
    </w:p>
    <w:tbl>
      <w:tblPr>
        <w:tblStyle w:val="19"/>
        <w:tblW w:w="0" w:type="auto"/>
        <w:jc w:val="center"/>
        <w:tblLayout w:type="fixed"/>
        <w:tblCellMar>
          <w:top w:w="0" w:type="dxa"/>
          <w:left w:w="10" w:type="dxa"/>
          <w:bottom w:w="0" w:type="dxa"/>
          <w:right w:w="10" w:type="dxa"/>
        </w:tblCellMar>
      </w:tblPr>
      <w:tblGrid>
        <w:gridCol w:w="1075"/>
        <w:gridCol w:w="720"/>
        <w:gridCol w:w="2340"/>
        <w:gridCol w:w="3305"/>
        <w:gridCol w:w="1620"/>
      </w:tblGrid>
      <w:tr w14:paraId="6A67AE93">
        <w:tblPrEx>
          <w:tblCellMar>
            <w:top w:w="0" w:type="dxa"/>
            <w:left w:w="10" w:type="dxa"/>
            <w:bottom w:w="0" w:type="dxa"/>
            <w:right w:w="10" w:type="dxa"/>
          </w:tblCellMar>
        </w:tblPrEx>
        <w:trPr>
          <w:trHeight w:val="682" w:hRule="atLeast"/>
          <w:jc w:val="center"/>
        </w:trPr>
        <w:tc>
          <w:tcPr>
            <w:tcW w:w="1075"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2163C0A2">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风险度</w:t>
            </w:r>
          </w:p>
        </w:tc>
        <w:tc>
          <w:tcPr>
            <w:tcW w:w="3060" w:type="dxa"/>
            <w:gridSpan w:val="2"/>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6961CD26">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等级</w:t>
            </w:r>
          </w:p>
        </w:tc>
        <w:tc>
          <w:tcPr>
            <w:tcW w:w="3305"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02F942E5">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应采取的行动</w:t>
            </w:r>
            <w:r>
              <w:rPr>
                <w:rFonts w:ascii="Times New Roman" w:hAnsi="Times New Roman" w:eastAsia="宋体" w:cs="Times New Roman"/>
                <w:color w:val="auto"/>
                <w:sz w:val="21"/>
                <w:szCs w:val="21"/>
              </w:rPr>
              <w:t>/</w:t>
            </w:r>
            <w:r>
              <w:rPr>
                <w:rFonts w:ascii="Times New Roman" w:hAnsi="宋体" w:eastAsia="宋体" w:cs="Times New Roman"/>
                <w:color w:val="auto"/>
                <w:sz w:val="21"/>
                <w:szCs w:val="21"/>
              </w:rPr>
              <w:t>控制措施</w:t>
            </w:r>
          </w:p>
        </w:tc>
        <w:tc>
          <w:tcPr>
            <w:tcW w:w="162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662FAF97">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实施期限</w:t>
            </w:r>
          </w:p>
        </w:tc>
      </w:tr>
      <w:tr w14:paraId="6EDC4F99">
        <w:tblPrEx>
          <w:tblCellMar>
            <w:top w:w="0" w:type="dxa"/>
            <w:left w:w="10" w:type="dxa"/>
            <w:bottom w:w="0" w:type="dxa"/>
            <w:right w:w="10" w:type="dxa"/>
          </w:tblCellMar>
        </w:tblPrEx>
        <w:trPr>
          <w:trHeight w:val="486" w:hRule="atLeast"/>
          <w:jc w:val="center"/>
        </w:trPr>
        <w:tc>
          <w:tcPr>
            <w:tcW w:w="1075" w:type="dxa"/>
            <w:tcBorders>
              <w:top w:val="single" w:color="000000" w:sz="4" w:space="0"/>
              <w:left w:val="single" w:color="000000" w:sz="4" w:space="0"/>
              <w:bottom w:val="single" w:color="000000" w:sz="4" w:space="0"/>
              <w:right w:val="single" w:color="000000" w:sz="4" w:space="0"/>
            </w:tcBorders>
            <w:shd w:val="clear" w:color="auto" w:fill="FF0000"/>
            <w:noWrap w:val="0"/>
            <w:tcMar>
              <w:left w:w="108" w:type="dxa"/>
              <w:right w:w="108" w:type="dxa"/>
            </w:tcMar>
            <w:vAlign w:val="center"/>
          </w:tcPr>
          <w:p w14:paraId="3CC6E21A">
            <w:pPr>
              <w:spacing w:line="300" w:lineRule="exact"/>
              <w:ind w:firstLine="0" w:firstLineChars="0"/>
              <w:jc w:val="center"/>
              <w:rPr>
                <w:rFonts w:ascii="Times New Roman" w:hAnsi="Times New Roman" w:eastAsia="宋体" w:cs="Times New Roman"/>
                <w:b/>
                <w:color w:val="auto"/>
                <w:sz w:val="21"/>
                <w:szCs w:val="21"/>
              </w:rPr>
            </w:pPr>
            <w:r>
              <w:rPr>
                <w:rFonts w:ascii="Times New Roman" w:hAnsi="Times New Roman" w:eastAsia="宋体" w:cs="Times New Roman"/>
                <w:b/>
                <w:color w:val="auto"/>
                <w:sz w:val="21"/>
                <w:szCs w:val="21"/>
              </w:rPr>
              <w:t>20</w:t>
            </w:r>
            <w:r>
              <w:rPr>
                <w:rFonts w:hint="eastAsia" w:ascii="Times New Roman" w:hAnsi="Times New Roman" w:eastAsia="宋体" w:cs="Times New Roman"/>
                <w:b/>
                <w:color w:val="auto"/>
                <w:sz w:val="21"/>
                <w:szCs w:val="21"/>
              </w:rPr>
              <w:t>～</w:t>
            </w:r>
            <w:r>
              <w:rPr>
                <w:rFonts w:ascii="Times New Roman" w:hAnsi="Times New Roman" w:eastAsia="宋体" w:cs="Times New Roman"/>
                <w:b/>
                <w:color w:val="auto"/>
                <w:sz w:val="21"/>
                <w:szCs w:val="21"/>
              </w:rPr>
              <w:t>25</w:t>
            </w:r>
          </w:p>
        </w:tc>
        <w:tc>
          <w:tcPr>
            <w:tcW w:w="72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23A4A8E3">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Ⅰ级</w:t>
            </w:r>
          </w:p>
        </w:tc>
        <w:tc>
          <w:tcPr>
            <w:tcW w:w="234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123F12EF">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不可允许的风险，极其危险</w:t>
            </w:r>
          </w:p>
        </w:tc>
        <w:tc>
          <w:tcPr>
            <w:tcW w:w="3305"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2246C693">
            <w:pPr>
              <w:spacing w:line="300" w:lineRule="exact"/>
              <w:ind w:firstLine="0" w:firstLineChars="0"/>
              <w:jc w:val="left"/>
              <w:rPr>
                <w:rFonts w:ascii="Times New Roman" w:hAnsi="Times New Roman" w:eastAsia="宋体" w:cs="Times New Roman"/>
                <w:color w:val="auto"/>
                <w:sz w:val="21"/>
                <w:szCs w:val="21"/>
              </w:rPr>
            </w:pPr>
            <w:r>
              <w:rPr>
                <w:rFonts w:ascii="Times New Roman" w:hAnsi="宋体" w:eastAsia="宋体" w:cs="Times New Roman"/>
                <w:color w:val="auto"/>
                <w:sz w:val="21"/>
                <w:szCs w:val="21"/>
              </w:rPr>
              <w:t>在采取措施降低危险有害前，不能继续作业，对改进措施进行评估</w:t>
            </w:r>
          </w:p>
        </w:tc>
        <w:tc>
          <w:tcPr>
            <w:tcW w:w="162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2BB06EA1">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立刻</w:t>
            </w:r>
          </w:p>
        </w:tc>
      </w:tr>
      <w:tr w14:paraId="0459ED86">
        <w:tblPrEx>
          <w:tblCellMar>
            <w:top w:w="0" w:type="dxa"/>
            <w:left w:w="10" w:type="dxa"/>
            <w:bottom w:w="0" w:type="dxa"/>
            <w:right w:w="10" w:type="dxa"/>
          </w:tblCellMar>
        </w:tblPrEx>
        <w:trPr>
          <w:trHeight w:val="486" w:hRule="atLeast"/>
          <w:jc w:val="center"/>
        </w:trPr>
        <w:tc>
          <w:tcPr>
            <w:tcW w:w="1075" w:type="dxa"/>
            <w:tcBorders>
              <w:top w:val="single" w:color="000000" w:sz="4" w:space="0"/>
              <w:left w:val="single" w:color="000000" w:sz="4" w:space="0"/>
              <w:bottom w:val="single" w:color="000000" w:sz="4" w:space="0"/>
              <w:right w:val="single" w:color="000000" w:sz="4" w:space="0"/>
            </w:tcBorders>
            <w:shd w:val="clear" w:color="auto" w:fill="ED7D31"/>
            <w:noWrap w:val="0"/>
            <w:tcMar>
              <w:left w:w="108" w:type="dxa"/>
              <w:right w:w="108" w:type="dxa"/>
            </w:tcMar>
            <w:vAlign w:val="center"/>
          </w:tcPr>
          <w:p w14:paraId="7C7B30FF">
            <w:pPr>
              <w:spacing w:line="300" w:lineRule="exact"/>
              <w:ind w:firstLine="0" w:firstLineChars="0"/>
              <w:jc w:val="center"/>
              <w:rPr>
                <w:rFonts w:ascii="Times New Roman" w:hAnsi="Times New Roman" w:eastAsia="宋体" w:cs="Times New Roman"/>
                <w:b/>
                <w:color w:val="auto"/>
                <w:sz w:val="21"/>
                <w:szCs w:val="21"/>
              </w:rPr>
            </w:pPr>
            <w:r>
              <w:rPr>
                <w:rFonts w:ascii="Times New Roman" w:hAnsi="Times New Roman" w:eastAsia="宋体" w:cs="Times New Roman"/>
                <w:b/>
                <w:color w:val="auto"/>
                <w:sz w:val="21"/>
                <w:szCs w:val="21"/>
              </w:rPr>
              <w:t>15</w:t>
            </w:r>
            <w:r>
              <w:rPr>
                <w:rFonts w:hint="eastAsia" w:ascii="Times New Roman" w:hAnsi="Times New Roman" w:eastAsia="宋体" w:cs="Times New Roman"/>
                <w:b/>
                <w:color w:val="auto"/>
                <w:sz w:val="21"/>
                <w:szCs w:val="21"/>
              </w:rPr>
              <w:t>～</w:t>
            </w:r>
            <w:r>
              <w:rPr>
                <w:rFonts w:ascii="Times New Roman" w:hAnsi="Times New Roman" w:eastAsia="宋体" w:cs="Times New Roman"/>
                <w:b/>
                <w:color w:val="auto"/>
                <w:sz w:val="21"/>
                <w:szCs w:val="21"/>
              </w:rPr>
              <w:t>16</w:t>
            </w:r>
          </w:p>
        </w:tc>
        <w:tc>
          <w:tcPr>
            <w:tcW w:w="72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6D086C13">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Ⅱ级</w:t>
            </w:r>
          </w:p>
        </w:tc>
        <w:tc>
          <w:tcPr>
            <w:tcW w:w="234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130ECB3E">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较大的风险，高度危险</w:t>
            </w:r>
          </w:p>
        </w:tc>
        <w:tc>
          <w:tcPr>
            <w:tcW w:w="3305"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53EB164C">
            <w:pPr>
              <w:spacing w:line="300" w:lineRule="exact"/>
              <w:ind w:firstLine="0" w:firstLineChars="0"/>
              <w:jc w:val="left"/>
              <w:rPr>
                <w:rFonts w:ascii="Times New Roman" w:hAnsi="Times New Roman" w:eastAsia="宋体" w:cs="Times New Roman"/>
                <w:color w:val="auto"/>
                <w:sz w:val="21"/>
                <w:szCs w:val="21"/>
              </w:rPr>
            </w:pPr>
            <w:r>
              <w:rPr>
                <w:rFonts w:ascii="Times New Roman" w:hAnsi="宋体" w:eastAsia="宋体" w:cs="Times New Roman"/>
                <w:color w:val="auto"/>
                <w:sz w:val="21"/>
                <w:szCs w:val="21"/>
              </w:rPr>
              <w:t>采取紧急措施降低风险，建立运行控制程序，定期检查、测量及评估</w:t>
            </w:r>
          </w:p>
        </w:tc>
        <w:tc>
          <w:tcPr>
            <w:tcW w:w="162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116473D1">
            <w:pPr>
              <w:spacing w:line="300" w:lineRule="exact"/>
              <w:ind w:firstLine="0" w:firstLineChars="0"/>
              <w:jc w:val="center"/>
              <w:rPr>
                <w:rFonts w:hint="eastAsia" w:ascii="Times New Roman" w:hAnsi="宋体" w:eastAsia="宋体" w:cs="Times New Roman"/>
                <w:color w:val="auto"/>
                <w:sz w:val="21"/>
                <w:szCs w:val="21"/>
              </w:rPr>
            </w:pPr>
            <w:r>
              <w:rPr>
                <w:rFonts w:ascii="Times New Roman" w:hAnsi="宋体" w:eastAsia="宋体" w:cs="Times New Roman"/>
                <w:color w:val="auto"/>
                <w:sz w:val="21"/>
                <w:szCs w:val="21"/>
              </w:rPr>
              <w:t>立即或</w:t>
            </w:r>
          </w:p>
          <w:p w14:paraId="6101B589">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近期整改</w:t>
            </w:r>
          </w:p>
        </w:tc>
      </w:tr>
      <w:tr w14:paraId="7799A9FE">
        <w:tblPrEx>
          <w:tblCellMar>
            <w:top w:w="0" w:type="dxa"/>
            <w:left w:w="10" w:type="dxa"/>
            <w:bottom w:w="0" w:type="dxa"/>
            <w:right w:w="10" w:type="dxa"/>
          </w:tblCellMar>
        </w:tblPrEx>
        <w:trPr>
          <w:trHeight w:val="250" w:hRule="atLeast"/>
          <w:jc w:val="center"/>
        </w:trPr>
        <w:tc>
          <w:tcPr>
            <w:tcW w:w="1075" w:type="dxa"/>
            <w:tcBorders>
              <w:top w:val="single" w:color="000000" w:sz="4" w:space="0"/>
              <w:left w:val="single" w:color="000000" w:sz="4" w:space="0"/>
              <w:bottom w:val="single" w:color="000000" w:sz="4" w:space="0"/>
              <w:right w:val="single" w:color="000000" w:sz="4" w:space="0"/>
            </w:tcBorders>
            <w:shd w:val="clear" w:color="auto" w:fill="FFFF00"/>
            <w:noWrap w:val="0"/>
            <w:tcMar>
              <w:left w:w="108" w:type="dxa"/>
              <w:right w:w="108" w:type="dxa"/>
            </w:tcMar>
            <w:vAlign w:val="center"/>
          </w:tcPr>
          <w:p w14:paraId="7D130B2B">
            <w:pPr>
              <w:spacing w:line="300" w:lineRule="exact"/>
              <w:ind w:firstLine="0" w:firstLineChars="0"/>
              <w:jc w:val="center"/>
              <w:rPr>
                <w:rFonts w:ascii="Times New Roman" w:hAnsi="Times New Roman" w:eastAsia="宋体" w:cs="Times New Roman"/>
                <w:b/>
                <w:color w:val="auto"/>
                <w:sz w:val="21"/>
                <w:szCs w:val="21"/>
              </w:rPr>
            </w:pPr>
            <w:r>
              <w:rPr>
                <w:rFonts w:ascii="Times New Roman" w:hAnsi="Times New Roman" w:eastAsia="宋体" w:cs="Times New Roman"/>
                <w:b/>
                <w:color w:val="auto"/>
                <w:sz w:val="21"/>
                <w:szCs w:val="21"/>
              </w:rPr>
              <w:t>9</w:t>
            </w:r>
            <w:r>
              <w:rPr>
                <w:rFonts w:hint="eastAsia" w:ascii="Times New Roman" w:hAnsi="Times New Roman" w:eastAsia="宋体" w:cs="Times New Roman"/>
                <w:b/>
                <w:color w:val="auto"/>
                <w:sz w:val="21"/>
                <w:szCs w:val="21"/>
              </w:rPr>
              <w:t>～</w:t>
            </w:r>
            <w:r>
              <w:rPr>
                <w:rFonts w:ascii="Times New Roman" w:hAnsi="Times New Roman" w:eastAsia="宋体" w:cs="Times New Roman"/>
                <w:b/>
                <w:color w:val="auto"/>
                <w:sz w:val="21"/>
                <w:szCs w:val="21"/>
              </w:rPr>
              <w:t>12</w:t>
            </w:r>
          </w:p>
        </w:tc>
        <w:tc>
          <w:tcPr>
            <w:tcW w:w="72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4CCA3E11">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Ⅲ级</w:t>
            </w:r>
          </w:p>
        </w:tc>
        <w:tc>
          <w:tcPr>
            <w:tcW w:w="234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77353F66">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中度风险</w:t>
            </w:r>
            <w:r>
              <w:rPr>
                <w:rFonts w:hint="eastAsia" w:ascii="Times New Roman" w:hAnsi="Times New Roman" w:eastAsia="宋体" w:cs="Times New Roman"/>
                <w:color w:val="auto"/>
                <w:sz w:val="21"/>
                <w:szCs w:val="21"/>
              </w:rPr>
              <w:t>，</w:t>
            </w:r>
            <w:r>
              <w:rPr>
                <w:rFonts w:ascii="Times New Roman" w:hAnsi="宋体" w:eastAsia="宋体" w:cs="Times New Roman"/>
                <w:color w:val="auto"/>
                <w:sz w:val="21"/>
                <w:szCs w:val="21"/>
              </w:rPr>
              <w:t>一般危险</w:t>
            </w:r>
          </w:p>
        </w:tc>
        <w:tc>
          <w:tcPr>
            <w:tcW w:w="3305"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18D8EE7A">
            <w:pPr>
              <w:spacing w:line="300" w:lineRule="exact"/>
              <w:ind w:firstLine="0" w:firstLineChars="0"/>
              <w:jc w:val="left"/>
              <w:rPr>
                <w:rFonts w:ascii="Times New Roman" w:hAnsi="Times New Roman" w:eastAsia="宋体" w:cs="Times New Roman"/>
                <w:color w:val="auto"/>
                <w:sz w:val="21"/>
                <w:szCs w:val="21"/>
              </w:rPr>
            </w:pPr>
            <w:r>
              <w:rPr>
                <w:rFonts w:ascii="Times New Roman" w:hAnsi="宋体" w:eastAsia="宋体" w:cs="Times New Roman"/>
                <w:color w:val="auto"/>
                <w:sz w:val="21"/>
                <w:szCs w:val="21"/>
              </w:rPr>
              <w:t>可考虑建立目标、建立操作规程，加强培训及沟通</w:t>
            </w:r>
          </w:p>
        </w:tc>
        <w:tc>
          <w:tcPr>
            <w:tcW w:w="162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0D544112">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w:t>
            </w:r>
            <w:r>
              <w:rPr>
                <w:rFonts w:ascii="Times New Roman" w:hAnsi="宋体" w:eastAsia="宋体" w:cs="Times New Roman"/>
                <w:color w:val="auto"/>
                <w:sz w:val="21"/>
                <w:szCs w:val="21"/>
              </w:rPr>
              <w:t>年内治理</w:t>
            </w:r>
          </w:p>
        </w:tc>
      </w:tr>
      <w:tr w14:paraId="5D8DEBB7">
        <w:tblPrEx>
          <w:tblCellMar>
            <w:top w:w="0" w:type="dxa"/>
            <w:left w:w="10" w:type="dxa"/>
            <w:bottom w:w="0" w:type="dxa"/>
            <w:right w:w="10" w:type="dxa"/>
          </w:tblCellMar>
        </w:tblPrEx>
        <w:trPr>
          <w:trHeight w:val="486" w:hRule="atLeast"/>
          <w:jc w:val="center"/>
        </w:trPr>
        <w:tc>
          <w:tcPr>
            <w:tcW w:w="1075" w:type="dxa"/>
            <w:tcBorders>
              <w:top w:val="single" w:color="000000" w:sz="4" w:space="0"/>
              <w:left w:val="single" w:color="000000" w:sz="4" w:space="0"/>
              <w:bottom w:val="single" w:color="000000" w:sz="4" w:space="0"/>
              <w:right w:val="single" w:color="000000" w:sz="4" w:space="0"/>
            </w:tcBorders>
            <w:shd w:val="clear" w:color="auto" w:fill="5B9BD5"/>
            <w:noWrap w:val="0"/>
            <w:tcMar>
              <w:left w:w="108" w:type="dxa"/>
              <w:right w:w="108" w:type="dxa"/>
            </w:tcMar>
            <w:vAlign w:val="center"/>
          </w:tcPr>
          <w:p w14:paraId="35704F07">
            <w:pPr>
              <w:spacing w:line="300" w:lineRule="exact"/>
              <w:ind w:firstLine="0" w:firstLineChars="0"/>
              <w:jc w:val="center"/>
              <w:rPr>
                <w:rFonts w:ascii="Times New Roman" w:hAnsi="Times New Roman" w:eastAsia="宋体" w:cs="Times New Roman"/>
                <w:b/>
                <w:color w:val="auto"/>
                <w:sz w:val="21"/>
                <w:szCs w:val="21"/>
              </w:rPr>
            </w:pPr>
            <w:r>
              <w:rPr>
                <w:rFonts w:ascii="Times New Roman" w:hAnsi="Times New Roman" w:eastAsia="宋体" w:cs="Times New Roman"/>
                <w:b/>
                <w:color w:val="auto"/>
                <w:sz w:val="21"/>
                <w:szCs w:val="21"/>
              </w:rPr>
              <w:t>4</w:t>
            </w:r>
            <w:r>
              <w:rPr>
                <w:rFonts w:hint="eastAsia" w:ascii="Times New Roman" w:hAnsi="Times New Roman" w:eastAsia="宋体" w:cs="Times New Roman"/>
                <w:b/>
                <w:color w:val="auto"/>
                <w:sz w:val="21"/>
                <w:szCs w:val="21"/>
              </w:rPr>
              <w:t>～</w:t>
            </w:r>
            <w:r>
              <w:rPr>
                <w:rFonts w:ascii="Times New Roman" w:hAnsi="Times New Roman" w:eastAsia="宋体" w:cs="Times New Roman"/>
                <w:b/>
                <w:color w:val="auto"/>
                <w:sz w:val="21"/>
                <w:szCs w:val="21"/>
              </w:rPr>
              <w:t>8</w:t>
            </w:r>
          </w:p>
        </w:tc>
        <w:tc>
          <w:tcPr>
            <w:tcW w:w="72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6FC12D88">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Ⅳ级</w:t>
            </w:r>
          </w:p>
        </w:tc>
        <w:tc>
          <w:tcPr>
            <w:tcW w:w="234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361BE3D2">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低风险，轻度危险，可接受</w:t>
            </w:r>
          </w:p>
        </w:tc>
        <w:tc>
          <w:tcPr>
            <w:tcW w:w="3305"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3673AF80">
            <w:pPr>
              <w:spacing w:line="300" w:lineRule="exact"/>
              <w:ind w:firstLine="0" w:firstLineChars="0"/>
              <w:jc w:val="left"/>
              <w:rPr>
                <w:rFonts w:ascii="Times New Roman" w:hAnsi="Times New Roman" w:eastAsia="宋体" w:cs="Times New Roman"/>
                <w:color w:val="auto"/>
                <w:sz w:val="21"/>
                <w:szCs w:val="21"/>
              </w:rPr>
            </w:pPr>
            <w:r>
              <w:rPr>
                <w:rFonts w:ascii="Times New Roman" w:hAnsi="宋体" w:eastAsia="宋体" w:cs="Times New Roman"/>
                <w:color w:val="auto"/>
                <w:sz w:val="21"/>
                <w:szCs w:val="21"/>
              </w:rPr>
              <w:t>可考虑建立操作规程、作业指导书但需定期检查</w:t>
            </w:r>
          </w:p>
        </w:tc>
        <w:tc>
          <w:tcPr>
            <w:tcW w:w="162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6DDFFA6D">
            <w:pPr>
              <w:spacing w:line="300" w:lineRule="exact"/>
              <w:ind w:firstLine="0" w:firstLineChars="0"/>
              <w:jc w:val="center"/>
              <w:rPr>
                <w:rFonts w:hint="eastAsia" w:ascii="Times New Roman" w:hAnsi="宋体" w:eastAsia="宋体" w:cs="Times New Roman"/>
                <w:color w:val="auto"/>
                <w:sz w:val="21"/>
                <w:szCs w:val="21"/>
              </w:rPr>
            </w:pPr>
            <w:r>
              <w:rPr>
                <w:rFonts w:ascii="Times New Roman" w:hAnsi="宋体" w:eastAsia="宋体" w:cs="Times New Roman"/>
                <w:color w:val="auto"/>
                <w:sz w:val="21"/>
                <w:szCs w:val="21"/>
              </w:rPr>
              <w:t>有条件、</w:t>
            </w:r>
          </w:p>
          <w:p w14:paraId="2A289193">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有经费时治理</w:t>
            </w:r>
          </w:p>
        </w:tc>
      </w:tr>
      <w:tr w14:paraId="4C9960AA">
        <w:tblPrEx>
          <w:tblCellMar>
            <w:top w:w="0" w:type="dxa"/>
            <w:left w:w="10" w:type="dxa"/>
            <w:bottom w:w="0" w:type="dxa"/>
            <w:right w:w="10" w:type="dxa"/>
          </w:tblCellMar>
        </w:tblPrEx>
        <w:trPr>
          <w:trHeight w:val="500" w:hRule="atLeast"/>
          <w:jc w:val="center"/>
        </w:trPr>
        <w:tc>
          <w:tcPr>
            <w:tcW w:w="1075" w:type="dxa"/>
            <w:tcBorders>
              <w:top w:val="single" w:color="000000" w:sz="4" w:space="0"/>
              <w:left w:val="single" w:color="000000" w:sz="4" w:space="0"/>
              <w:bottom w:val="single" w:color="000000" w:sz="4" w:space="0"/>
              <w:right w:val="single" w:color="000000" w:sz="4" w:space="0"/>
            </w:tcBorders>
            <w:shd w:val="clear" w:color="auto" w:fill="BDD6EE"/>
            <w:noWrap w:val="0"/>
            <w:tcMar>
              <w:left w:w="108" w:type="dxa"/>
              <w:right w:w="108" w:type="dxa"/>
            </w:tcMar>
            <w:vAlign w:val="center"/>
          </w:tcPr>
          <w:p w14:paraId="375CB039">
            <w:pPr>
              <w:spacing w:line="300" w:lineRule="exact"/>
              <w:ind w:firstLine="0" w:firstLineChars="0"/>
              <w:jc w:val="center"/>
              <w:rPr>
                <w:rFonts w:ascii="Times New Roman" w:hAnsi="Times New Roman" w:eastAsia="宋体" w:cs="Times New Roman"/>
                <w:b/>
                <w:color w:val="auto"/>
                <w:sz w:val="21"/>
                <w:szCs w:val="21"/>
              </w:rPr>
            </w:pPr>
            <w:r>
              <w:rPr>
                <w:rFonts w:hint="eastAsia" w:ascii="Times New Roman" w:hAnsi="Times New Roman" w:eastAsia="宋体" w:cs="Times New Roman"/>
                <w:b/>
                <w:color w:val="auto"/>
                <w:sz w:val="21"/>
                <w:szCs w:val="21"/>
              </w:rPr>
              <w:t>＜</w:t>
            </w:r>
            <w:r>
              <w:rPr>
                <w:rFonts w:ascii="Times New Roman" w:hAnsi="Times New Roman" w:eastAsia="宋体" w:cs="Times New Roman"/>
                <w:b/>
                <w:color w:val="auto"/>
                <w:sz w:val="21"/>
                <w:szCs w:val="21"/>
              </w:rPr>
              <w:t>4</w:t>
            </w:r>
          </w:p>
        </w:tc>
        <w:tc>
          <w:tcPr>
            <w:tcW w:w="72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45F9C38F">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Ⅴ级</w:t>
            </w:r>
          </w:p>
        </w:tc>
        <w:tc>
          <w:tcPr>
            <w:tcW w:w="234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5238F83D">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A</w:t>
            </w:r>
            <w:r>
              <w:rPr>
                <w:rFonts w:ascii="Times New Roman" w:hAnsi="宋体" w:eastAsia="宋体" w:cs="Times New Roman"/>
                <w:color w:val="auto"/>
                <w:sz w:val="21"/>
                <w:szCs w:val="21"/>
              </w:rPr>
              <w:t>较低风险，轻微或可忽略的危险</w:t>
            </w:r>
          </w:p>
        </w:tc>
        <w:tc>
          <w:tcPr>
            <w:tcW w:w="3305"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2E433F4E">
            <w:pPr>
              <w:spacing w:line="300" w:lineRule="exact"/>
              <w:ind w:firstLine="0" w:firstLineChars="0"/>
              <w:jc w:val="left"/>
              <w:rPr>
                <w:rFonts w:ascii="Times New Roman" w:hAnsi="Times New Roman" w:eastAsia="宋体" w:cs="Times New Roman"/>
                <w:color w:val="auto"/>
                <w:sz w:val="21"/>
                <w:szCs w:val="21"/>
              </w:rPr>
            </w:pPr>
            <w:r>
              <w:rPr>
                <w:rFonts w:ascii="Times New Roman" w:hAnsi="宋体" w:eastAsia="宋体" w:cs="Times New Roman"/>
                <w:color w:val="auto"/>
                <w:sz w:val="21"/>
                <w:szCs w:val="21"/>
              </w:rPr>
              <w:t>无需采用控制措施</w:t>
            </w:r>
          </w:p>
        </w:tc>
        <w:tc>
          <w:tcPr>
            <w:tcW w:w="162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2CDD29BB">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需保存记录</w:t>
            </w:r>
          </w:p>
        </w:tc>
      </w:tr>
    </w:tbl>
    <w:p w14:paraId="46A128CB">
      <w:pPr>
        <w:bidi w:val="0"/>
        <w:rPr>
          <w:rFonts w:hint="default"/>
          <w:color w:val="auto"/>
          <w:lang w:val="en-US" w:eastAsia="zh-CN"/>
        </w:rPr>
      </w:pPr>
      <w:r>
        <w:rPr>
          <w:rFonts w:hint="default"/>
          <w:color w:val="auto"/>
          <w:lang w:val="en-US" w:eastAsia="zh-CN"/>
        </w:rPr>
        <w:t>（2）作业条件危险性评价法（LEC）</w:t>
      </w:r>
    </w:p>
    <w:p w14:paraId="10E9507F">
      <w:pPr>
        <w:bidi w:val="0"/>
        <w:rPr>
          <w:rFonts w:hint="default"/>
          <w:color w:val="auto"/>
          <w:lang w:val="en-US" w:eastAsia="zh-CN"/>
        </w:rPr>
      </w:pPr>
      <w:r>
        <w:rPr>
          <w:rFonts w:hint="default"/>
          <w:color w:val="auto"/>
          <w:lang w:val="en-US" w:eastAsia="zh-CN"/>
        </w:rPr>
        <w:t>作业条件危险性评价法的风险度由事故事件发生的可能性、暴露于危险环境的频繁程度及事故事件后果严重性大小决定的，其风险等级（值）采用作业条件危险性分析法进行评价分级。本方法把风险等级分为5级，分别是：A级（较低）、B级（低）、C级（中）、D级（高）、E级（很高）。</w:t>
      </w:r>
    </w:p>
    <w:p w14:paraId="50CA3A63">
      <w:pPr>
        <w:bidi w:val="0"/>
        <w:rPr>
          <w:rFonts w:hint="default"/>
          <w:color w:val="auto"/>
          <w:lang w:val="en-US" w:eastAsia="zh-CN"/>
        </w:rPr>
      </w:pPr>
      <w:r>
        <w:rPr>
          <w:rFonts w:hint="default"/>
          <w:color w:val="auto"/>
          <w:lang w:val="en-US" w:eastAsia="zh-CN"/>
        </w:rPr>
        <w:t>用与系统风险有关的三种因素指标值的乘积来评价操作人员伤亡风险大小，这三种因素分别是：L（likelihood，事故发生的可能性）、E（exposure，人员暴露于危险环境中的频繁程度）和C（consequence，一旦发生事故可能造成的后果）。给三种因素的不同等级分别确定不同的分值，再以三个分值的乘积D（danger，危险性、危险度、风险度）来评价作业条件危险性的大小，即：</w:t>
      </w:r>
    </w:p>
    <w:p w14:paraId="024A6F4B">
      <w:pPr>
        <w:bidi w:val="0"/>
        <w:rPr>
          <w:rFonts w:hint="default"/>
          <w:color w:val="auto"/>
          <w:lang w:val="en-US" w:eastAsia="zh-CN"/>
        </w:rPr>
      </w:pPr>
      <w:r>
        <w:rPr>
          <w:rFonts w:hint="default"/>
          <w:color w:val="auto"/>
          <w:lang w:val="en-US" w:eastAsia="zh-CN"/>
        </w:rPr>
        <w:t>L——发生事故的可能性大小；</w:t>
      </w:r>
    </w:p>
    <w:p w14:paraId="5525B4A8">
      <w:pPr>
        <w:bidi w:val="0"/>
        <w:rPr>
          <w:rFonts w:hint="default"/>
          <w:color w:val="auto"/>
          <w:lang w:val="en-US" w:eastAsia="zh-CN"/>
        </w:rPr>
      </w:pPr>
      <w:r>
        <w:rPr>
          <w:rFonts w:hint="default"/>
          <w:color w:val="auto"/>
          <w:lang w:val="en-US" w:eastAsia="zh-CN"/>
        </w:rPr>
        <w:t>E——人体暴露在危险环境中的频繁程度；</w:t>
      </w:r>
    </w:p>
    <w:p w14:paraId="330D4C29">
      <w:pPr>
        <w:bidi w:val="0"/>
        <w:rPr>
          <w:rFonts w:hint="default"/>
          <w:color w:val="auto"/>
          <w:lang w:val="en-US" w:eastAsia="zh-CN"/>
        </w:rPr>
      </w:pPr>
      <w:r>
        <w:rPr>
          <w:rFonts w:hint="default"/>
          <w:color w:val="auto"/>
          <w:lang w:val="en-US" w:eastAsia="zh-CN"/>
        </w:rPr>
        <w:t>C——一旦发生事故会造成的损失后果。</w:t>
      </w:r>
    </w:p>
    <w:p w14:paraId="63F05BCF">
      <w:pPr>
        <w:bidi w:val="0"/>
        <w:rPr>
          <w:rFonts w:hint="default"/>
          <w:color w:val="auto"/>
          <w:lang w:val="en-US" w:eastAsia="zh-CN"/>
        </w:rPr>
      </w:pPr>
      <w:r>
        <w:rPr>
          <w:rFonts w:hint="default"/>
          <w:color w:val="auto"/>
          <w:lang w:val="en-US" w:eastAsia="zh-CN"/>
        </w:rPr>
        <w:t>为了简化评价过程，可采取半定量的计算方法，给3种因素的不同等级确定不同的分值，再以三个分值的乘积D，即D=L×E×C来评价危险性的大小。值大，说明该系统危险性大。</w:t>
      </w:r>
    </w:p>
    <w:p w14:paraId="09CAEB86">
      <w:pPr>
        <w:bidi w:val="0"/>
        <w:rPr>
          <w:rFonts w:hint="default"/>
          <w:color w:val="auto"/>
          <w:lang w:val="en-US" w:eastAsia="zh-CN"/>
        </w:rPr>
      </w:pPr>
      <w:r>
        <w:rPr>
          <w:rFonts w:hint="default"/>
          <w:color w:val="auto"/>
          <w:lang w:val="en-US" w:eastAsia="zh-CN"/>
        </w:rPr>
        <w:t>当用概率来表示事故发生的可能性大小（L）时，绝对不可能发生的事故概率为0；而必然发生的事故概率为1。然而，从系统安全角度考虑，绝对不发生事故是不可能的，所以人为地将发生事故可能性极小的分数定为0.1，而必然要发生的事故的分数定为10，介于这两种情况之间的情况指定为若干中间值，如表5</w:t>
      </w:r>
      <w:r>
        <w:rPr>
          <w:rFonts w:hint="eastAsia"/>
          <w:color w:val="auto"/>
          <w:lang w:val="en-US" w:eastAsia="zh-CN"/>
        </w:rPr>
        <w:t>.3</w:t>
      </w:r>
      <w:r>
        <w:rPr>
          <w:rFonts w:hint="default"/>
          <w:color w:val="auto"/>
          <w:lang w:val="en-US" w:eastAsia="zh-CN"/>
        </w:rPr>
        <w:t>-5。</w:t>
      </w:r>
    </w:p>
    <w:p w14:paraId="4F30B9F9">
      <w:pPr>
        <w:bidi w:val="0"/>
        <w:ind w:left="0" w:leftChars="0" w:firstLine="0" w:firstLineChars="0"/>
        <w:jc w:val="center"/>
        <w:rPr>
          <w:rFonts w:hint="eastAsia"/>
          <w:color w:val="auto"/>
          <w:lang w:val="en-US" w:eastAsia="zh-CN"/>
        </w:rPr>
      </w:pPr>
      <w:r>
        <w:rPr>
          <w:rFonts w:hint="default"/>
          <w:color w:val="auto"/>
          <w:lang w:val="en-US" w:eastAsia="zh-CN"/>
        </w:rPr>
        <w:t>表5</w:t>
      </w:r>
      <w:r>
        <w:rPr>
          <w:rFonts w:hint="eastAsia"/>
          <w:color w:val="auto"/>
          <w:lang w:val="en-US" w:eastAsia="zh-CN"/>
        </w:rPr>
        <w:t>.3</w:t>
      </w:r>
      <w:r>
        <w:rPr>
          <w:rFonts w:hint="default"/>
          <w:color w:val="auto"/>
          <w:lang w:val="en-US" w:eastAsia="zh-CN"/>
        </w:rPr>
        <w:t>-5</w:t>
      </w:r>
      <w:r>
        <w:rPr>
          <w:rFonts w:hint="eastAsia"/>
          <w:color w:val="auto"/>
          <w:lang w:val="en-US" w:eastAsia="zh-CN"/>
        </w:rPr>
        <w:t xml:space="preserve"> 事故或危险事件发生可能性L的分值</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4"/>
        <w:gridCol w:w="7596"/>
      </w:tblGrid>
      <w:tr w14:paraId="02266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4" w:type="dxa"/>
            <w:noWrap w:val="0"/>
            <w:vAlign w:val="center"/>
          </w:tcPr>
          <w:p w14:paraId="17A5D7C2">
            <w:pPr>
              <w:spacing w:line="300" w:lineRule="exact"/>
              <w:ind w:firstLine="0" w:firstLineChars="0"/>
              <w:jc w:val="center"/>
              <w:rPr>
                <w:rFonts w:ascii="Times New Roman" w:hAnsi="宋体" w:eastAsia="宋体" w:cs="Times New Roman"/>
                <w:color w:val="auto"/>
                <w:sz w:val="21"/>
                <w:szCs w:val="21"/>
              </w:rPr>
            </w:pPr>
            <w:r>
              <w:rPr>
                <w:rFonts w:ascii="Times New Roman" w:hAnsi="宋体" w:eastAsia="宋体" w:cs="Times New Roman"/>
                <w:color w:val="auto"/>
                <w:sz w:val="21"/>
                <w:szCs w:val="21"/>
              </w:rPr>
              <w:t>L分数值</w:t>
            </w:r>
          </w:p>
        </w:tc>
        <w:tc>
          <w:tcPr>
            <w:tcW w:w="7596" w:type="dxa"/>
            <w:noWrap w:val="0"/>
            <w:vAlign w:val="center"/>
          </w:tcPr>
          <w:p w14:paraId="7DF95D62">
            <w:pPr>
              <w:spacing w:line="300" w:lineRule="exact"/>
              <w:ind w:firstLine="0" w:firstLineChars="0"/>
              <w:jc w:val="center"/>
              <w:rPr>
                <w:rFonts w:ascii="Times New Roman" w:hAnsi="宋体" w:eastAsia="宋体" w:cs="Times New Roman"/>
                <w:color w:val="auto"/>
                <w:sz w:val="21"/>
                <w:szCs w:val="21"/>
              </w:rPr>
            </w:pPr>
            <w:r>
              <w:rPr>
                <w:rFonts w:ascii="Times New Roman" w:hAnsi="宋体" w:eastAsia="宋体" w:cs="Times New Roman"/>
                <w:color w:val="auto"/>
                <w:sz w:val="21"/>
                <w:szCs w:val="21"/>
              </w:rPr>
              <w:t>事故发生的可能性</w:t>
            </w:r>
          </w:p>
        </w:tc>
      </w:tr>
      <w:tr w14:paraId="0074A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4" w:type="dxa"/>
            <w:noWrap w:val="0"/>
            <w:vAlign w:val="center"/>
          </w:tcPr>
          <w:p w14:paraId="077E6929">
            <w:pPr>
              <w:spacing w:line="300" w:lineRule="exact"/>
              <w:ind w:firstLine="0" w:firstLineChars="0"/>
              <w:jc w:val="center"/>
              <w:rPr>
                <w:rFonts w:ascii="Times New Roman" w:hAnsi="宋体" w:eastAsia="宋体" w:cs="Times New Roman"/>
                <w:color w:val="auto"/>
                <w:sz w:val="21"/>
                <w:szCs w:val="21"/>
              </w:rPr>
            </w:pPr>
            <w:r>
              <w:rPr>
                <w:rFonts w:ascii="Times New Roman" w:hAnsi="宋体" w:eastAsia="宋体" w:cs="Times New Roman"/>
                <w:color w:val="auto"/>
                <w:sz w:val="21"/>
                <w:szCs w:val="21"/>
              </w:rPr>
              <w:t>10</w:t>
            </w:r>
          </w:p>
        </w:tc>
        <w:tc>
          <w:tcPr>
            <w:tcW w:w="7596" w:type="dxa"/>
            <w:noWrap w:val="0"/>
            <w:vAlign w:val="center"/>
          </w:tcPr>
          <w:p w14:paraId="221D8A69">
            <w:pPr>
              <w:spacing w:line="300" w:lineRule="exact"/>
              <w:ind w:firstLine="0" w:firstLineChars="0"/>
              <w:jc w:val="center"/>
              <w:rPr>
                <w:rFonts w:ascii="Times New Roman" w:hAnsi="宋体" w:eastAsia="宋体" w:cs="Times New Roman"/>
                <w:color w:val="auto"/>
                <w:sz w:val="21"/>
                <w:szCs w:val="21"/>
              </w:rPr>
            </w:pPr>
            <w:r>
              <w:rPr>
                <w:rFonts w:ascii="Times New Roman" w:hAnsi="宋体" w:eastAsia="宋体" w:cs="Times New Roman"/>
                <w:color w:val="auto"/>
                <w:sz w:val="21"/>
                <w:szCs w:val="21"/>
              </w:rPr>
              <w:t>完全可以预料。</w:t>
            </w:r>
          </w:p>
        </w:tc>
      </w:tr>
      <w:tr w14:paraId="36BA6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1084" w:type="dxa"/>
            <w:noWrap w:val="0"/>
            <w:vAlign w:val="center"/>
          </w:tcPr>
          <w:p w14:paraId="18FCE2FC">
            <w:pPr>
              <w:spacing w:line="300" w:lineRule="exact"/>
              <w:ind w:firstLine="0" w:firstLineChars="0"/>
              <w:jc w:val="center"/>
              <w:rPr>
                <w:rFonts w:ascii="Times New Roman" w:hAnsi="宋体" w:eastAsia="宋体" w:cs="Times New Roman"/>
                <w:color w:val="auto"/>
                <w:sz w:val="21"/>
                <w:szCs w:val="21"/>
              </w:rPr>
            </w:pPr>
            <w:r>
              <w:rPr>
                <w:rFonts w:ascii="Times New Roman" w:hAnsi="宋体" w:eastAsia="宋体" w:cs="Times New Roman"/>
                <w:color w:val="auto"/>
                <w:sz w:val="21"/>
                <w:szCs w:val="21"/>
              </w:rPr>
              <w:t>6</w:t>
            </w:r>
          </w:p>
        </w:tc>
        <w:tc>
          <w:tcPr>
            <w:tcW w:w="7596" w:type="dxa"/>
            <w:noWrap w:val="0"/>
            <w:vAlign w:val="center"/>
          </w:tcPr>
          <w:p w14:paraId="120CAFDB">
            <w:pPr>
              <w:spacing w:line="300" w:lineRule="exact"/>
              <w:ind w:firstLine="0" w:firstLineChars="0"/>
              <w:jc w:val="left"/>
              <w:rPr>
                <w:rFonts w:ascii="Times New Roman" w:hAnsi="宋体" w:eastAsia="宋体" w:cs="Times New Roman"/>
                <w:color w:val="auto"/>
                <w:sz w:val="21"/>
                <w:szCs w:val="21"/>
              </w:rPr>
            </w:pPr>
            <w:r>
              <w:rPr>
                <w:rFonts w:ascii="Times New Roman" w:hAnsi="宋体" w:eastAsia="宋体" w:cs="Times New Roman"/>
                <w:color w:val="auto"/>
                <w:sz w:val="21"/>
                <w:szCs w:val="21"/>
              </w:rPr>
              <w:t>相当可能；或危险有害的发生不能被发现（没有监测系统）；或在现场没有采取防范、监测、保护、控制措施；或在正常情况下经常发生此类事故、事件或偏差。</w:t>
            </w:r>
          </w:p>
        </w:tc>
      </w:tr>
      <w:tr w14:paraId="403AD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4" w:type="dxa"/>
            <w:noWrap w:val="0"/>
            <w:vAlign w:val="center"/>
          </w:tcPr>
          <w:p w14:paraId="1BF8FDF6">
            <w:pPr>
              <w:spacing w:line="300" w:lineRule="exact"/>
              <w:ind w:firstLine="0" w:firstLineChars="0"/>
              <w:jc w:val="center"/>
              <w:rPr>
                <w:rFonts w:ascii="Times New Roman" w:hAnsi="宋体" w:eastAsia="宋体" w:cs="Times New Roman"/>
                <w:color w:val="auto"/>
                <w:sz w:val="21"/>
                <w:szCs w:val="21"/>
              </w:rPr>
            </w:pPr>
            <w:r>
              <w:rPr>
                <w:rFonts w:ascii="Times New Roman" w:hAnsi="宋体" w:eastAsia="宋体" w:cs="Times New Roman"/>
                <w:color w:val="auto"/>
                <w:sz w:val="21"/>
                <w:szCs w:val="21"/>
              </w:rPr>
              <w:t>3</w:t>
            </w:r>
          </w:p>
        </w:tc>
        <w:tc>
          <w:tcPr>
            <w:tcW w:w="7596" w:type="dxa"/>
            <w:noWrap w:val="0"/>
            <w:vAlign w:val="center"/>
          </w:tcPr>
          <w:p w14:paraId="40CC2272">
            <w:pPr>
              <w:spacing w:line="300" w:lineRule="exact"/>
              <w:ind w:firstLine="0" w:firstLineChars="0"/>
              <w:jc w:val="left"/>
              <w:rPr>
                <w:rFonts w:ascii="Times New Roman" w:hAnsi="宋体" w:eastAsia="宋体" w:cs="Times New Roman"/>
                <w:color w:val="auto"/>
                <w:sz w:val="21"/>
                <w:szCs w:val="21"/>
              </w:rPr>
            </w:pPr>
            <w:r>
              <w:rPr>
                <w:rFonts w:ascii="Times New Roman" w:hAnsi="宋体" w:eastAsia="宋体" w:cs="Times New Roman"/>
                <w:color w:val="auto"/>
                <w:sz w:val="21"/>
                <w:szCs w:val="21"/>
              </w:rPr>
              <w:t>可能，但不经常；或危险有害的发生不容易被发现；现场没有检测系统或保护措施（如没有保护装置、没有个人防护用品等），也未作过任何监测；或未严格按操作规程执行；或在现场有控制措施，但未有效执行或控制措施不当；或危险有害在预期情况下发生。</w:t>
            </w:r>
          </w:p>
        </w:tc>
      </w:tr>
      <w:tr w14:paraId="7A3D9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4" w:type="dxa"/>
            <w:noWrap w:val="0"/>
            <w:vAlign w:val="center"/>
          </w:tcPr>
          <w:p w14:paraId="15B6DC91">
            <w:pPr>
              <w:spacing w:line="300" w:lineRule="exact"/>
              <w:ind w:firstLine="0" w:firstLineChars="0"/>
              <w:jc w:val="center"/>
              <w:rPr>
                <w:rFonts w:ascii="Times New Roman" w:hAnsi="宋体" w:eastAsia="宋体" w:cs="Times New Roman"/>
                <w:color w:val="auto"/>
                <w:sz w:val="21"/>
                <w:szCs w:val="21"/>
              </w:rPr>
            </w:pPr>
            <w:r>
              <w:rPr>
                <w:rFonts w:ascii="Times New Roman" w:hAnsi="宋体" w:eastAsia="宋体" w:cs="Times New Roman"/>
                <w:color w:val="auto"/>
                <w:sz w:val="21"/>
                <w:szCs w:val="21"/>
              </w:rPr>
              <w:t>1</w:t>
            </w:r>
          </w:p>
        </w:tc>
        <w:tc>
          <w:tcPr>
            <w:tcW w:w="7596" w:type="dxa"/>
            <w:noWrap w:val="0"/>
            <w:vAlign w:val="center"/>
          </w:tcPr>
          <w:p w14:paraId="648BD7D7">
            <w:pPr>
              <w:spacing w:line="300" w:lineRule="exact"/>
              <w:ind w:firstLine="0" w:firstLineChars="0"/>
              <w:jc w:val="left"/>
              <w:rPr>
                <w:rFonts w:ascii="Times New Roman" w:hAnsi="宋体" w:eastAsia="宋体" w:cs="Times New Roman"/>
                <w:color w:val="auto"/>
                <w:sz w:val="21"/>
                <w:szCs w:val="21"/>
              </w:rPr>
            </w:pPr>
            <w:r>
              <w:rPr>
                <w:rFonts w:ascii="Times New Roman" w:hAnsi="宋体" w:eastAsia="宋体" w:cs="Times New Roman"/>
                <w:color w:val="auto"/>
                <w:sz w:val="21"/>
                <w:szCs w:val="21"/>
              </w:rPr>
              <w:t>可能性小，完全意外；或危险有害的发生容易被发现；现场有监测系统或曾经作过监测；或过去曾经发生类似事故、事件或偏差；或在异常情况下发生过类似事故、事件或偏差。</w:t>
            </w:r>
          </w:p>
        </w:tc>
      </w:tr>
      <w:tr w14:paraId="7A3B1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4" w:type="dxa"/>
            <w:noWrap w:val="0"/>
            <w:vAlign w:val="center"/>
          </w:tcPr>
          <w:p w14:paraId="34EAF6A8">
            <w:pPr>
              <w:spacing w:line="300" w:lineRule="exact"/>
              <w:ind w:firstLine="0" w:firstLineChars="0"/>
              <w:jc w:val="center"/>
              <w:rPr>
                <w:rFonts w:ascii="Times New Roman" w:hAnsi="宋体" w:eastAsia="宋体" w:cs="Times New Roman"/>
                <w:color w:val="auto"/>
                <w:sz w:val="21"/>
                <w:szCs w:val="21"/>
              </w:rPr>
            </w:pPr>
            <w:r>
              <w:rPr>
                <w:rFonts w:ascii="Times New Roman" w:hAnsi="宋体" w:eastAsia="宋体" w:cs="Times New Roman"/>
                <w:color w:val="auto"/>
                <w:sz w:val="21"/>
                <w:szCs w:val="21"/>
              </w:rPr>
              <w:t>0.5</w:t>
            </w:r>
          </w:p>
        </w:tc>
        <w:tc>
          <w:tcPr>
            <w:tcW w:w="7596" w:type="dxa"/>
            <w:noWrap w:val="0"/>
            <w:vAlign w:val="center"/>
          </w:tcPr>
          <w:p w14:paraId="43BFD784">
            <w:pPr>
              <w:spacing w:line="300" w:lineRule="exact"/>
              <w:ind w:firstLine="0" w:firstLineChars="0"/>
              <w:jc w:val="left"/>
              <w:rPr>
                <w:rFonts w:ascii="Times New Roman" w:hAnsi="宋体" w:eastAsia="宋体" w:cs="Times New Roman"/>
                <w:color w:val="auto"/>
                <w:sz w:val="21"/>
                <w:szCs w:val="21"/>
              </w:rPr>
            </w:pPr>
            <w:r>
              <w:rPr>
                <w:rFonts w:ascii="Times New Roman" w:hAnsi="宋体" w:eastAsia="宋体" w:cs="Times New Roman"/>
                <w:color w:val="auto"/>
                <w:sz w:val="21"/>
                <w:szCs w:val="21"/>
              </w:rPr>
              <w:t>很不可能，可以设想；危险有害一旦发生能及时发现，并能定期进行监测。</w:t>
            </w:r>
          </w:p>
        </w:tc>
      </w:tr>
      <w:tr w14:paraId="5B5C2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4" w:type="dxa"/>
            <w:noWrap w:val="0"/>
            <w:vAlign w:val="center"/>
          </w:tcPr>
          <w:p w14:paraId="204BF321">
            <w:pPr>
              <w:spacing w:line="300" w:lineRule="exact"/>
              <w:ind w:firstLine="0" w:firstLineChars="0"/>
              <w:jc w:val="center"/>
              <w:rPr>
                <w:rFonts w:ascii="Times New Roman" w:hAnsi="宋体" w:eastAsia="宋体" w:cs="Times New Roman"/>
                <w:color w:val="auto"/>
                <w:sz w:val="21"/>
                <w:szCs w:val="21"/>
              </w:rPr>
            </w:pPr>
            <w:r>
              <w:rPr>
                <w:rFonts w:ascii="Times New Roman" w:hAnsi="宋体" w:eastAsia="宋体" w:cs="Times New Roman"/>
                <w:color w:val="auto"/>
                <w:sz w:val="21"/>
                <w:szCs w:val="21"/>
              </w:rPr>
              <w:t>0.2</w:t>
            </w:r>
          </w:p>
        </w:tc>
        <w:tc>
          <w:tcPr>
            <w:tcW w:w="7596" w:type="dxa"/>
            <w:noWrap w:val="0"/>
            <w:vAlign w:val="center"/>
          </w:tcPr>
          <w:p w14:paraId="5D9F3335">
            <w:pPr>
              <w:spacing w:line="300" w:lineRule="exact"/>
              <w:ind w:firstLine="0" w:firstLineChars="0"/>
              <w:jc w:val="left"/>
              <w:rPr>
                <w:rFonts w:ascii="Times New Roman" w:hAnsi="宋体" w:eastAsia="宋体" w:cs="Times New Roman"/>
                <w:color w:val="auto"/>
                <w:sz w:val="21"/>
                <w:szCs w:val="21"/>
              </w:rPr>
            </w:pPr>
            <w:r>
              <w:rPr>
                <w:rFonts w:ascii="Times New Roman" w:hAnsi="宋体" w:eastAsia="宋体" w:cs="Times New Roman"/>
                <w:color w:val="auto"/>
                <w:sz w:val="21"/>
                <w:szCs w:val="21"/>
              </w:rPr>
              <w:t>极不可能；有充分、有效的防范、控制、监测、保护措施；或员工安全卫生意识相当高，严格执行操作规程。</w:t>
            </w:r>
          </w:p>
        </w:tc>
      </w:tr>
      <w:tr w14:paraId="03DE8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4" w:type="dxa"/>
            <w:noWrap w:val="0"/>
            <w:vAlign w:val="center"/>
          </w:tcPr>
          <w:p w14:paraId="03D4EC06">
            <w:pPr>
              <w:spacing w:line="300" w:lineRule="exact"/>
              <w:ind w:firstLine="0" w:firstLineChars="0"/>
              <w:jc w:val="center"/>
              <w:rPr>
                <w:rFonts w:ascii="Times New Roman" w:hAnsi="宋体" w:eastAsia="宋体" w:cs="Times New Roman"/>
                <w:color w:val="auto"/>
                <w:sz w:val="21"/>
                <w:szCs w:val="21"/>
              </w:rPr>
            </w:pPr>
            <w:r>
              <w:rPr>
                <w:rFonts w:ascii="Times New Roman" w:hAnsi="宋体" w:eastAsia="宋体" w:cs="Times New Roman"/>
                <w:color w:val="auto"/>
                <w:sz w:val="21"/>
                <w:szCs w:val="21"/>
              </w:rPr>
              <w:t>0.1</w:t>
            </w:r>
          </w:p>
        </w:tc>
        <w:tc>
          <w:tcPr>
            <w:tcW w:w="7596" w:type="dxa"/>
            <w:noWrap w:val="0"/>
            <w:vAlign w:val="center"/>
          </w:tcPr>
          <w:p w14:paraId="6F503094">
            <w:pPr>
              <w:spacing w:line="300" w:lineRule="exact"/>
              <w:ind w:firstLine="0" w:firstLineChars="0"/>
              <w:jc w:val="center"/>
              <w:rPr>
                <w:rFonts w:ascii="Times New Roman" w:hAnsi="宋体" w:eastAsia="宋体" w:cs="Times New Roman"/>
                <w:color w:val="auto"/>
                <w:sz w:val="21"/>
                <w:szCs w:val="21"/>
              </w:rPr>
            </w:pPr>
            <w:r>
              <w:rPr>
                <w:rFonts w:ascii="Times New Roman" w:hAnsi="宋体" w:eastAsia="宋体" w:cs="Times New Roman"/>
                <w:color w:val="auto"/>
                <w:sz w:val="21"/>
                <w:szCs w:val="21"/>
              </w:rPr>
              <w:t>实际不可能。</w:t>
            </w:r>
          </w:p>
        </w:tc>
      </w:tr>
    </w:tbl>
    <w:p w14:paraId="7969D613">
      <w:pPr>
        <w:bidi w:val="0"/>
        <w:rPr>
          <w:rFonts w:hint="default"/>
          <w:color w:val="auto"/>
          <w:lang w:val="en-US" w:eastAsia="zh-CN"/>
        </w:rPr>
      </w:pPr>
      <w:r>
        <w:rPr>
          <w:rFonts w:hint="default"/>
          <w:color w:val="auto"/>
          <w:lang w:val="en-US" w:eastAsia="zh-CN"/>
        </w:rPr>
        <w:t>当确定暴露于危险环境的频繁程度（E）时，人员出现在危险环境中的时间越多，则危险性越大，规定连续出现在危险环境的情况定为10，而非常罕见地出现在危险环境中定为0.5，介于两者之间的各种情况规定若干个中间值，如表5</w:t>
      </w:r>
      <w:r>
        <w:rPr>
          <w:rFonts w:hint="eastAsia"/>
          <w:color w:val="auto"/>
          <w:lang w:val="en-US" w:eastAsia="zh-CN"/>
        </w:rPr>
        <w:t>.3</w:t>
      </w:r>
      <w:r>
        <w:rPr>
          <w:rFonts w:hint="default"/>
          <w:color w:val="auto"/>
          <w:lang w:val="en-US" w:eastAsia="zh-CN"/>
        </w:rPr>
        <w:t>-</w:t>
      </w:r>
      <w:r>
        <w:rPr>
          <w:rFonts w:hint="eastAsia"/>
          <w:color w:val="auto"/>
          <w:lang w:val="en-US" w:eastAsia="zh-CN"/>
        </w:rPr>
        <w:t>6</w:t>
      </w:r>
      <w:r>
        <w:rPr>
          <w:rFonts w:hint="default"/>
          <w:color w:val="auto"/>
          <w:lang w:val="en-US" w:eastAsia="zh-CN"/>
        </w:rPr>
        <w:t>。</w:t>
      </w:r>
    </w:p>
    <w:p w14:paraId="7DBDDDF0">
      <w:pPr>
        <w:bidi w:val="0"/>
        <w:ind w:left="0" w:leftChars="0" w:firstLine="0" w:firstLineChars="0"/>
        <w:jc w:val="center"/>
        <w:rPr>
          <w:rFonts w:hint="eastAsia"/>
          <w:color w:val="auto"/>
          <w:lang w:val="en-US" w:eastAsia="zh-CN"/>
        </w:rPr>
      </w:pPr>
      <w:r>
        <w:rPr>
          <w:rFonts w:hint="default"/>
          <w:color w:val="auto"/>
          <w:lang w:val="en-US" w:eastAsia="zh-CN"/>
        </w:rPr>
        <w:t>表5</w:t>
      </w:r>
      <w:r>
        <w:rPr>
          <w:rFonts w:hint="eastAsia"/>
          <w:color w:val="auto"/>
          <w:lang w:val="en-US" w:eastAsia="zh-CN"/>
        </w:rPr>
        <w:t>.3</w:t>
      </w:r>
      <w:r>
        <w:rPr>
          <w:rFonts w:hint="default"/>
          <w:color w:val="auto"/>
          <w:lang w:val="en-US" w:eastAsia="zh-CN"/>
        </w:rPr>
        <w:t>-</w:t>
      </w:r>
      <w:r>
        <w:rPr>
          <w:rFonts w:hint="eastAsia"/>
          <w:color w:val="auto"/>
          <w:lang w:val="en-US" w:eastAsia="zh-CN"/>
        </w:rPr>
        <w:t>6 暴露于危险环境频率E的分值</w:t>
      </w:r>
    </w:p>
    <w:tbl>
      <w:tblPr>
        <w:tblStyle w:val="1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206"/>
        <w:gridCol w:w="4554"/>
      </w:tblGrid>
      <w:tr w14:paraId="6DE68D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2" w:hRule="exact"/>
          <w:jc w:val="center"/>
        </w:trPr>
        <w:tc>
          <w:tcPr>
            <w:tcW w:w="2206" w:type="dxa"/>
            <w:noWrap w:val="0"/>
            <w:vAlign w:val="center"/>
          </w:tcPr>
          <w:p w14:paraId="249CFBE5">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E</w:t>
            </w:r>
            <w:r>
              <w:rPr>
                <w:rFonts w:ascii="Times New Roman" w:hAnsi="宋体" w:eastAsia="宋体" w:cs="Times New Roman"/>
                <w:color w:val="auto"/>
                <w:sz w:val="21"/>
                <w:szCs w:val="21"/>
              </w:rPr>
              <w:t>分数值</w:t>
            </w:r>
          </w:p>
        </w:tc>
        <w:tc>
          <w:tcPr>
            <w:tcW w:w="4554" w:type="dxa"/>
            <w:noWrap w:val="0"/>
            <w:vAlign w:val="center"/>
          </w:tcPr>
          <w:p w14:paraId="1E8B49B9">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人员暴露于危险环境的频繁程度</w:t>
            </w:r>
          </w:p>
        </w:tc>
      </w:tr>
      <w:tr w14:paraId="0E8BC4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2" w:hRule="exact"/>
          <w:jc w:val="center"/>
        </w:trPr>
        <w:tc>
          <w:tcPr>
            <w:tcW w:w="2206" w:type="dxa"/>
            <w:noWrap w:val="0"/>
            <w:vAlign w:val="center"/>
          </w:tcPr>
          <w:p w14:paraId="3E042BB0">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10</w:t>
            </w:r>
          </w:p>
        </w:tc>
        <w:tc>
          <w:tcPr>
            <w:tcW w:w="4554" w:type="dxa"/>
            <w:noWrap w:val="0"/>
            <w:vAlign w:val="center"/>
          </w:tcPr>
          <w:p w14:paraId="750712E1">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连续暴露</w:t>
            </w:r>
          </w:p>
        </w:tc>
      </w:tr>
      <w:tr w14:paraId="09A929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1" w:hRule="exact"/>
          <w:jc w:val="center"/>
        </w:trPr>
        <w:tc>
          <w:tcPr>
            <w:tcW w:w="2206" w:type="dxa"/>
            <w:noWrap w:val="0"/>
            <w:vAlign w:val="center"/>
          </w:tcPr>
          <w:p w14:paraId="0E830822">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6</w:t>
            </w:r>
          </w:p>
        </w:tc>
        <w:tc>
          <w:tcPr>
            <w:tcW w:w="4554" w:type="dxa"/>
            <w:noWrap w:val="0"/>
            <w:vAlign w:val="center"/>
          </w:tcPr>
          <w:p w14:paraId="11215A7C">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每天工作时间内暴露</w:t>
            </w:r>
          </w:p>
        </w:tc>
      </w:tr>
      <w:tr w14:paraId="0A85EF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0" w:hRule="exact"/>
          <w:jc w:val="center"/>
        </w:trPr>
        <w:tc>
          <w:tcPr>
            <w:tcW w:w="2206" w:type="dxa"/>
            <w:noWrap w:val="0"/>
            <w:vAlign w:val="center"/>
          </w:tcPr>
          <w:p w14:paraId="12E0389B">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4554" w:type="dxa"/>
            <w:noWrap w:val="0"/>
            <w:vAlign w:val="center"/>
          </w:tcPr>
          <w:p w14:paraId="27D711CA">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每周一次，或偶然暴露</w:t>
            </w:r>
          </w:p>
        </w:tc>
      </w:tr>
      <w:tr w14:paraId="42F738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6" w:hRule="exact"/>
          <w:jc w:val="center"/>
        </w:trPr>
        <w:tc>
          <w:tcPr>
            <w:tcW w:w="2206" w:type="dxa"/>
            <w:noWrap w:val="0"/>
            <w:vAlign w:val="center"/>
          </w:tcPr>
          <w:p w14:paraId="25F594BF">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w:t>
            </w:r>
          </w:p>
        </w:tc>
        <w:tc>
          <w:tcPr>
            <w:tcW w:w="4554" w:type="dxa"/>
            <w:noWrap w:val="0"/>
            <w:vAlign w:val="center"/>
          </w:tcPr>
          <w:p w14:paraId="20FD46FD">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每月一次</w:t>
            </w:r>
          </w:p>
        </w:tc>
      </w:tr>
      <w:tr w14:paraId="63ABE0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2" w:hRule="exact"/>
          <w:jc w:val="center"/>
        </w:trPr>
        <w:tc>
          <w:tcPr>
            <w:tcW w:w="2206" w:type="dxa"/>
            <w:noWrap w:val="0"/>
            <w:vAlign w:val="center"/>
          </w:tcPr>
          <w:p w14:paraId="1CCAD99A">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4554" w:type="dxa"/>
            <w:noWrap w:val="0"/>
            <w:vAlign w:val="center"/>
          </w:tcPr>
          <w:p w14:paraId="0DE08CF9">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每年几次暴露</w:t>
            </w:r>
          </w:p>
        </w:tc>
      </w:tr>
      <w:tr w14:paraId="1D769B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3" w:hRule="exact"/>
          <w:jc w:val="center"/>
        </w:trPr>
        <w:tc>
          <w:tcPr>
            <w:tcW w:w="2206" w:type="dxa"/>
            <w:noWrap w:val="0"/>
            <w:vAlign w:val="center"/>
          </w:tcPr>
          <w:p w14:paraId="5F1E4A87">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0.5</w:t>
            </w:r>
          </w:p>
        </w:tc>
        <w:tc>
          <w:tcPr>
            <w:tcW w:w="4554" w:type="dxa"/>
            <w:noWrap w:val="0"/>
            <w:vAlign w:val="center"/>
          </w:tcPr>
          <w:p w14:paraId="506A083D">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非常罕见的暴露</w:t>
            </w:r>
          </w:p>
        </w:tc>
      </w:tr>
    </w:tbl>
    <w:p w14:paraId="1CE39E39">
      <w:pPr>
        <w:bidi w:val="0"/>
        <w:rPr>
          <w:rFonts w:hint="default"/>
          <w:color w:val="auto"/>
          <w:lang w:val="en-US" w:eastAsia="zh-CN"/>
        </w:rPr>
      </w:pPr>
      <w:r>
        <w:rPr>
          <w:rFonts w:hint="default"/>
          <w:color w:val="auto"/>
          <w:lang w:val="en-US" w:eastAsia="zh-CN"/>
        </w:rPr>
        <w:t>关于发生事故产生的后果（C），由于事故造成的人身伤害与财产损失变化范围很大，因此规定其分数值为1～100，把需要救护的轻微损伤或较小财产损失的分数规定为1，把造成多人死亡或重大财产损失的可能性分数规定为100，其他情况的数值均为1与100之间，如表5</w:t>
      </w:r>
      <w:r>
        <w:rPr>
          <w:rFonts w:hint="eastAsia"/>
          <w:color w:val="auto"/>
          <w:lang w:val="en-US" w:eastAsia="zh-CN"/>
        </w:rPr>
        <w:t>.3</w:t>
      </w:r>
      <w:r>
        <w:rPr>
          <w:rFonts w:hint="default"/>
          <w:color w:val="auto"/>
          <w:lang w:val="en-US" w:eastAsia="zh-CN"/>
        </w:rPr>
        <w:t>-</w:t>
      </w:r>
      <w:r>
        <w:rPr>
          <w:rFonts w:hint="eastAsia"/>
          <w:color w:val="auto"/>
          <w:lang w:val="en-US" w:eastAsia="zh-CN"/>
        </w:rPr>
        <w:t>7</w:t>
      </w:r>
      <w:r>
        <w:rPr>
          <w:rFonts w:hint="default"/>
          <w:color w:val="auto"/>
          <w:lang w:val="en-US" w:eastAsia="zh-CN"/>
        </w:rPr>
        <w:t>、表5</w:t>
      </w:r>
      <w:r>
        <w:rPr>
          <w:rFonts w:hint="eastAsia"/>
          <w:color w:val="auto"/>
          <w:lang w:val="en-US" w:eastAsia="zh-CN"/>
        </w:rPr>
        <w:t>.3</w:t>
      </w:r>
      <w:r>
        <w:rPr>
          <w:rFonts w:hint="default"/>
          <w:color w:val="auto"/>
          <w:lang w:val="en-US" w:eastAsia="zh-CN"/>
        </w:rPr>
        <w:t>-</w:t>
      </w:r>
      <w:r>
        <w:rPr>
          <w:rFonts w:hint="eastAsia"/>
          <w:color w:val="auto"/>
          <w:lang w:val="en-US" w:eastAsia="zh-CN"/>
        </w:rPr>
        <w:t>8</w:t>
      </w:r>
      <w:r>
        <w:rPr>
          <w:rFonts w:hint="default"/>
          <w:color w:val="auto"/>
          <w:lang w:val="en-US" w:eastAsia="zh-CN"/>
        </w:rPr>
        <w:t>。</w:t>
      </w:r>
    </w:p>
    <w:p w14:paraId="6CF50A8D">
      <w:pPr>
        <w:bidi w:val="0"/>
        <w:ind w:left="0" w:leftChars="0" w:firstLine="0" w:firstLineChars="0"/>
        <w:jc w:val="center"/>
        <w:rPr>
          <w:rFonts w:hint="default"/>
          <w:color w:val="auto"/>
          <w:lang w:val="en-US" w:eastAsia="zh-CN"/>
        </w:rPr>
      </w:pPr>
      <w:r>
        <w:rPr>
          <w:rFonts w:hint="default"/>
          <w:color w:val="auto"/>
          <w:lang w:val="en-US" w:eastAsia="zh-CN"/>
        </w:rPr>
        <w:t>表5</w:t>
      </w:r>
      <w:r>
        <w:rPr>
          <w:rFonts w:hint="eastAsia"/>
          <w:color w:val="auto"/>
          <w:lang w:val="en-US" w:eastAsia="zh-CN"/>
        </w:rPr>
        <w:t>.3</w:t>
      </w:r>
      <w:r>
        <w:rPr>
          <w:rFonts w:hint="default"/>
          <w:color w:val="auto"/>
          <w:lang w:val="en-US" w:eastAsia="zh-CN"/>
        </w:rPr>
        <w:t>-</w:t>
      </w:r>
      <w:r>
        <w:rPr>
          <w:rFonts w:hint="eastAsia"/>
          <w:color w:val="auto"/>
          <w:lang w:val="en-US" w:eastAsia="zh-CN"/>
        </w:rPr>
        <w:t xml:space="preserve">7 </w:t>
      </w:r>
      <w:r>
        <w:rPr>
          <w:rFonts w:hint="default"/>
          <w:color w:val="auto"/>
          <w:lang w:val="en-US" w:eastAsia="zh-CN"/>
        </w:rPr>
        <w:t>发生事故事件偏差产生的后果严重性C值</w:t>
      </w:r>
    </w:p>
    <w:tbl>
      <w:tblPr>
        <w:tblStyle w:val="1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746"/>
        <w:gridCol w:w="4554"/>
      </w:tblGrid>
      <w:tr w14:paraId="4B085A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3" w:hRule="exact"/>
          <w:jc w:val="center"/>
        </w:trPr>
        <w:tc>
          <w:tcPr>
            <w:tcW w:w="2746" w:type="dxa"/>
            <w:noWrap w:val="0"/>
            <w:vAlign w:val="center"/>
          </w:tcPr>
          <w:p w14:paraId="6E41A115">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C分数值</w:t>
            </w:r>
          </w:p>
        </w:tc>
        <w:tc>
          <w:tcPr>
            <w:tcW w:w="4554" w:type="dxa"/>
            <w:noWrap w:val="0"/>
            <w:vAlign w:val="center"/>
          </w:tcPr>
          <w:p w14:paraId="39E6A66F">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发生事故产生的后果</w:t>
            </w:r>
          </w:p>
        </w:tc>
      </w:tr>
      <w:tr w14:paraId="63B46D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1" w:hRule="exact"/>
          <w:jc w:val="center"/>
        </w:trPr>
        <w:tc>
          <w:tcPr>
            <w:tcW w:w="2746" w:type="dxa"/>
            <w:noWrap w:val="0"/>
            <w:vAlign w:val="center"/>
          </w:tcPr>
          <w:p w14:paraId="5983C6DF">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100</w:t>
            </w:r>
          </w:p>
        </w:tc>
        <w:tc>
          <w:tcPr>
            <w:tcW w:w="4554" w:type="dxa"/>
            <w:noWrap w:val="0"/>
            <w:vAlign w:val="center"/>
          </w:tcPr>
          <w:p w14:paraId="3957E73C">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大灾难，许多人死亡</w:t>
            </w:r>
          </w:p>
        </w:tc>
      </w:tr>
      <w:tr w14:paraId="5328E0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5" w:hRule="exact"/>
          <w:jc w:val="center"/>
        </w:trPr>
        <w:tc>
          <w:tcPr>
            <w:tcW w:w="2746" w:type="dxa"/>
            <w:noWrap w:val="0"/>
            <w:vAlign w:val="center"/>
          </w:tcPr>
          <w:p w14:paraId="1F567F70">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40</w:t>
            </w:r>
          </w:p>
        </w:tc>
        <w:tc>
          <w:tcPr>
            <w:tcW w:w="4554" w:type="dxa"/>
            <w:noWrap w:val="0"/>
            <w:vAlign w:val="center"/>
          </w:tcPr>
          <w:p w14:paraId="7F7916E6">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灾难，数人死亡</w:t>
            </w:r>
          </w:p>
        </w:tc>
      </w:tr>
      <w:tr w14:paraId="720514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04" w:hRule="exact"/>
          <w:jc w:val="center"/>
        </w:trPr>
        <w:tc>
          <w:tcPr>
            <w:tcW w:w="2746" w:type="dxa"/>
            <w:noWrap w:val="0"/>
            <w:vAlign w:val="center"/>
          </w:tcPr>
          <w:p w14:paraId="65290259">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15</w:t>
            </w:r>
          </w:p>
        </w:tc>
        <w:tc>
          <w:tcPr>
            <w:tcW w:w="4554" w:type="dxa"/>
            <w:noWrap w:val="0"/>
            <w:vAlign w:val="center"/>
          </w:tcPr>
          <w:p w14:paraId="5D40A619">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非常严重，一人死亡</w:t>
            </w:r>
          </w:p>
        </w:tc>
      </w:tr>
      <w:tr w14:paraId="490AAD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9" w:hRule="exact"/>
          <w:jc w:val="center"/>
        </w:trPr>
        <w:tc>
          <w:tcPr>
            <w:tcW w:w="2746" w:type="dxa"/>
            <w:noWrap w:val="0"/>
            <w:vAlign w:val="center"/>
          </w:tcPr>
          <w:p w14:paraId="121221DB">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7</w:t>
            </w:r>
          </w:p>
        </w:tc>
        <w:tc>
          <w:tcPr>
            <w:tcW w:w="4554" w:type="dxa"/>
            <w:noWrap w:val="0"/>
            <w:vAlign w:val="center"/>
          </w:tcPr>
          <w:p w14:paraId="5C10A566">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严重，重伤</w:t>
            </w:r>
          </w:p>
        </w:tc>
      </w:tr>
      <w:tr w14:paraId="31CE0F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3" w:hRule="exact"/>
          <w:jc w:val="center"/>
        </w:trPr>
        <w:tc>
          <w:tcPr>
            <w:tcW w:w="2746" w:type="dxa"/>
            <w:noWrap w:val="0"/>
            <w:vAlign w:val="center"/>
          </w:tcPr>
          <w:p w14:paraId="1D21222E">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4554" w:type="dxa"/>
            <w:noWrap w:val="0"/>
            <w:vAlign w:val="center"/>
          </w:tcPr>
          <w:p w14:paraId="2E4D23E4">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重大，伤残</w:t>
            </w:r>
          </w:p>
        </w:tc>
      </w:tr>
      <w:tr w14:paraId="787F10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7" w:hRule="exact"/>
          <w:jc w:val="center"/>
        </w:trPr>
        <w:tc>
          <w:tcPr>
            <w:tcW w:w="2746" w:type="dxa"/>
            <w:noWrap w:val="0"/>
            <w:vAlign w:val="center"/>
          </w:tcPr>
          <w:p w14:paraId="431CD413">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4554" w:type="dxa"/>
            <w:noWrap w:val="0"/>
            <w:vAlign w:val="center"/>
          </w:tcPr>
          <w:p w14:paraId="1F4DC323">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引人注目，需要救护</w:t>
            </w:r>
          </w:p>
        </w:tc>
      </w:tr>
    </w:tbl>
    <w:p w14:paraId="7D016636">
      <w:pPr>
        <w:bidi w:val="0"/>
        <w:ind w:left="0" w:leftChars="0" w:firstLine="0" w:firstLineChars="0"/>
        <w:jc w:val="center"/>
        <w:rPr>
          <w:rFonts w:hint="default"/>
          <w:color w:val="auto"/>
          <w:lang w:val="en-US" w:eastAsia="zh-CN"/>
        </w:rPr>
      </w:pPr>
      <w:r>
        <w:rPr>
          <w:rFonts w:hint="default"/>
          <w:color w:val="auto"/>
          <w:lang w:val="en-US" w:eastAsia="zh-CN"/>
        </w:rPr>
        <w:t>表5</w:t>
      </w:r>
      <w:r>
        <w:rPr>
          <w:rFonts w:hint="eastAsia"/>
          <w:color w:val="auto"/>
          <w:lang w:val="en-US" w:eastAsia="zh-CN"/>
        </w:rPr>
        <w:t>.3</w:t>
      </w:r>
      <w:r>
        <w:rPr>
          <w:rFonts w:hint="default"/>
          <w:color w:val="auto"/>
          <w:lang w:val="en-US" w:eastAsia="zh-CN"/>
        </w:rPr>
        <w:t>-</w:t>
      </w:r>
      <w:r>
        <w:rPr>
          <w:rFonts w:hint="eastAsia"/>
          <w:color w:val="auto"/>
          <w:lang w:val="en-US" w:eastAsia="zh-CN"/>
        </w:rPr>
        <w:t xml:space="preserve">8 </w:t>
      </w:r>
      <w:r>
        <w:rPr>
          <w:rFonts w:hint="default"/>
          <w:color w:val="auto"/>
          <w:lang w:val="en-US" w:eastAsia="zh-CN"/>
        </w:rPr>
        <w:t>发生事故事件偏差产生的后果严重性（C）判别准则</w:t>
      </w:r>
    </w:p>
    <w:tbl>
      <w:tblPr>
        <w:tblStyle w:val="19"/>
        <w:tblW w:w="9900" w:type="dxa"/>
        <w:tblInd w:w="-432" w:type="dxa"/>
        <w:tblLayout w:type="fixed"/>
        <w:tblCellMar>
          <w:top w:w="0" w:type="dxa"/>
          <w:left w:w="10" w:type="dxa"/>
          <w:bottom w:w="0" w:type="dxa"/>
          <w:right w:w="10" w:type="dxa"/>
        </w:tblCellMar>
      </w:tblPr>
      <w:tblGrid>
        <w:gridCol w:w="720"/>
        <w:gridCol w:w="2160"/>
        <w:gridCol w:w="1980"/>
        <w:gridCol w:w="1840"/>
        <w:gridCol w:w="1080"/>
        <w:gridCol w:w="2120"/>
      </w:tblGrid>
      <w:tr w14:paraId="261483DF">
        <w:tblPrEx>
          <w:tblCellMar>
            <w:top w:w="0" w:type="dxa"/>
            <w:left w:w="10" w:type="dxa"/>
            <w:bottom w:w="0" w:type="dxa"/>
            <w:right w:w="10" w:type="dxa"/>
          </w:tblCellMar>
        </w:tblPrEx>
        <w:trPr>
          <w:trHeight w:val="325" w:hRule="atLeast"/>
        </w:trPr>
        <w:tc>
          <w:tcPr>
            <w:tcW w:w="72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258F1BE1">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分值</w:t>
            </w:r>
          </w:p>
        </w:tc>
        <w:tc>
          <w:tcPr>
            <w:tcW w:w="216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2A903295">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法律法规及其他要求</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3AFD03F4">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人员伤亡</w:t>
            </w:r>
          </w:p>
        </w:tc>
        <w:tc>
          <w:tcPr>
            <w:tcW w:w="184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6C626084">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财产损失（万元）</w:t>
            </w:r>
          </w:p>
        </w:tc>
        <w:tc>
          <w:tcPr>
            <w:tcW w:w="108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2BABAFCF">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停工</w:t>
            </w:r>
          </w:p>
        </w:tc>
        <w:tc>
          <w:tcPr>
            <w:tcW w:w="212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15CFB812">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企业形象</w:t>
            </w:r>
          </w:p>
        </w:tc>
      </w:tr>
      <w:tr w14:paraId="2247413B">
        <w:tblPrEx>
          <w:tblCellMar>
            <w:top w:w="0" w:type="dxa"/>
            <w:left w:w="10" w:type="dxa"/>
            <w:bottom w:w="0" w:type="dxa"/>
            <w:right w:w="10" w:type="dxa"/>
          </w:tblCellMar>
        </w:tblPrEx>
        <w:trPr>
          <w:trHeight w:val="412" w:hRule="atLeast"/>
        </w:trPr>
        <w:tc>
          <w:tcPr>
            <w:tcW w:w="72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160396EB">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100</w:t>
            </w:r>
          </w:p>
        </w:tc>
        <w:tc>
          <w:tcPr>
            <w:tcW w:w="216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06570F80">
            <w:pPr>
              <w:spacing w:line="300" w:lineRule="exact"/>
              <w:ind w:firstLine="0" w:firstLineChars="0"/>
              <w:jc w:val="left"/>
              <w:rPr>
                <w:rFonts w:ascii="Times New Roman" w:hAnsi="Times New Roman" w:eastAsia="宋体" w:cs="Times New Roman"/>
                <w:color w:val="auto"/>
                <w:sz w:val="21"/>
                <w:szCs w:val="21"/>
              </w:rPr>
            </w:pPr>
            <w:r>
              <w:rPr>
                <w:rFonts w:ascii="Times New Roman" w:hAnsi="宋体" w:eastAsia="宋体" w:cs="Times New Roman"/>
                <w:color w:val="auto"/>
                <w:sz w:val="21"/>
                <w:szCs w:val="21"/>
              </w:rPr>
              <w:t>严重违反法律法规和标准。</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3602BE20">
            <w:pPr>
              <w:spacing w:line="300" w:lineRule="exact"/>
              <w:ind w:firstLine="0" w:firstLineChars="0"/>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10</w:t>
            </w:r>
            <w:r>
              <w:rPr>
                <w:rFonts w:ascii="Times New Roman" w:hAnsi="宋体" w:eastAsia="宋体" w:cs="Times New Roman"/>
                <w:color w:val="auto"/>
                <w:sz w:val="21"/>
                <w:szCs w:val="21"/>
              </w:rPr>
              <w:t>人以上死亡，或</w:t>
            </w:r>
            <w:r>
              <w:rPr>
                <w:rFonts w:ascii="Times New Roman" w:hAnsi="Times New Roman" w:eastAsia="宋体" w:cs="Times New Roman"/>
                <w:color w:val="auto"/>
                <w:sz w:val="21"/>
                <w:szCs w:val="21"/>
              </w:rPr>
              <w:t>50</w:t>
            </w:r>
            <w:r>
              <w:rPr>
                <w:rFonts w:ascii="Times New Roman" w:hAnsi="宋体" w:eastAsia="宋体" w:cs="Times New Roman"/>
                <w:color w:val="auto"/>
                <w:sz w:val="21"/>
                <w:szCs w:val="21"/>
              </w:rPr>
              <w:t>人以上重伤。</w:t>
            </w:r>
          </w:p>
        </w:tc>
        <w:tc>
          <w:tcPr>
            <w:tcW w:w="184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27ABA8C7">
            <w:pPr>
              <w:spacing w:line="300" w:lineRule="exact"/>
              <w:ind w:firstLine="0" w:firstLineChars="0"/>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5000</w:t>
            </w:r>
            <w:r>
              <w:rPr>
                <w:rFonts w:ascii="Times New Roman" w:hAnsi="宋体" w:eastAsia="宋体" w:cs="Times New Roman"/>
                <w:color w:val="auto"/>
                <w:sz w:val="21"/>
                <w:szCs w:val="21"/>
              </w:rPr>
              <w:t>万以上直接经济损失。</w:t>
            </w:r>
          </w:p>
        </w:tc>
        <w:tc>
          <w:tcPr>
            <w:tcW w:w="108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1756F52A">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停产</w:t>
            </w:r>
          </w:p>
        </w:tc>
        <w:tc>
          <w:tcPr>
            <w:tcW w:w="212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2A14320B">
            <w:pPr>
              <w:spacing w:line="300" w:lineRule="exact"/>
              <w:ind w:firstLine="0" w:firstLineChars="0"/>
              <w:rPr>
                <w:rFonts w:ascii="Times New Roman" w:hAnsi="Times New Roman" w:eastAsia="宋体" w:cs="Times New Roman"/>
                <w:color w:val="auto"/>
                <w:sz w:val="21"/>
                <w:szCs w:val="21"/>
              </w:rPr>
            </w:pPr>
            <w:r>
              <w:rPr>
                <w:rFonts w:ascii="Times New Roman" w:hAnsi="宋体" w:eastAsia="宋体" w:cs="Times New Roman"/>
                <w:color w:val="auto"/>
                <w:sz w:val="21"/>
                <w:szCs w:val="21"/>
              </w:rPr>
              <w:t>重大国际、国内影响。</w:t>
            </w:r>
          </w:p>
        </w:tc>
      </w:tr>
      <w:tr w14:paraId="244AC6EC">
        <w:tblPrEx>
          <w:tblCellMar>
            <w:top w:w="0" w:type="dxa"/>
            <w:left w:w="10" w:type="dxa"/>
            <w:bottom w:w="0" w:type="dxa"/>
            <w:right w:w="10" w:type="dxa"/>
          </w:tblCellMar>
        </w:tblPrEx>
        <w:trPr>
          <w:trHeight w:val="383" w:hRule="atLeast"/>
        </w:trPr>
        <w:tc>
          <w:tcPr>
            <w:tcW w:w="72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412AAD2B">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40</w:t>
            </w:r>
          </w:p>
        </w:tc>
        <w:tc>
          <w:tcPr>
            <w:tcW w:w="216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1539D842">
            <w:pPr>
              <w:spacing w:line="300" w:lineRule="exact"/>
              <w:ind w:firstLine="0" w:firstLineChars="0"/>
              <w:jc w:val="left"/>
              <w:rPr>
                <w:rFonts w:ascii="Times New Roman" w:hAnsi="Times New Roman" w:eastAsia="宋体" w:cs="Times New Roman"/>
                <w:color w:val="auto"/>
                <w:sz w:val="21"/>
                <w:szCs w:val="21"/>
              </w:rPr>
            </w:pPr>
            <w:r>
              <w:rPr>
                <w:rFonts w:ascii="Times New Roman" w:hAnsi="宋体" w:eastAsia="宋体" w:cs="Times New Roman"/>
                <w:color w:val="auto"/>
                <w:sz w:val="21"/>
                <w:szCs w:val="21"/>
              </w:rPr>
              <w:t>违反法律法规和标准。</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5E6EC631">
            <w:pPr>
              <w:spacing w:line="300" w:lineRule="exact"/>
              <w:ind w:firstLine="0" w:firstLineChars="0"/>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r>
              <w:rPr>
                <w:rFonts w:ascii="Times New Roman" w:hAnsi="宋体" w:eastAsia="宋体" w:cs="Times New Roman"/>
                <w:color w:val="auto"/>
                <w:sz w:val="21"/>
                <w:szCs w:val="21"/>
              </w:rPr>
              <w:t>人以上</w:t>
            </w:r>
            <w:r>
              <w:rPr>
                <w:rFonts w:ascii="Times New Roman" w:hAnsi="Times New Roman" w:eastAsia="宋体" w:cs="Times New Roman"/>
                <w:color w:val="auto"/>
                <w:sz w:val="21"/>
                <w:szCs w:val="21"/>
              </w:rPr>
              <w:t>10</w:t>
            </w:r>
            <w:r>
              <w:rPr>
                <w:rFonts w:ascii="Times New Roman" w:hAnsi="宋体" w:eastAsia="宋体" w:cs="Times New Roman"/>
                <w:color w:val="auto"/>
                <w:sz w:val="21"/>
                <w:szCs w:val="21"/>
              </w:rPr>
              <w:t>人以下死亡，或</w:t>
            </w:r>
            <w:r>
              <w:rPr>
                <w:rFonts w:ascii="Times New Roman" w:hAnsi="Times New Roman" w:eastAsia="宋体" w:cs="Times New Roman"/>
                <w:color w:val="auto"/>
                <w:sz w:val="21"/>
                <w:szCs w:val="21"/>
              </w:rPr>
              <w:t>10</w:t>
            </w:r>
            <w:r>
              <w:rPr>
                <w:rFonts w:ascii="Times New Roman" w:hAnsi="宋体" w:eastAsia="宋体" w:cs="Times New Roman"/>
                <w:color w:val="auto"/>
                <w:sz w:val="21"/>
                <w:szCs w:val="21"/>
              </w:rPr>
              <w:t>人以上</w:t>
            </w:r>
            <w:r>
              <w:rPr>
                <w:rFonts w:ascii="Times New Roman" w:hAnsi="Times New Roman" w:eastAsia="宋体" w:cs="Times New Roman"/>
                <w:color w:val="auto"/>
                <w:sz w:val="21"/>
                <w:szCs w:val="21"/>
              </w:rPr>
              <w:t>50</w:t>
            </w:r>
            <w:r>
              <w:rPr>
                <w:rFonts w:ascii="Times New Roman" w:hAnsi="宋体" w:eastAsia="宋体" w:cs="Times New Roman"/>
                <w:color w:val="auto"/>
                <w:sz w:val="21"/>
                <w:szCs w:val="21"/>
              </w:rPr>
              <w:t>人以下重伤。</w:t>
            </w:r>
          </w:p>
        </w:tc>
        <w:tc>
          <w:tcPr>
            <w:tcW w:w="184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27B4BB71">
            <w:pPr>
              <w:spacing w:line="300" w:lineRule="exact"/>
              <w:ind w:firstLine="0" w:firstLineChars="0"/>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1000</w:t>
            </w:r>
            <w:r>
              <w:rPr>
                <w:rFonts w:ascii="Times New Roman" w:hAnsi="宋体" w:eastAsia="宋体" w:cs="Times New Roman"/>
                <w:color w:val="auto"/>
                <w:sz w:val="21"/>
                <w:szCs w:val="21"/>
              </w:rPr>
              <w:t>万以上</w:t>
            </w:r>
            <w:r>
              <w:rPr>
                <w:rFonts w:ascii="Times New Roman" w:hAnsi="Times New Roman" w:eastAsia="宋体" w:cs="Times New Roman"/>
                <w:color w:val="auto"/>
                <w:sz w:val="21"/>
                <w:szCs w:val="21"/>
              </w:rPr>
              <w:t>5000</w:t>
            </w:r>
            <w:r>
              <w:rPr>
                <w:rFonts w:ascii="Times New Roman" w:hAnsi="宋体" w:eastAsia="宋体" w:cs="Times New Roman"/>
                <w:color w:val="auto"/>
                <w:sz w:val="21"/>
                <w:szCs w:val="21"/>
              </w:rPr>
              <w:t>万以下直接经济损失。</w:t>
            </w:r>
          </w:p>
        </w:tc>
        <w:tc>
          <w:tcPr>
            <w:tcW w:w="108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793145D1">
            <w:pPr>
              <w:spacing w:line="300" w:lineRule="exact"/>
              <w:ind w:firstLine="0" w:firstLineChars="0"/>
              <w:rPr>
                <w:rFonts w:ascii="Times New Roman" w:hAnsi="Times New Roman" w:eastAsia="宋体" w:cs="Times New Roman"/>
                <w:color w:val="auto"/>
                <w:sz w:val="21"/>
                <w:szCs w:val="21"/>
              </w:rPr>
            </w:pPr>
            <w:r>
              <w:rPr>
                <w:rFonts w:ascii="Times New Roman" w:hAnsi="宋体" w:eastAsia="宋体" w:cs="Times New Roman"/>
                <w:color w:val="auto"/>
                <w:sz w:val="21"/>
                <w:szCs w:val="21"/>
              </w:rPr>
              <w:t>装置停工</w:t>
            </w:r>
          </w:p>
        </w:tc>
        <w:tc>
          <w:tcPr>
            <w:tcW w:w="212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03448AF6">
            <w:pPr>
              <w:spacing w:line="300" w:lineRule="exact"/>
              <w:ind w:firstLine="0" w:firstLineChars="0"/>
              <w:rPr>
                <w:rFonts w:ascii="Times New Roman" w:hAnsi="Times New Roman" w:eastAsia="宋体" w:cs="Times New Roman"/>
                <w:color w:val="auto"/>
                <w:sz w:val="21"/>
                <w:szCs w:val="21"/>
              </w:rPr>
            </w:pPr>
            <w:r>
              <w:rPr>
                <w:rFonts w:ascii="Times New Roman" w:hAnsi="宋体" w:eastAsia="宋体" w:cs="Times New Roman"/>
                <w:color w:val="auto"/>
                <w:sz w:val="21"/>
                <w:szCs w:val="21"/>
              </w:rPr>
              <w:t>行业内、省内影响。</w:t>
            </w:r>
          </w:p>
        </w:tc>
      </w:tr>
      <w:tr w14:paraId="5FE028DB">
        <w:tblPrEx>
          <w:tblCellMar>
            <w:top w:w="0" w:type="dxa"/>
            <w:left w:w="10" w:type="dxa"/>
            <w:bottom w:w="0" w:type="dxa"/>
            <w:right w:w="10" w:type="dxa"/>
          </w:tblCellMar>
        </w:tblPrEx>
        <w:trPr>
          <w:trHeight w:val="569" w:hRule="atLeast"/>
        </w:trPr>
        <w:tc>
          <w:tcPr>
            <w:tcW w:w="72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503FBAAA">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15</w:t>
            </w:r>
          </w:p>
        </w:tc>
        <w:tc>
          <w:tcPr>
            <w:tcW w:w="216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7DAC25D4">
            <w:pPr>
              <w:spacing w:line="300" w:lineRule="exact"/>
              <w:ind w:firstLine="0" w:firstLineChars="0"/>
              <w:jc w:val="left"/>
              <w:rPr>
                <w:rFonts w:ascii="Times New Roman" w:hAnsi="Times New Roman" w:eastAsia="宋体" w:cs="Times New Roman"/>
                <w:color w:val="auto"/>
                <w:sz w:val="21"/>
                <w:szCs w:val="21"/>
              </w:rPr>
            </w:pPr>
            <w:r>
              <w:rPr>
                <w:rFonts w:ascii="Times New Roman" w:hAnsi="宋体" w:eastAsia="宋体" w:cs="Times New Roman"/>
                <w:color w:val="auto"/>
                <w:sz w:val="21"/>
                <w:szCs w:val="21"/>
              </w:rPr>
              <w:t>潜在违反法规和标准。</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755BD0E4">
            <w:pPr>
              <w:spacing w:line="300" w:lineRule="exact"/>
              <w:ind w:firstLine="0" w:firstLineChars="0"/>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r>
              <w:rPr>
                <w:rFonts w:ascii="Times New Roman" w:hAnsi="宋体" w:eastAsia="宋体" w:cs="Times New Roman"/>
                <w:color w:val="auto"/>
                <w:sz w:val="21"/>
                <w:szCs w:val="21"/>
              </w:rPr>
              <w:t>人以下死亡，或</w:t>
            </w:r>
            <w:r>
              <w:rPr>
                <w:rFonts w:ascii="Times New Roman" w:hAnsi="Times New Roman" w:eastAsia="宋体" w:cs="Times New Roman"/>
                <w:color w:val="auto"/>
                <w:sz w:val="21"/>
                <w:szCs w:val="21"/>
              </w:rPr>
              <w:t>10</w:t>
            </w:r>
            <w:r>
              <w:rPr>
                <w:rFonts w:ascii="Times New Roman" w:hAnsi="宋体" w:eastAsia="宋体" w:cs="Times New Roman"/>
                <w:color w:val="auto"/>
                <w:sz w:val="21"/>
                <w:szCs w:val="21"/>
              </w:rPr>
              <w:t>人以下重伤。</w:t>
            </w:r>
          </w:p>
        </w:tc>
        <w:tc>
          <w:tcPr>
            <w:tcW w:w="184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07B539BD">
            <w:pPr>
              <w:spacing w:line="300" w:lineRule="exact"/>
              <w:ind w:firstLine="0" w:firstLineChars="0"/>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100</w:t>
            </w:r>
            <w:r>
              <w:rPr>
                <w:rFonts w:ascii="Times New Roman" w:hAnsi="宋体" w:eastAsia="宋体" w:cs="Times New Roman"/>
                <w:color w:val="auto"/>
                <w:sz w:val="21"/>
                <w:szCs w:val="21"/>
              </w:rPr>
              <w:t>万以上</w:t>
            </w:r>
            <w:r>
              <w:rPr>
                <w:rFonts w:ascii="Times New Roman" w:hAnsi="Times New Roman" w:eastAsia="宋体" w:cs="Times New Roman"/>
                <w:color w:val="auto"/>
                <w:sz w:val="21"/>
                <w:szCs w:val="21"/>
              </w:rPr>
              <w:t>1000</w:t>
            </w:r>
            <w:r>
              <w:rPr>
                <w:rFonts w:ascii="Times New Roman" w:hAnsi="宋体" w:eastAsia="宋体" w:cs="Times New Roman"/>
                <w:color w:val="auto"/>
                <w:sz w:val="21"/>
                <w:szCs w:val="21"/>
              </w:rPr>
              <w:t>万以下直接经济损失。</w:t>
            </w:r>
          </w:p>
        </w:tc>
        <w:tc>
          <w:tcPr>
            <w:tcW w:w="108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46E1EFFF">
            <w:pPr>
              <w:spacing w:line="300" w:lineRule="exact"/>
              <w:ind w:firstLine="0" w:firstLineChars="0"/>
              <w:rPr>
                <w:rFonts w:ascii="Times New Roman" w:hAnsi="Times New Roman" w:eastAsia="宋体" w:cs="Times New Roman"/>
                <w:color w:val="auto"/>
                <w:sz w:val="21"/>
                <w:szCs w:val="21"/>
              </w:rPr>
            </w:pPr>
            <w:r>
              <w:rPr>
                <w:rFonts w:ascii="Times New Roman" w:hAnsi="宋体" w:eastAsia="宋体" w:cs="Times New Roman"/>
                <w:color w:val="auto"/>
                <w:sz w:val="21"/>
                <w:szCs w:val="21"/>
              </w:rPr>
              <w:t>部分装置停工</w:t>
            </w:r>
          </w:p>
        </w:tc>
        <w:tc>
          <w:tcPr>
            <w:tcW w:w="212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6792866F">
            <w:pPr>
              <w:spacing w:line="300" w:lineRule="exact"/>
              <w:ind w:firstLine="0" w:firstLineChars="0"/>
              <w:rPr>
                <w:rFonts w:ascii="Times New Roman" w:hAnsi="Times New Roman" w:eastAsia="宋体" w:cs="Times New Roman"/>
                <w:color w:val="auto"/>
                <w:sz w:val="21"/>
                <w:szCs w:val="21"/>
              </w:rPr>
            </w:pPr>
            <w:r>
              <w:rPr>
                <w:rFonts w:ascii="Times New Roman" w:hAnsi="宋体" w:eastAsia="宋体" w:cs="Times New Roman"/>
                <w:color w:val="auto"/>
                <w:sz w:val="21"/>
                <w:szCs w:val="21"/>
              </w:rPr>
              <w:t>地区影响。</w:t>
            </w:r>
          </w:p>
        </w:tc>
      </w:tr>
      <w:tr w14:paraId="3CD36F47">
        <w:tblPrEx>
          <w:tblCellMar>
            <w:top w:w="0" w:type="dxa"/>
            <w:left w:w="10" w:type="dxa"/>
            <w:bottom w:w="0" w:type="dxa"/>
            <w:right w:w="10" w:type="dxa"/>
          </w:tblCellMar>
        </w:tblPrEx>
        <w:trPr>
          <w:trHeight w:val="484" w:hRule="atLeast"/>
        </w:trPr>
        <w:tc>
          <w:tcPr>
            <w:tcW w:w="72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3D3B9709">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7</w:t>
            </w:r>
          </w:p>
        </w:tc>
        <w:tc>
          <w:tcPr>
            <w:tcW w:w="216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131FEF00">
            <w:pPr>
              <w:spacing w:line="300" w:lineRule="exact"/>
              <w:ind w:firstLine="0" w:firstLineChars="0"/>
              <w:jc w:val="left"/>
              <w:rPr>
                <w:rFonts w:ascii="Times New Roman" w:hAnsi="Times New Roman" w:eastAsia="宋体" w:cs="Times New Roman"/>
                <w:color w:val="auto"/>
                <w:sz w:val="21"/>
                <w:szCs w:val="21"/>
              </w:rPr>
            </w:pPr>
            <w:r>
              <w:rPr>
                <w:rFonts w:ascii="Times New Roman" w:hAnsi="宋体" w:eastAsia="宋体" w:cs="Times New Roman"/>
                <w:color w:val="auto"/>
                <w:sz w:val="21"/>
                <w:szCs w:val="21"/>
              </w:rPr>
              <w:t>不符合上级或行业的安全方针、制度、规定等。</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454A6753">
            <w:pPr>
              <w:spacing w:line="300" w:lineRule="exact"/>
              <w:ind w:firstLine="0" w:firstLineChars="0"/>
              <w:rPr>
                <w:rFonts w:ascii="Times New Roman" w:hAnsi="Times New Roman" w:eastAsia="宋体" w:cs="Times New Roman"/>
                <w:color w:val="auto"/>
                <w:sz w:val="21"/>
                <w:szCs w:val="21"/>
              </w:rPr>
            </w:pPr>
            <w:r>
              <w:rPr>
                <w:rFonts w:ascii="Times New Roman" w:hAnsi="宋体" w:eastAsia="宋体" w:cs="Times New Roman"/>
                <w:color w:val="auto"/>
                <w:sz w:val="21"/>
                <w:szCs w:val="21"/>
              </w:rPr>
              <w:t>丧失劳动力、截肢、骨折、听力丧失、慢性病。</w:t>
            </w:r>
          </w:p>
        </w:tc>
        <w:tc>
          <w:tcPr>
            <w:tcW w:w="184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14F9CC3D">
            <w:pPr>
              <w:spacing w:line="300" w:lineRule="exact"/>
              <w:ind w:firstLine="0" w:firstLineChars="0"/>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10</w:t>
            </w:r>
            <w:r>
              <w:rPr>
                <w:rFonts w:ascii="Times New Roman" w:hAnsi="宋体" w:eastAsia="宋体" w:cs="Times New Roman"/>
                <w:color w:val="auto"/>
                <w:sz w:val="21"/>
                <w:szCs w:val="21"/>
              </w:rPr>
              <w:t>万以上</w:t>
            </w:r>
            <w:r>
              <w:rPr>
                <w:rFonts w:ascii="Times New Roman" w:hAnsi="Times New Roman" w:eastAsia="宋体" w:cs="Times New Roman"/>
                <w:color w:val="auto"/>
                <w:sz w:val="21"/>
                <w:szCs w:val="21"/>
              </w:rPr>
              <w:t>100</w:t>
            </w:r>
            <w:r>
              <w:rPr>
                <w:rFonts w:ascii="Times New Roman" w:hAnsi="宋体" w:eastAsia="宋体" w:cs="Times New Roman"/>
                <w:color w:val="auto"/>
                <w:sz w:val="21"/>
                <w:szCs w:val="21"/>
              </w:rPr>
              <w:t>万以下直接经济损失。</w:t>
            </w:r>
          </w:p>
        </w:tc>
        <w:tc>
          <w:tcPr>
            <w:tcW w:w="108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120681D8">
            <w:pPr>
              <w:spacing w:line="300" w:lineRule="exact"/>
              <w:ind w:firstLine="0" w:firstLineChars="0"/>
              <w:rPr>
                <w:rFonts w:ascii="Times New Roman" w:hAnsi="Times New Roman" w:eastAsia="宋体" w:cs="Times New Roman"/>
                <w:color w:val="auto"/>
                <w:sz w:val="21"/>
                <w:szCs w:val="21"/>
              </w:rPr>
            </w:pPr>
            <w:r>
              <w:rPr>
                <w:rFonts w:ascii="Times New Roman" w:hAnsi="宋体" w:eastAsia="宋体" w:cs="Times New Roman"/>
                <w:color w:val="auto"/>
                <w:sz w:val="21"/>
                <w:szCs w:val="21"/>
              </w:rPr>
              <w:t>部分设备停工</w:t>
            </w:r>
          </w:p>
        </w:tc>
        <w:tc>
          <w:tcPr>
            <w:tcW w:w="212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2F6DD63A">
            <w:pPr>
              <w:spacing w:line="300" w:lineRule="exact"/>
              <w:ind w:firstLine="0" w:firstLineChars="0"/>
              <w:rPr>
                <w:rFonts w:ascii="Times New Roman" w:hAnsi="Times New Roman" w:eastAsia="宋体" w:cs="Times New Roman"/>
                <w:color w:val="auto"/>
                <w:sz w:val="21"/>
                <w:szCs w:val="21"/>
              </w:rPr>
            </w:pPr>
            <w:r>
              <w:rPr>
                <w:rFonts w:ascii="Times New Roman" w:hAnsi="宋体" w:eastAsia="宋体" w:cs="Times New Roman"/>
                <w:color w:val="auto"/>
                <w:sz w:val="21"/>
                <w:szCs w:val="21"/>
              </w:rPr>
              <w:t>企业及周边范围。</w:t>
            </w:r>
          </w:p>
        </w:tc>
      </w:tr>
      <w:tr w14:paraId="3B35AE30">
        <w:tblPrEx>
          <w:tblCellMar>
            <w:top w:w="0" w:type="dxa"/>
            <w:left w:w="10" w:type="dxa"/>
            <w:bottom w:w="0" w:type="dxa"/>
            <w:right w:w="10" w:type="dxa"/>
          </w:tblCellMar>
        </w:tblPrEx>
        <w:trPr>
          <w:trHeight w:val="535" w:hRule="atLeast"/>
        </w:trPr>
        <w:tc>
          <w:tcPr>
            <w:tcW w:w="72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3AF8B50B">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w:t>
            </w:r>
          </w:p>
        </w:tc>
        <w:tc>
          <w:tcPr>
            <w:tcW w:w="216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46DE8AF1">
            <w:pPr>
              <w:spacing w:line="300" w:lineRule="exact"/>
              <w:ind w:firstLine="0" w:firstLineChars="0"/>
              <w:jc w:val="left"/>
              <w:rPr>
                <w:rFonts w:ascii="Times New Roman" w:hAnsi="Times New Roman" w:eastAsia="宋体" w:cs="Times New Roman"/>
                <w:color w:val="auto"/>
                <w:sz w:val="21"/>
                <w:szCs w:val="21"/>
              </w:rPr>
            </w:pPr>
            <w:r>
              <w:rPr>
                <w:rFonts w:ascii="Times New Roman" w:hAnsi="宋体" w:eastAsia="宋体" w:cs="Times New Roman"/>
                <w:color w:val="auto"/>
                <w:sz w:val="21"/>
                <w:szCs w:val="21"/>
              </w:rPr>
              <w:t>不符合企业的安全操作程序、规定。</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1482927F">
            <w:pPr>
              <w:spacing w:line="300" w:lineRule="exact"/>
              <w:ind w:firstLine="0" w:firstLineChars="0"/>
              <w:rPr>
                <w:rFonts w:ascii="Times New Roman" w:hAnsi="Times New Roman" w:eastAsia="宋体" w:cs="Times New Roman"/>
                <w:color w:val="auto"/>
                <w:sz w:val="21"/>
                <w:szCs w:val="21"/>
              </w:rPr>
            </w:pPr>
            <w:r>
              <w:rPr>
                <w:rFonts w:ascii="Times New Roman" w:hAnsi="宋体" w:eastAsia="宋体" w:cs="Times New Roman"/>
                <w:color w:val="auto"/>
                <w:sz w:val="21"/>
                <w:szCs w:val="21"/>
              </w:rPr>
              <w:t>轻微受伤、间歇不舒服。</w:t>
            </w:r>
          </w:p>
        </w:tc>
        <w:tc>
          <w:tcPr>
            <w:tcW w:w="184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114A67AF">
            <w:pPr>
              <w:spacing w:line="300" w:lineRule="exact"/>
              <w:ind w:firstLine="0" w:firstLineChars="0"/>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r>
              <w:rPr>
                <w:rFonts w:ascii="Times New Roman" w:hAnsi="宋体" w:eastAsia="宋体" w:cs="Times New Roman"/>
                <w:color w:val="auto"/>
                <w:sz w:val="21"/>
                <w:szCs w:val="21"/>
              </w:rPr>
              <w:t>万以上</w:t>
            </w:r>
            <w:r>
              <w:rPr>
                <w:rFonts w:ascii="Times New Roman" w:hAnsi="Times New Roman" w:eastAsia="宋体" w:cs="Times New Roman"/>
                <w:color w:val="auto"/>
                <w:sz w:val="21"/>
                <w:szCs w:val="21"/>
              </w:rPr>
              <w:t>10</w:t>
            </w:r>
            <w:r>
              <w:rPr>
                <w:rFonts w:ascii="Times New Roman" w:hAnsi="宋体" w:eastAsia="宋体" w:cs="Times New Roman"/>
                <w:color w:val="auto"/>
                <w:sz w:val="21"/>
                <w:szCs w:val="21"/>
              </w:rPr>
              <w:t>万以下直接经济损失。</w:t>
            </w:r>
          </w:p>
        </w:tc>
        <w:tc>
          <w:tcPr>
            <w:tcW w:w="108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4F922FD9">
            <w:pPr>
              <w:spacing w:line="300" w:lineRule="exact"/>
              <w:ind w:firstLine="0" w:firstLineChars="0"/>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r>
              <w:rPr>
                <w:rFonts w:ascii="Times New Roman" w:hAnsi="宋体" w:eastAsia="宋体" w:cs="Times New Roman"/>
                <w:color w:val="auto"/>
                <w:sz w:val="21"/>
                <w:szCs w:val="21"/>
              </w:rPr>
              <w:t>套设备停工</w:t>
            </w:r>
          </w:p>
        </w:tc>
        <w:tc>
          <w:tcPr>
            <w:tcW w:w="212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416397E0">
            <w:pPr>
              <w:spacing w:line="300" w:lineRule="exact"/>
              <w:ind w:firstLine="0" w:firstLineChars="0"/>
              <w:rPr>
                <w:rFonts w:ascii="Times New Roman" w:hAnsi="Times New Roman" w:eastAsia="宋体" w:cs="Times New Roman"/>
                <w:color w:val="auto"/>
                <w:sz w:val="21"/>
                <w:szCs w:val="21"/>
              </w:rPr>
            </w:pPr>
            <w:r>
              <w:rPr>
                <w:rFonts w:ascii="Times New Roman" w:hAnsi="宋体" w:eastAsia="宋体" w:cs="Times New Roman"/>
                <w:color w:val="auto"/>
                <w:sz w:val="21"/>
                <w:szCs w:val="21"/>
              </w:rPr>
              <w:t>引人关注，不利于基本的安全卫生要求。</w:t>
            </w:r>
          </w:p>
        </w:tc>
      </w:tr>
      <w:tr w14:paraId="78DC4BA8">
        <w:tblPrEx>
          <w:tblCellMar>
            <w:top w:w="0" w:type="dxa"/>
            <w:left w:w="10" w:type="dxa"/>
            <w:bottom w:w="0" w:type="dxa"/>
            <w:right w:w="10" w:type="dxa"/>
          </w:tblCellMar>
        </w:tblPrEx>
        <w:trPr>
          <w:trHeight w:val="299" w:hRule="atLeast"/>
        </w:trPr>
        <w:tc>
          <w:tcPr>
            <w:tcW w:w="72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1857CCF2">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216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708BAAA7">
            <w:pPr>
              <w:spacing w:line="300" w:lineRule="exact"/>
              <w:ind w:firstLine="0" w:firstLineChars="0"/>
              <w:jc w:val="left"/>
              <w:rPr>
                <w:rFonts w:ascii="Times New Roman" w:hAnsi="Times New Roman" w:eastAsia="宋体" w:cs="Times New Roman"/>
                <w:color w:val="auto"/>
                <w:sz w:val="21"/>
                <w:szCs w:val="21"/>
              </w:rPr>
            </w:pPr>
            <w:r>
              <w:rPr>
                <w:rFonts w:ascii="Times New Roman" w:hAnsi="宋体" w:eastAsia="宋体" w:cs="Times New Roman"/>
                <w:color w:val="auto"/>
                <w:sz w:val="21"/>
                <w:szCs w:val="21"/>
              </w:rPr>
              <w:t>完全符合。</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10E98D2D">
            <w:pPr>
              <w:spacing w:line="300" w:lineRule="exact"/>
              <w:ind w:firstLine="0" w:firstLineChars="0"/>
              <w:rPr>
                <w:rFonts w:ascii="Times New Roman" w:hAnsi="Times New Roman" w:eastAsia="宋体" w:cs="Times New Roman"/>
                <w:color w:val="auto"/>
                <w:sz w:val="21"/>
                <w:szCs w:val="21"/>
              </w:rPr>
            </w:pPr>
            <w:r>
              <w:rPr>
                <w:rFonts w:ascii="Times New Roman" w:hAnsi="宋体" w:eastAsia="宋体" w:cs="Times New Roman"/>
                <w:color w:val="auto"/>
                <w:sz w:val="21"/>
                <w:szCs w:val="21"/>
              </w:rPr>
              <w:t>无伤亡。</w:t>
            </w:r>
          </w:p>
        </w:tc>
        <w:tc>
          <w:tcPr>
            <w:tcW w:w="184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2F485422">
            <w:pPr>
              <w:spacing w:line="300" w:lineRule="exact"/>
              <w:ind w:firstLine="0" w:firstLineChars="0"/>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r>
              <w:rPr>
                <w:rFonts w:ascii="Times New Roman" w:hAnsi="宋体" w:eastAsia="宋体" w:cs="Times New Roman"/>
                <w:color w:val="auto"/>
                <w:sz w:val="21"/>
                <w:szCs w:val="21"/>
              </w:rPr>
              <w:t>万以下直接经济损失。</w:t>
            </w:r>
          </w:p>
        </w:tc>
        <w:tc>
          <w:tcPr>
            <w:tcW w:w="108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2470C289">
            <w:pPr>
              <w:spacing w:line="300" w:lineRule="exact"/>
              <w:ind w:firstLine="0" w:firstLineChars="0"/>
              <w:rPr>
                <w:rFonts w:ascii="Times New Roman" w:hAnsi="Times New Roman" w:eastAsia="宋体" w:cs="Times New Roman"/>
                <w:color w:val="auto"/>
                <w:sz w:val="21"/>
                <w:szCs w:val="21"/>
              </w:rPr>
            </w:pPr>
            <w:r>
              <w:rPr>
                <w:rFonts w:ascii="Times New Roman" w:hAnsi="宋体" w:eastAsia="宋体" w:cs="Times New Roman"/>
                <w:color w:val="auto"/>
                <w:sz w:val="21"/>
                <w:szCs w:val="21"/>
              </w:rPr>
              <w:t>没有停工</w:t>
            </w:r>
          </w:p>
        </w:tc>
        <w:tc>
          <w:tcPr>
            <w:tcW w:w="212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78B4B299">
            <w:pPr>
              <w:spacing w:line="300" w:lineRule="exact"/>
              <w:ind w:firstLine="0" w:firstLineChars="0"/>
              <w:rPr>
                <w:rFonts w:ascii="Times New Roman" w:hAnsi="Times New Roman" w:eastAsia="宋体" w:cs="Times New Roman"/>
                <w:color w:val="auto"/>
                <w:sz w:val="21"/>
                <w:szCs w:val="21"/>
              </w:rPr>
            </w:pPr>
            <w:r>
              <w:rPr>
                <w:rFonts w:ascii="Times New Roman" w:hAnsi="宋体" w:eastAsia="宋体" w:cs="Times New Roman"/>
                <w:color w:val="auto"/>
                <w:sz w:val="21"/>
                <w:szCs w:val="21"/>
              </w:rPr>
              <w:t>形象没有受损。</w:t>
            </w:r>
          </w:p>
        </w:tc>
      </w:tr>
    </w:tbl>
    <w:p w14:paraId="16DDFF48">
      <w:pPr>
        <w:bidi w:val="0"/>
        <w:rPr>
          <w:rFonts w:hint="default"/>
          <w:color w:val="auto"/>
          <w:lang w:val="en-US" w:eastAsia="zh-CN"/>
        </w:rPr>
      </w:pPr>
      <w:r>
        <w:rPr>
          <w:rFonts w:hint="default"/>
          <w:color w:val="auto"/>
          <w:lang w:val="en-US" w:eastAsia="zh-CN"/>
        </w:rPr>
        <w:t>风险值D求出之后，关键是如何确定风险级别的界限值，而这个界限值并不是长期固定不变，在不同时期，组织应根据其具体情况来确定风险级别的界限值，以符合持续改进的思想。表5</w:t>
      </w:r>
      <w:r>
        <w:rPr>
          <w:rFonts w:hint="eastAsia"/>
          <w:color w:val="auto"/>
          <w:lang w:val="en-US" w:eastAsia="zh-CN"/>
        </w:rPr>
        <w:t>.3</w:t>
      </w:r>
      <w:r>
        <w:rPr>
          <w:rFonts w:hint="default"/>
          <w:color w:val="auto"/>
          <w:lang w:val="en-US" w:eastAsia="zh-CN"/>
        </w:rPr>
        <w:t>-</w:t>
      </w:r>
      <w:r>
        <w:rPr>
          <w:rFonts w:hint="eastAsia"/>
          <w:color w:val="auto"/>
          <w:lang w:val="en-US" w:eastAsia="zh-CN"/>
        </w:rPr>
        <w:t>8</w:t>
      </w:r>
      <w:r>
        <w:rPr>
          <w:rFonts w:hint="default"/>
          <w:color w:val="auto"/>
          <w:lang w:val="en-US" w:eastAsia="zh-CN"/>
        </w:rPr>
        <w:t>内容可作为确定风险级别界限值及其相应风险控制策划的参考。</w:t>
      </w:r>
    </w:p>
    <w:p w14:paraId="7FB932B3">
      <w:pPr>
        <w:bidi w:val="0"/>
        <w:ind w:left="0" w:leftChars="0" w:firstLine="0" w:firstLineChars="0"/>
        <w:jc w:val="center"/>
        <w:rPr>
          <w:rFonts w:hint="default"/>
          <w:color w:val="auto"/>
          <w:lang w:val="en-US" w:eastAsia="zh-CN"/>
        </w:rPr>
      </w:pPr>
      <w:r>
        <w:rPr>
          <w:rFonts w:hint="default"/>
          <w:color w:val="auto"/>
          <w:lang w:val="en-US" w:eastAsia="zh-CN"/>
        </w:rPr>
        <w:t>表5</w:t>
      </w:r>
      <w:r>
        <w:rPr>
          <w:rFonts w:hint="eastAsia"/>
          <w:color w:val="auto"/>
          <w:lang w:val="en-US" w:eastAsia="zh-CN"/>
        </w:rPr>
        <w:t>.3</w:t>
      </w:r>
      <w:r>
        <w:rPr>
          <w:rFonts w:hint="default"/>
          <w:color w:val="auto"/>
          <w:lang w:val="en-US" w:eastAsia="zh-CN"/>
        </w:rPr>
        <w:t>-</w:t>
      </w:r>
      <w:r>
        <w:rPr>
          <w:rFonts w:hint="eastAsia"/>
          <w:color w:val="auto"/>
          <w:lang w:val="en-US" w:eastAsia="zh-CN"/>
        </w:rPr>
        <w:t xml:space="preserve">9 </w:t>
      </w:r>
      <w:r>
        <w:rPr>
          <w:rFonts w:hint="default"/>
          <w:color w:val="auto"/>
          <w:lang w:val="en-US" w:eastAsia="zh-CN"/>
        </w:rPr>
        <w:t>按以下分值划分危险等级（D）表</w:t>
      </w:r>
    </w:p>
    <w:tbl>
      <w:tblPr>
        <w:tblStyle w:val="19"/>
        <w:tblW w:w="9720" w:type="dxa"/>
        <w:tblInd w:w="-432" w:type="dxa"/>
        <w:tblLayout w:type="fixed"/>
        <w:tblCellMar>
          <w:top w:w="0" w:type="dxa"/>
          <w:left w:w="10" w:type="dxa"/>
          <w:bottom w:w="0" w:type="dxa"/>
          <w:right w:w="10" w:type="dxa"/>
        </w:tblCellMar>
      </w:tblPr>
      <w:tblGrid>
        <w:gridCol w:w="1080"/>
        <w:gridCol w:w="1980"/>
        <w:gridCol w:w="5220"/>
        <w:gridCol w:w="1440"/>
      </w:tblGrid>
      <w:tr w14:paraId="2CA4B5B5">
        <w:tblPrEx>
          <w:tblCellMar>
            <w:top w:w="0" w:type="dxa"/>
            <w:left w:w="10" w:type="dxa"/>
            <w:bottom w:w="0" w:type="dxa"/>
            <w:right w:w="10" w:type="dxa"/>
          </w:tblCellMar>
        </w:tblPrEx>
        <w:trPr>
          <w:trHeight w:val="281" w:hRule="atLeast"/>
        </w:trPr>
        <w:tc>
          <w:tcPr>
            <w:tcW w:w="108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0DA45D28">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风险度</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2A9DF007">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风险等级</w:t>
            </w:r>
          </w:p>
        </w:tc>
        <w:tc>
          <w:tcPr>
            <w:tcW w:w="522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1399A622">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应采取的行动/控制措施</w:t>
            </w:r>
          </w:p>
        </w:tc>
        <w:tc>
          <w:tcPr>
            <w:tcW w:w="144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5E6DF5C5">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实施期限</w:t>
            </w:r>
          </w:p>
        </w:tc>
      </w:tr>
      <w:tr w14:paraId="484BA886">
        <w:tblPrEx>
          <w:tblCellMar>
            <w:top w:w="0" w:type="dxa"/>
            <w:left w:w="10" w:type="dxa"/>
            <w:bottom w:w="0" w:type="dxa"/>
            <w:right w:w="10" w:type="dxa"/>
          </w:tblCellMar>
        </w:tblPrEx>
        <w:trPr>
          <w:trHeight w:val="441" w:hRule="atLeast"/>
        </w:trPr>
        <w:tc>
          <w:tcPr>
            <w:tcW w:w="1080" w:type="dxa"/>
            <w:tcBorders>
              <w:top w:val="single" w:color="000000" w:sz="4" w:space="0"/>
              <w:left w:val="single" w:color="000000" w:sz="4" w:space="0"/>
              <w:bottom w:val="single" w:color="000000" w:sz="4" w:space="0"/>
              <w:right w:val="single" w:color="000000" w:sz="4" w:space="0"/>
            </w:tcBorders>
            <w:shd w:val="clear" w:color="auto" w:fill="FF0000"/>
            <w:noWrap w:val="0"/>
            <w:tcMar>
              <w:left w:w="108" w:type="dxa"/>
              <w:right w:w="108" w:type="dxa"/>
            </w:tcMar>
            <w:vAlign w:val="center"/>
          </w:tcPr>
          <w:p w14:paraId="3199B31B">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＞320</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08FC4BAE">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一级（E级、I级）：不可允许的风险，极其危险。</w:t>
            </w:r>
          </w:p>
        </w:tc>
        <w:tc>
          <w:tcPr>
            <w:tcW w:w="522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663B1D58">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立即停工整改。</w:t>
            </w:r>
            <w:r>
              <w:rPr>
                <w:rFonts w:ascii="Times New Roman" w:hAnsi="Times New Roman" w:eastAsia="宋体" w:cs="Times New Roman"/>
                <w:color w:val="auto"/>
                <w:sz w:val="21"/>
                <w:szCs w:val="21"/>
              </w:rPr>
              <w:t>在采取措施降低危险有害前，不能继续作业，对改进措施进行评估</w:t>
            </w:r>
            <w:r>
              <w:rPr>
                <w:rFonts w:hint="eastAsia" w:ascii="Times New Roman" w:hAnsi="Times New Roman" w:eastAsia="宋体" w:cs="Times New Roman"/>
                <w:color w:val="auto"/>
                <w:sz w:val="21"/>
                <w:szCs w:val="21"/>
              </w:rPr>
              <w:t>。只有当风险已降低时，才能开始或继续工作。如果无限的资源投入也不能降低风险，就必须禁止工作，立即采取隐患治理措施。</w:t>
            </w:r>
          </w:p>
        </w:tc>
        <w:tc>
          <w:tcPr>
            <w:tcW w:w="144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1ABC31C8">
            <w:pPr>
              <w:spacing w:line="300" w:lineRule="exact"/>
              <w:ind w:firstLine="0" w:firstLineChars="0"/>
              <w:jc w:val="center"/>
              <w:rPr>
                <w:rFonts w:hint="eastAsia" w:ascii="Times New Roman" w:hAnsi="Times New Roman" w:eastAsia="宋体" w:cs="Times New Roman"/>
                <w:color w:val="auto"/>
                <w:sz w:val="21"/>
                <w:szCs w:val="21"/>
              </w:rPr>
            </w:pPr>
            <w:r>
              <w:rPr>
                <w:rFonts w:ascii="Times New Roman" w:hAnsi="Times New Roman" w:eastAsia="宋体" w:cs="Times New Roman"/>
                <w:color w:val="auto"/>
                <w:sz w:val="21"/>
                <w:szCs w:val="21"/>
              </w:rPr>
              <w:t>立刻</w:t>
            </w:r>
            <w:r>
              <w:rPr>
                <w:rFonts w:hint="eastAsia" w:ascii="Times New Roman" w:hAnsi="Times New Roman" w:eastAsia="宋体" w:cs="Times New Roman"/>
                <w:color w:val="auto"/>
                <w:sz w:val="21"/>
                <w:szCs w:val="21"/>
              </w:rPr>
              <w:t>。</w:t>
            </w:r>
          </w:p>
        </w:tc>
      </w:tr>
      <w:tr w14:paraId="32CCA280">
        <w:tblPrEx>
          <w:tblCellMar>
            <w:top w:w="0" w:type="dxa"/>
            <w:left w:w="10" w:type="dxa"/>
            <w:bottom w:w="0" w:type="dxa"/>
            <w:right w:w="10" w:type="dxa"/>
          </w:tblCellMar>
        </w:tblPrEx>
        <w:trPr>
          <w:trHeight w:val="604" w:hRule="atLeast"/>
        </w:trPr>
        <w:tc>
          <w:tcPr>
            <w:tcW w:w="1080" w:type="dxa"/>
            <w:tcBorders>
              <w:top w:val="single" w:color="000000" w:sz="4" w:space="0"/>
              <w:left w:val="single" w:color="000000" w:sz="4" w:space="0"/>
              <w:bottom w:val="single" w:color="000000" w:sz="4" w:space="0"/>
              <w:right w:val="single" w:color="000000" w:sz="4" w:space="0"/>
            </w:tcBorders>
            <w:shd w:val="clear" w:color="auto" w:fill="FF6600"/>
            <w:noWrap w:val="0"/>
            <w:tcMar>
              <w:left w:w="108" w:type="dxa"/>
              <w:right w:w="108" w:type="dxa"/>
            </w:tcMar>
            <w:vAlign w:val="center"/>
          </w:tcPr>
          <w:p w14:paraId="2A3FEC4F">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160～320</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32F86109">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二级（D级、II级）：较大的风险，高度危险。</w:t>
            </w:r>
          </w:p>
        </w:tc>
        <w:tc>
          <w:tcPr>
            <w:tcW w:w="522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4D5E91AD">
            <w:pPr>
              <w:spacing w:line="300" w:lineRule="exact"/>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企业对较大及以上风险危险有害因素应重点控制管理，具体由安全主管部门和各职能部门根据职责分工具体落实。当风险涉及正在进行中的工作时，应采取应急措施，</w:t>
            </w:r>
            <w:r>
              <w:rPr>
                <w:rFonts w:ascii="Times New Roman" w:hAnsi="Times New Roman" w:eastAsia="宋体" w:cs="Times New Roman"/>
                <w:color w:val="auto"/>
                <w:sz w:val="21"/>
                <w:szCs w:val="21"/>
              </w:rPr>
              <w:t>建立运行控制程序，定期检查、测量及评估</w:t>
            </w:r>
            <w:r>
              <w:rPr>
                <w:rFonts w:hint="eastAsia" w:ascii="Times New Roman" w:hAnsi="Times New Roman" w:eastAsia="宋体" w:cs="Times New Roman"/>
                <w:color w:val="auto"/>
                <w:sz w:val="21"/>
                <w:szCs w:val="21"/>
              </w:rPr>
              <w:t>，并根据需求为降低风险制定目标、指标、管理方案或配给资源、限期治理，直至风险降低后才能开始工作。</w:t>
            </w:r>
          </w:p>
        </w:tc>
        <w:tc>
          <w:tcPr>
            <w:tcW w:w="144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4CC8540F">
            <w:pPr>
              <w:spacing w:line="300" w:lineRule="exact"/>
              <w:ind w:firstLine="0" w:firstLineChars="0"/>
              <w:jc w:val="center"/>
              <w:rPr>
                <w:rFonts w:hint="eastAsia" w:ascii="Times New Roman" w:hAnsi="Times New Roman" w:eastAsia="宋体" w:cs="Times New Roman"/>
                <w:color w:val="auto"/>
                <w:sz w:val="21"/>
                <w:szCs w:val="21"/>
              </w:rPr>
            </w:pPr>
            <w:r>
              <w:rPr>
                <w:rFonts w:ascii="Times New Roman" w:hAnsi="Times New Roman" w:eastAsia="宋体" w:cs="Times New Roman"/>
                <w:color w:val="auto"/>
                <w:sz w:val="21"/>
                <w:szCs w:val="21"/>
              </w:rPr>
              <w:t>立即或</w:t>
            </w:r>
          </w:p>
          <w:p w14:paraId="7CDBF025">
            <w:pPr>
              <w:spacing w:line="300" w:lineRule="exact"/>
              <w:ind w:firstLine="0" w:firstLineChars="0"/>
              <w:jc w:val="center"/>
              <w:rPr>
                <w:rFonts w:hint="eastAsia" w:ascii="Times New Roman" w:hAnsi="Times New Roman" w:eastAsia="宋体" w:cs="Times New Roman"/>
                <w:color w:val="auto"/>
                <w:sz w:val="21"/>
                <w:szCs w:val="21"/>
              </w:rPr>
            </w:pPr>
            <w:r>
              <w:rPr>
                <w:rFonts w:ascii="Times New Roman" w:hAnsi="Times New Roman" w:eastAsia="宋体" w:cs="Times New Roman"/>
                <w:color w:val="auto"/>
                <w:sz w:val="21"/>
                <w:szCs w:val="21"/>
              </w:rPr>
              <w:t>近期整改</w:t>
            </w:r>
            <w:r>
              <w:rPr>
                <w:rFonts w:hint="eastAsia" w:ascii="Times New Roman" w:hAnsi="Times New Roman" w:eastAsia="宋体" w:cs="Times New Roman"/>
                <w:color w:val="auto"/>
                <w:sz w:val="21"/>
                <w:szCs w:val="21"/>
              </w:rPr>
              <w:t>。</w:t>
            </w:r>
          </w:p>
        </w:tc>
      </w:tr>
      <w:tr w14:paraId="37ACAFB6">
        <w:tblPrEx>
          <w:tblCellMar>
            <w:top w:w="0" w:type="dxa"/>
            <w:left w:w="10" w:type="dxa"/>
            <w:bottom w:w="0" w:type="dxa"/>
            <w:right w:w="10" w:type="dxa"/>
          </w:tblCellMar>
        </w:tblPrEx>
        <w:trPr>
          <w:trHeight w:val="162" w:hRule="atLeast"/>
        </w:trPr>
        <w:tc>
          <w:tcPr>
            <w:tcW w:w="1080" w:type="dxa"/>
            <w:tcBorders>
              <w:top w:val="single" w:color="000000" w:sz="4" w:space="0"/>
              <w:left w:val="single" w:color="000000" w:sz="4" w:space="0"/>
              <w:bottom w:val="single" w:color="000000" w:sz="4" w:space="0"/>
              <w:right w:val="single" w:color="000000" w:sz="4" w:space="0"/>
            </w:tcBorders>
            <w:shd w:val="clear" w:color="auto" w:fill="FFFF00"/>
            <w:noWrap w:val="0"/>
            <w:tcMar>
              <w:left w:w="108" w:type="dxa"/>
              <w:right w:w="108" w:type="dxa"/>
            </w:tcMar>
            <w:vAlign w:val="center"/>
          </w:tcPr>
          <w:p w14:paraId="61D6EA9D">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70～160</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61FDBA11">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三级（C级、III级）：中度风险，一般危险。</w:t>
            </w:r>
          </w:p>
        </w:tc>
        <w:tc>
          <w:tcPr>
            <w:tcW w:w="522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6820E23E">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企业、科室（车间级）应引起关注，负责该级危险有害因素的控制管理，所属车间、科室具体落实；可考虑建立目标，制定管理制度、规定、操作规程进行控制，加强培训及沟通，努力降低风险，应仔细测定并限定预防成本，在规定期限内实施降低风险措施。在严重伤害后果相关的场合，必须进一步进行评价，确定伤害的可能性和是否需要改进的控制措施。</w:t>
            </w:r>
          </w:p>
        </w:tc>
        <w:tc>
          <w:tcPr>
            <w:tcW w:w="144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550B300D">
            <w:pPr>
              <w:spacing w:line="300" w:lineRule="exact"/>
              <w:ind w:firstLine="0" w:firstLineChars="0"/>
              <w:jc w:val="center"/>
              <w:rPr>
                <w:rFonts w:hint="eastAsia" w:ascii="Times New Roman" w:hAnsi="Times New Roman" w:eastAsia="宋体" w:cs="Times New Roman"/>
                <w:color w:val="auto"/>
                <w:sz w:val="21"/>
                <w:szCs w:val="21"/>
              </w:rPr>
            </w:pPr>
            <w:r>
              <w:rPr>
                <w:rFonts w:ascii="Times New Roman" w:hAnsi="Times New Roman" w:eastAsia="宋体" w:cs="Times New Roman"/>
                <w:color w:val="auto"/>
                <w:sz w:val="21"/>
                <w:szCs w:val="21"/>
              </w:rPr>
              <w:t>2年内</w:t>
            </w:r>
          </w:p>
          <w:p w14:paraId="5623D12F">
            <w:pPr>
              <w:spacing w:line="300" w:lineRule="exact"/>
              <w:ind w:firstLine="0" w:firstLineChars="0"/>
              <w:jc w:val="center"/>
              <w:rPr>
                <w:rFonts w:hint="eastAsia" w:ascii="Times New Roman" w:hAnsi="Times New Roman" w:eastAsia="宋体" w:cs="Times New Roman"/>
                <w:color w:val="auto"/>
                <w:sz w:val="21"/>
                <w:szCs w:val="21"/>
              </w:rPr>
            </w:pPr>
            <w:r>
              <w:rPr>
                <w:rFonts w:ascii="Times New Roman" w:hAnsi="Times New Roman" w:eastAsia="宋体" w:cs="Times New Roman"/>
                <w:color w:val="auto"/>
                <w:sz w:val="21"/>
                <w:szCs w:val="21"/>
              </w:rPr>
              <w:t>治理</w:t>
            </w:r>
            <w:r>
              <w:rPr>
                <w:rFonts w:hint="eastAsia" w:ascii="Times New Roman" w:hAnsi="Times New Roman" w:eastAsia="宋体" w:cs="Times New Roman"/>
                <w:color w:val="auto"/>
                <w:sz w:val="21"/>
                <w:szCs w:val="21"/>
              </w:rPr>
              <w:t>。</w:t>
            </w:r>
          </w:p>
        </w:tc>
      </w:tr>
      <w:tr w14:paraId="1FE419B2">
        <w:tblPrEx>
          <w:tblCellMar>
            <w:top w:w="0" w:type="dxa"/>
            <w:left w:w="10" w:type="dxa"/>
            <w:bottom w:w="0" w:type="dxa"/>
            <w:right w:w="10" w:type="dxa"/>
          </w:tblCellMar>
        </w:tblPrEx>
        <w:trPr>
          <w:trHeight w:val="302" w:hRule="atLeast"/>
        </w:trPr>
        <w:tc>
          <w:tcPr>
            <w:tcW w:w="1080" w:type="dxa"/>
            <w:tcBorders>
              <w:top w:val="single" w:color="000000" w:sz="4" w:space="0"/>
              <w:left w:val="single" w:color="000000" w:sz="4" w:space="0"/>
              <w:bottom w:val="single" w:color="000000" w:sz="4" w:space="0"/>
              <w:right w:val="single" w:color="000000" w:sz="4" w:space="0"/>
            </w:tcBorders>
            <w:shd w:val="clear" w:color="auto" w:fill="0000FF"/>
            <w:noWrap w:val="0"/>
            <w:tcMar>
              <w:left w:w="108" w:type="dxa"/>
              <w:right w:w="108" w:type="dxa"/>
            </w:tcMar>
            <w:vAlign w:val="center"/>
          </w:tcPr>
          <w:p w14:paraId="497BB269">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20～70</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7DE2B4E6">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四级（B级、IV级）低风险，轻度危险，可接受。</w:t>
            </w:r>
          </w:p>
        </w:tc>
        <w:tc>
          <w:tcPr>
            <w:tcW w:w="522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6C44F52A">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车间、科室（车间级）应引起关注，负责该级别危险有害因素的控制管理，所属工段、班组具体落实；不需要另外的控制措施，应考虑投资效果更佳的解决方案或不增加额外成本的改进措施，需要监视来确保控制措施得以维持现状，保留记录。</w:t>
            </w:r>
            <w:r>
              <w:rPr>
                <w:rFonts w:ascii="Times New Roman" w:hAnsi="Times New Roman" w:eastAsia="宋体" w:cs="Times New Roman"/>
                <w:color w:val="auto"/>
                <w:sz w:val="21"/>
                <w:szCs w:val="21"/>
              </w:rPr>
              <w:t>可考虑建立操作规程、作业指导书，但需定期检查</w:t>
            </w:r>
            <w:r>
              <w:rPr>
                <w:rFonts w:hint="eastAsia" w:ascii="Times New Roman" w:hAnsi="Times New Roman" w:eastAsia="宋体" w:cs="Times New Roman"/>
                <w:color w:val="auto"/>
                <w:sz w:val="21"/>
                <w:szCs w:val="21"/>
              </w:rPr>
              <w:t>。</w:t>
            </w:r>
          </w:p>
        </w:tc>
        <w:tc>
          <w:tcPr>
            <w:tcW w:w="144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5BF93854">
            <w:pPr>
              <w:spacing w:line="300" w:lineRule="exact"/>
              <w:ind w:firstLine="0" w:firstLineChars="0"/>
              <w:jc w:val="center"/>
              <w:rPr>
                <w:rFonts w:hint="eastAsia" w:ascii="Times New Roman" w:hAnsi="Times New Roman" w:eastAsia="宋体" w:cs="Times New Roman"/>
                <w:color w:val="auto"/>
                <w:sz w:val="21"/>
                <w:szCs w:val="21"/>
              </w:rPr>
            </w:pPr>
            <w:r>
              <w:rPr>
                <w:rFonts w:ascii="Times New Roman" w:hAnsi="Times New Roman" w:eastAsia="宋体" w:cs="Times New Roman"/>
                <w:color w:val="auto"/>
                <w:sz w:val="21"/>
                <w:szCs w:val="21"/>
              </w:rPr>
              <w:t>有条件、</w:t>
            </w:r>
          </w:p>
          <w:p w14:paraId="5E67257C">
            <w:pPr>
              <w:spacing w:line="300" w:lineRule="exact"/>
              <w:ind w:firstLine="0" w:firstLineChars="0"/>
              <w:jc w:val="center"/>
              <w:rPr>
                <w:rFonts w:hint="eastAsia" w:ascii="Times New Roman" w:hAnsi="Times New Roman" w:eastAsia="宋体" w:cs="Times New Roman"/>
                <w:color w:val="auto"/>
                <w:sz w:val="21"/>
                <w:szCs w:val="21"/>
              </w:rPr>
            </w:pPr>
            <w:r>
              <w:rPr>
                <w:rFonts w:ascii="Times New Roman" w:hAnsi="Times New Roman" w:eastAsia="宋体" w:cs="Times New Roman"/>
                <w:color w:val="auto"/>
                <w:sz w:val="21"/>
                <w:szCs w:val="21"/>
              </w:rPr>
              <w:t>有经费时治理</w:t>
            </w:r>
            <w:r>
              <w:rPr>
                <w:rFonts w:hint="eastAsia" w:ascii="Times New Roman" w:hAnsi="Times New Roman" w:eastAsia="宋体" w:cs="Times New Roman"/>
                <w:color w:val="auto"/>
                <w:sz w:val="21"/>
                <w:szCs w:val="21"/>
              </w:rPr>
              <w:t>。</w:t>
            </w:r>
          </w:p>
        </w:tc>
      </w:tr>
      <w:tr w14:paraId="3C0384F6">
        <w:tblPrEx>
          <w:tblCellMar>
            <w:top w:w="0" w:type="dxa"/>
            <w:left w:w="10" w:type="dxa"/>
            <w:bottom w:w="0" w:type="dxa"/>
            <w:right w:w="10" w:type="dxa"/>
          </w:tblCellMar>
        </w:tblPrEx>
        <w:trPr>
          <w:trHeight w:val="316" w:hRule="atLeast"/>
        </w:trPr>
        <w:tc>
          <w:tcPr>
            <w:tcW w:w="1080" w:type="dxa"/>
            <w:tcBorders>
              <w:top w:val="single" w:color="000000" w:sz="4" w:space="0"/>
              <w:left w:val="single" w:color="000000" w:sz="4" w:space="0"/>
              <w:bottom w:val="single" w:color="000000" w:sz="4" w:space="0"/>
              <w:right w:val="single" w:color="000000" w:sz="4" w:space="0"/>
            </w:tcBorders>
            <w:shd w:val="clear" w:color="auto" w:fill="0000FF"/>
            <w:noWrap w:val="0"/>
            <w:tcMar>
              <w:left w:w="108" w:type="dxa"/>
              <w:right w:w="108" w:type="dxa"/>
            </w:tcMar>
            <w:vAlign w:val="center"/>
          </w:tcPr>
          <w:p w14:paraId="25D74705">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＜20</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2A8A0E82">
            <w:pPr>
              <w:spacing w:line="300" w:lineRule="exact"/>
              <w:ind w:firstLine="0" w:firstLineChars="0"/>
              <w:jc w:val="center"/>
              <w:rPr>
                <w:rFonts w:hint="eastAsia" w:ascii="Times New Roman" w:hAnsi="Times New Roman" w:eastAsia="宋体" w:cs="Times New Roman"/>
                <w:color w:val="auto"/>
                <w:sz w:val="21"/>
                <w:szCs w:val="21"/>
              </w:rPr>
            </w:pPr>
            <w:r>
              <w:rPr>
                <w:rFonts w:ascii="Times New Roman" w:hAnsi="Times New Roman" w:eastAsia="宋体" w:cs="Times New Roman"/>
                <w:color w:val="auto"/>
                <w:sz w:val="21"/>
                <w:szCs w:val="21"/>
              </w:rPr>
              <w:t>五级（A</w:t>
            </w:r>
            <w:r>
              <w:rPr>
                <w:rFonts w:hint="eastAsia" w:ascii="Times New Roman" w:hAnsi="Times New Roman" w:eastAsia="宋体" w:cs="Times New Roman"/>
                <w:color w:val="auto"/>
                <w:sz w:val="21"/>
                <w:szCs w:val="21"/>
              </w:rPr>
              <w:t>级、</w:t>
            </w:r>
            <w:r>
              <w:rPr>
                <w:rFonts w:ascii="Times New Roman" w:hAnsi="Times New Roman" w:eastAsia="宋体" w:cs="Times New Roman"/>
                <w:color w:val="auto"/>
                <w:sz w:val="21"/>
                <w:szCs w:val="21"/>
              </w:rPr>
              <w:t>V</w:t>
            </w:r>
            <w:r>
              <w:rPr>
                <w:rFonts w:hint="eastAsia" w:ascii="Times New Roman" w:hAnsi="Times New Roman" w:eastAsia="宋体" w:cs="Times New Roman"/>
                <w:color w:val="auto"/>
                <w:sz w:val="21"/>
                <w:szCs w:val="21"/>
              </w:rPr>
              <w:t>级</w:t>
            </w:r>
            <w:r>
              <w:rPr>
                <w:rFonts w:ascii="Times New Roman" w:hAnsi="Times New Roman" w:eastAsia="宋体" w:cs="Times New Roman"/>
                <w:color w:val="auto"/>
                <w:sz w:val="21"/>
                <w:szCs w:val="21"/>
              </w:rPr>
              <w:t>）：较低风险，可忽略的危险</w:t>
            </w:r>
            <w:r>
              <w:rPr>
                <w:rFonts w:hint="eastAsia" w:ascii="Times New Roman" w:hAnsi="Times New Roman" w:eastAsia="宋体" w:cs="Times New Roman"/>
                <w:color w:val="auto"/>
                <w:sz w:val="21"/>
                <w:szCs w:val="21"/>
              </w:rPr>
              <w:t>。</w:t>
            </w:r>
          </w:p>
        </w:tc>
        <w:tc>
          <w:tcPr>
            <w:tcW w:w="522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5EF528CE">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员工应引起注意，各工段、班组负责该级别危险有害因素的控制管理，可根据是否在生产场所或实际需要来确定是否制定控制措施，但需保存记录。</w:t>
            </w:r>
          </w:p>
        </w:tc>
        <w:tc>
          <w:tcPr>
            <w:tcW w:w="1440"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14:paraId="3C902DF4">
            <w:pPr>
              <w:spacing w:line="300" w:lineRule="exact"/>
              <w:ind w:firstLine="0" w:firstLineChars="0"/>
              <w:jc w:val="center"/>
              <w:rPr>
                <w:rFonts w:ascii="Times New Roman" w:hAnsi="Times New Roman" w:eastAsia="宋体" w:cs="Times New Roman"/>
                <w:color w:val="auto"/>
                <w:sz w:val="21"/>
                <w:szCs w:val="21"/>
              </w:rPr>
            </w:pPr>
          </w:p>
        </w:tc>
      </w:tr>
    </w:tbl>
    <w:p w14:paraId="6D5C7571">
      <w:pPr>
        <w:bidi w:val="0"/>
        <w:rPr>
          <w:rFonts w:hint="default"/>
          <w:color w:val="auto"/>
          <w:lang w:val="en-US" w:eastAsia="zh-CN"/>
        </w:rPr>
      </w:pPr>
      <w:r>
        <w:rPr>
          <w:rFonts w:hint="default"/>
          <w:color w:val="auto"/>
          <w:lang w:val="en-US" w:eastAsia="zh-CN"/>
        </w:rPr>
        <w:t>（3）风险分级</w:t>
      </w:r>
    </w:p>
    <w:p w14:paraId="13268453">
      <w:pPr>
        <w:bidi w:val="0"/>
        <w:rPr>
          <w:rFonts w:hint="default"/>
          <w:color w:val="auto"/>
          <w:lang w:val="en-US" w:eastAsia="zh-CN"/>
        </w:rPr>
      </w:pPr>
      <w:r>
        <w:rPr>
          <w:rFonts w:hint="default"/>
          <w:color w:val="auto"/>
          <w:lang w:val="en-US" w:eastAsia="zh-CN"/>
        </w:rPr>
        <w:t>采用科学方法对危险源所伴随的风险进行定量或定性评价，对评价结果进行划分等级（根据有关文件及标准暂定为</w:t>
      </w:r>
      <w:r>
        <w:rPr>
          <w:rFonts w:hint="eastAsia"/>
          <w:color w:val="auto"/>
          <w:lang w:val="en-US" w:eastAsia="zh-CN"/>
        </w:rPr>
        <w:t>“</w:t>
      </w:r>
      <w:r>
        <w:rPr>
          <w:rFonts w:hint="default"/>
          <w:color w:val="auto"/>
          <w:lang w:val="en-US" w:eastAsia="zh-CN"/>
        </w:rPr>
        <w:t>红、橙、黄、蓝</w:t>
      </w:r>
      <w:r>
        <w:rPr>
          <w:rFonts w:hint="eastAsia"/>
          <w:color w:val="auto"/>
          <w:lang w:val="en-US" w:eastAsia="zh-CN"/>
        </w:rPr>
        <w:t>”</w:t>
      </w:r>
      <w:r>
        <w:rPr>
          <w:rFonts w:hint="default"/>
          <w:color w:val="auto"/>
          <w:lang w:val="en-US" w:eastAsia="zh-CN"/>
        </w:rPr>
        <w:t>四级，企业原5级划分标准可参照进行调整）。</w:t>
      </w:r>
    </w:p>
    <w:p w14:paraId="5B200334">
      <w:pPr>
        <w:bidi w:val="0"/>
        <w:ind w:left="0" w:leftChars="0" w:firstLine="0" w:firstLineChars="0"/>
        <w:jc w:val="center"/>
        <w:rPr>
          <w:rFonts w:hint="default"/>
          <w:color w:val="auto"/>
          <w:lang w:val="en-US" w:eastAsia="zh-CN"/>
        </w:rPr>
      </w:pPr>
      <w:r>
        <w:rPr>
          <w:rFonts w:hint="default"/>
          <w:color w:val="auto"/>
          <w:lang w:val="en-US" w:eastAsia="zh-CN"/>
        </w:rPr>
        <w:t>表5</w:t>
      </w:r>
      <w:r>
        <w:rPr>
          <w:rFonts w:hint="eastAsia"/>
          <w:color w:val="auto"/>
          <w:lang w:val="en-US" w:eastAsia="zh-CN"/>
        </w:rPr>
        <w:t>.3</w:t>
      </w:r>
      <w:r>
        <w:rPr>
          <w:rFonts w:hint="default"/>
          <w:color w:val="auto"/>
          <w:lang w:val="en-US" w:eastAsia="zh-CN"/>
        </w:rPr>
        <w:t>-</w:t>
      </w:r>
      <w:r>
        <w:rPr>
          <w:rFonts w:hint="eastAsia"/>
          <w:color w:val="auto"/>
          <w:lang w:val="en-US" w:eastAsia="zh-CN"/>
        </w:rPr>
        <w:t xml:space="preserve">10 </w:t>
      </w:r>
      <w:r>
        <w:rPr>
          <w:rFonts w:hint="default"/>
          <w:color w:val="auto"/>
          <w:lang w:val="en-US" w:eastAsia="zh-CN"/>
        </w:rPr>
        <w:t>风险分级与LEC法、LS法风险等级的对应关系</w:t>
      </w:r>
    </w:p>
    <w:tbl>
      <w:tblPr>
        <w:tblStyle w:val="19"/>
        <w:tblW w:w="0" w:type="auto"/>
        <w:tblInd w:w="98" w:type="dxa"/>
        <w:tblLayout w:type="fixed"/>
        <w:tblCellMar>
          <w:top w:w="0" w:type="dxa"/>
          <w:left w:w="10" w:type="dxa"/>
          <w:bottom w:w="0" w:type="dxa"/>
          <w:right w:w="10" w:type="dxa"/>
        </w:tblCellMar>
      </w:tblPr>
      <w:tblGrid>
        <w:gridCol w:w="2784"/>
        <w:gridCol w:w="3346"/>
        <w:gridCol w:w="1260"/>
        <w:gridCol w:w="1440"/>
      </w:tblGrid>
      <w:tr w14:paraId="034BA499">
        <w:tblPrEx>
          <w:tblCellMar>
            <w:top w:w="0" w:type="dxa"/>
            <w:left w:w="10" w:type="dxa"/>
            <w:bottom w:w="0" w:type="dxa"/>
            <w:right w:w="10" w:type="dxa"/>
          </w:tblCellMar>
        </w:tblPrEx>
        <w:trPr>
          <w:trHeight w:val="90" w:hRule="atLeast"/>
        </w:trPr>
        <w:tc>
          <w:tcPr>
            <w:tcW w:w="2784" w:type="dxa"/>
            <w:tcBorders>
              <w:top w:val="single" w:color="000000" w:sz="4" w:space="0"/>
              <w:left w:val="single" w:color="000000" w:sz="4" w:space="0"/>
              <w:bottom w:val="single" w:color="000000" w:sz="4" w:space="0"/>
              <w:right w:val="single" w:color="000000" w:sz="4" w:space="0"/>
            </w:tcBorders>
            <w:noWrap w:val="0"/>
            <w:tcMar>
              <w:left w:w="108" w:type="dxa"/>
              <w:right w:w="108" w:type="dxa"/>
            </w:tcMar>
            <w:vAlign w:val="center"/>
          </w:tcPr>
          <w:p w14:paraId="257D2BC4">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风险等级</w:t>
            </w:r>
          </w:p>
        </w:tc>
        <w:tc>
          <w:tcPr>
            <w:tcW w:w="3346" w:type="dxa"/>
            <w:tcBorders>
              <w:top w:val="single" w:color="000000" w:sz="4" w:space="0"/>
              <w:left w:val="single" w:color="000000" w:sz="4" w:space="0"/>
              <w:bottom w:val="single" w:color="000000" w:sz="4" w:space="0"/>
              <w:right w:val="single" w:color="000000" w:sz="4" w:space="0"/>
            </w:tcBorders>
            <w:noWrap w:val="0"/>
            <w:tcMar>
              <w:left w:w="108" w:type="dxa"/>
              <w:right w:w="108" w:type="dxa"/>
            </w:tcMar>
            <w:vAlign w:val="center"/>
          </w:tcPr>
          <w:p w14:paraId="7FD81175">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风险描述</w:t>
            </w:r>
          </w:p>
        </w:tc>
        <w:tc>
          <w:tcPr>
            <w:tcW w:w="1260" w:type="dxa"/>
            <w:tcBorders>
              <w:top w:val="single" w:color="000000" w:sz="4" w:space="0"/>
              <w:left w:val="single" w:color="000000" w:sz="4" w:space="0"/>
              <w:bottom w:val="single" w:color="000000" w:sz="4" w:space="0"/>
              <w:right w:val="single" w:color="000000" w:sz="4" w:space="0"/>
            </w:tcBorders>
            <w:noWrap w:val="0"/>
            <w:tcMar>
              <w:left w:w="108" w:type="dxa"/>
              <w:right w:w="108" w:type="dxa"/>
            </w:tcMar>
            <w:vAlign w:val="center"/>
          </w:tcPr>
          <w:p w14:paraId="79AFB204">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LEC法</w:t>
            </w:r>
          </w:p>
          <w:p w14:paraId="49FFE14A">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风险等级</w:t>
            </w:r>
          </w:p>
        </w:tc>
        <w:tc>
          <w:tcPr>
            <w:tcW w:w="1440" w:type="dxa"/>
            <w:tcBorders>
              <w:top w:val="single" w:color="000000" w:sz="4" w:space="0"/>
              <w:left w:val="single" w:color="000000" w:sz="4" w:space="0"/>
              <w:bottom w:val="single" w:color="000000" w:sz="4" w:space="0"/>
              <w:right w:val="single" w:color="000000" w:sz="4" w:space="0"/>
            </w:tcBorders>
            <w:noWrap w:val="0"/>
            <w:tcMar>
              <w:left w:w="108" w:type="dxa"/>
              <w:right w:w="108" w:type="dxa"/>
            </w:tcMar>
            <w:vAlign w:val="center"/>
          </w:tcPr>
          <w:p w14:paraId="5BF86B3F">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LS法</w:t>
            </w:r>
          </w:p>
          <w:p w14:paraId="2F50A996">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风险等级</w:t>
            </w:r>
          </w:p>
        </w:tc>
      </w:tr>
      <w:tr w14:paraId="2CCD4778">
        <w:tblPrEx>
          <w:tblCellMar>
            <w:top w:w="0" w:type="dxa"/>
            <w:left w:w="10" w:type="dxa"/>
            <w:bottom w:w="0" w:type="dxa"/>
            <w:right w:w="10" w:type="dxa"/>
          </w:tblCellMar>
        </w:tblPrEx>
        <w:trPr>
          <w:trHeight w:val="1" w:hRule="atLeast"/>
        </w:trPr>
        <w:tc>
          <w:tcPr>
            <w:tcW w:w="2784" w:type="dxa"/>
            <w:vMerge w:val="restart"/>
            <w:tcBorders>
              <w:top w:val="single" w:color="000000" w:sz="4" w:space="0"/>
              <w:left w:val="single" w:color="000000" w:sz="4" w:space="0"/>
              <w:bottom w:val="single" w:color="000000" w:sz="4" w:space="0"/>
              <w:right w:val="single" w:color="000000" w:sz="4" w:space="0"/>
            </w:tcBorders>
            <w:shd w:val="clear" w:color="auto" w:fill="9CC2E5"/>
            <w:noWrap w:val="0"/>
            <w:tcMar>
              <w:left w:w="108" w:type="dxa"/>
              <w:right w:w="108" w:type="dxa"/>
            </w:tcMar>
            <w:vAlign w:val="center"/>
          </w:tcPr>
          <w:p w14:paraId="04A8D9B9">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蓝色风险（或低风险）</w:t>
            </w:r>
          </w:p>
        </w:tc>
        <w:tc>
          <w:tcPr>
            <w:tcW w:w="3346" w:type="dxa"/>
            <w:tcBorders>
              <w:top w:val="single" w:color="000000" w:sz="4" w:space="0"/>
              <w:left w:val="single" w:color="000000" w:sz="4" w:space="0"/>
              <w:bottom w:val="single" w:color="000000" w:sz="4" w:space="0"/>
              <w:right w:val="single" w:color="000000" w:sz="4" w:space="0"/>
            </w:tcBorders>
            <w:noWrap w:val="0"/>
            <w:tcMar>
              <w:left w:w="108" w:type="dxa"/>
              <w:right w:w="108" w:type="dxa"/>
            </w:tcMar>
            <w:vAlign w:val="center"/>
          </w:tcPr>
          <w:p w14:paraId="5223C1AC">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稍有危险，需要注意（或可忽略的）</w:t>
            </w:r>
          </w:p>
        </w:tc>
        <w:tc>
          <w:tcPr>
            <w:tcW w:w="1260" w:type="dxa"/>
            <w:tcBorders>
              <w:top w:val="single" w:color="000000" w:sz="4" w:space="0"/>
              <w:left w:val="single" w:color="000000" w:sz="4" w:space="0"/>
              <w:bottom w:val="single" w:color="000000" w:sz="4" w:space="0"/>
              <w:right w:val="single" w:color="000000" w:sz="4" w:space="0"/>
            </w:tcBorders>
            <w:noWrap w:val="0"/>
            <w:tcMar>
              <w:left w:w="108" w:type="dxa"/>
              <w:right w:w="108" w:type="dxa"/>
            </w:tcMar>
            <w:vAlign w:val="center"/>
          </w:tcPr>
          <w:p w14:paraId="32ABF139">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A</w:t>
            </w:r>
          </w:p>
        </w:tc>
        <w:tc>
          <w:tcPr>
            <w:tcW w:w="1440" w:type="dxa"/>
            <w:tcBorders>
              <w:top w:val="single" w:color="000000" w:sz="4" w:space="0"/>
              <w:left w:val="single" w:color="000000" w:sz="4" w:space="0"/>
              <w:bottom w:val="single" w:color="000000" w:sz="4" w:space="0"/>
              <w:right w:val="single" w:color="000000" w:sz="4" w:space="0"/>
            </w:tcBorders>
            <w:noWrap w:val="0"/>
            <w:tcMar>
              <w:left w:w="108" w:type="dxa"/>
              <w:right w:w="108" w:type="dxa"/>
            </w:tcMar>
            <w:vAlign w:val="center"/>
          </w:tcPr>
          <w:p w14:paraId="1CC03DEE">
            <w:pPr>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V</w:t>
            </w:r>
          </w:p>
        </w:tc>
      </w:tr>
      <w:tr w14:paraId="795CA2C5">
        <w:tblPrEx>
          <w:tblCellMar>
            <w:top w:w="0" w:type="dxa"/>
            <w:left w:w="10" w:type="dxa"/>
            <w:bottom w:w="0" w:type="dxa"/>
            <w:right w:w="10" w:type="dxa"/>
          </w:tblCellMar>
        </w:tblPrEx>
        <w:trPr>
          <w:trHeight w:val="1" w:hRule="atLeast"/>
        </w:trPr>
        <w:tc>
          <w:tcPr>
            <w:tcW w:w="2784" w:type="dxa"/>
            <w:vMerge w:val="continue"/>
            <w:tcBorders>
              <w:top w:val="single" w:color="000000" w:sz="4" w:space="0"/>
              <w:left w:val="single" w:color="000000" w:sz="4" w:space="0"/>
              <w:bottom w:val="single" w:color="000000" w:sz="4" w:space="0"/>
              <w:right w:val="single" w:color="000000" w:sz="4" w:space="0"/>
            </w:tcBorders>
            <w:shd w:val="clear" w:color="auto" w:fill="9CC2E5"/>
            <w:noWrap w:val="0"/>
            <w:tcMar>
              <w:left w:w="108" w:type="dxa"/>
              <w:right w:w="108" w:type="dxa"/>
            </w:tcMar>
            <w:vAlign w:val="center"/>
          </w:tcPr>
          <w:p w14:paraId="755C1C75">
            <w:pPr>
              <w:spacing w:line="300" w:lineRule="exact"/>
              <w:ind w:firstLine="0" w:firstLineChars="0"/>
              <w:jc w:val="center"/>
              <w:rPr>
                <w:rFonts w:ascii="Times New Roman" w:hAnsi="Times New Roman" w:eastAsia="宋体" w:cs="Times New Roman"/>
                <w:color w:val="auto"/>
                <w:sz w:val="21"/>
                <w:szCs w:val="21"/>
              </w:rPr>
            </w:pPr>
          </w:p>
        </w:tc>
        <w:tc>
          <w:tcPr>
            <w:tcW w:w="3346" w:type="dxa"/>
            <w:tcBorders>
              <w:top w:val="single" w:color="000000" w:sz="4" w:space="0"/>
              <w:left w:val="single" w:color="000000" w:sz="4" w:space="0"/>
              <w:bottom w:val="single" w:color="000000" w:sz="4" w:space="0"/>
              <w:right w:val="single" w:color="000000" w:sz="4" w:space="0"/>
            </w:tcBorders>
            <w:noWrap w:val="0"/>
            <w:tcMar>
              <w:left w:w="108" w:type="dxa"/>
              <w:right w:w="108" w:type="dxa"/>
            </w:tcMar>
            <w:vAlign w:val="center"/>
          </w:tcPr>
          <w:p w14:paraId="623EA389">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轻度危险，可以接受（或可容许的）</w:t>
            </w:r>
          </w:p>
        </w:tc>
        <w:tc>
          <w:tcPr>
            <w:tcW w:w="1260" w:type="dxa"/>
            <w:tcBorders>
              <w:top w:val="single" w:color="000000" w:sz="4" w:space="0"/>
              <w:left w:val="single" w:color="000000" w:sz="4" w:space="0"/>
              <w:bottom w:val="single" w:color="000000" w:sz="4" w:space="0"/>
              <w:right w:val="single" w:color="000000" w:sz="4" w:space="0"/>
            </w:tcBorders>
            <w:noWrap w:val="0"/>
            <w:tcMar>
              <w:left w:w="108" w:type="dxa"/>
              <w:right w:w="108" w:type="dxa"/>
            </w:tcMar>
            <w:vAlign w:val="center"/>
          </w:tcPr>
          <w:p w14:paraId="2D316AD8">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B</w:t>
            </w:r>
          </w:p>
        </w:tc>
        <w:tc>
          <w:tcPr>
            <w:tcW w:w="1440" w:type="dxa"/>
            <w:tcBorders>
              <w:top w:val="single" w:color="000000" w:sz="4" w:space="0"/>
              <w:left w:val="single" w:color="000000" w:sz="4" w:space="0"/>
              <w:bottom w:val="single" w:color="000000" w:sz="4" w:space="0"/>
              <w:right w:val="single" w:color="000000" w:sz="4" w:space="0"/>
            </w:tcBorders>
            <w:noWrap w:val="0"/>
            <w:tcMar>
              <w:left w:w="108" w:type="dxa"/>
              <w:right w:w="108" w:type="dxa"/>
            </w:tcMar>
            <w:vAlign w:val="center"/>
          </w:tcPr>
          <w:p w14:paraId="6EBB6E63">
            <w:pPr>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IV</w:t>
            </w:r>
          </w:p>
        </w:tc>
      </w:tr>
      <w:tr w14:paraId="13B999B6">
        <w:tblPrEx>
          <w:tblCellMar>
            <w:top w:w="0" w:type="dxa"/>
            <w:left w:w="10" w:type="dxa"/>
            <w:bottom w:w="0" w:type="dxa"/>
            <w:right w:w="10" w:type="dxa"/>
          </w:tblCellMar>
        </w:tblPrEx>
        <w:trPr>
          <w:trHeight w:val="1" w:hRule="atLeast"/>
        </w:trPr>
        <w:tc>
          <w:tcPr>
            <w:tcW w:w="2784" w:type="dxa"/>
            <w:tcBorders>
              <w:top w:val="single" w:color="000000" w:sz="4" w:space="0"/>
              <w:left w:val="single" w:color="000000" w:sz="4" w:space="0"/>
              <w:bottom w:val="single" w:color="000000" w:sz="4" w:space="0"/>
              <w:right w:val="single" w:color="000000" w:sz="4" w:space="0"/>
            </w:tcBorders>
            <w:shd w:val="clear" w:color="auto" w:fill="FFFF00"/>
            <w:noWrap w:val="0"/>
            <w:tcMar>
              <w:left w:w="108" w:type="dxa"/>
              <w:right w:w="108" w:type="dxa"/>
            </w:tcMar>
            <w:vAlign w:val="center"/>
          </w:tcPr>
          <w:p w14:paraId="76A32729">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黄色风险（或一般风险）</w:t>
            </w:r>
          </w:p>
        </w:tc>
        <w:tc>
          <w:tcPr>
            <w:tcW w:w="3346" w:type="dxa"/>
            <w:tcBorders>
              <w:top w:val="single" w:color="000000" w:sz="4" w:space="0"/>
              <w:left w:val="single" w:color="000000" w:sz="4" w:space="0"/>
              <w:bottom w:val="single" w:color="000000" w:sz="4" w:space="0"/>
              <w:right w:val="single" w:color="000000" w:sz="4" w:space="0"/>
            </w:tcBorders>
            <w:noWrap w:val="0"/>
            <w:tcMar>
              <w:left w:w="108" w:type="dxa"/>
              <w:right w:w="108" w:type="dxa"/>
            </w:tcMar>
            <w:vAlign w:val="center"/>
          </w:tcPr>
          <w:p w14:paraId="24B039A8">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中度危险，需要控制并整改</w:t>
            </w:r>
          </w:p>
        </w:tc>
        <w:tc>
          <w:tcPr>
            <w:tcW w:w="1260" w:type="dxa"/>
            <w:tcBorders>
              <w:top w:val="single" w:color="000000" w:sz="4" w:space="0"/>
              <w:left w:val="single" w:color="000000" w:sz="4" w:space="0"/>
              <w:bottom w:val="single" w:color="000000" w:sz="4" w:space="0"/>
              <w:right w:val="single" w:color="000000" w:sz="4" w:space="0"/>
            </w:tcBorders>
            <w:noWrap w:val="0"/>
            <w:tcMar>
              <w:left w:w="108" w:type="dxa"/>
              <w:right w:w="108" w:type="dxa"/>
            </w:tcMar>
            <w:vAlign w:val="center"/>
          </w:tcPr>
          <w:p w14:paraId="0BD564C1">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C</w:t>
            </w:r>
          </w:p>
        </w:tc>
        <w:tc>
          <w:tcPr>
            <w:tcW w:w="1440" w:type="dxa"/>
            <w:tcBorders>
              <w:top w:val="single" w:color="000000" w:sz="4" w:space="0"/>
              <w:left w:val="single" w:color="000000" w:sz="4" w:space="0"/>
              <w:bottom w:val="single" w:color="000000" w:sz="4" w:space="0"/>
              <w:right w:val="single" w:color="000000" w:sz="4" w:space="0"/>
            </w:tcBorders>
            <w:noWrap w:val="0"/>
            <w:tcMar>
              <w:left w:w="108" w:type="dxa"/>
              <w:right w:w="108" w:type="dxa"/>
            </w:tcMar>
            <w:vAlign w:val="center"/>
          </w:tcPr>
          <w:p w14:paraId="28D89383">
            <w:pPr>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III</w:t>
            </w:r>
          </w:p>
        </w:tc>
      </w:tr>
      <w:tr w14:paraId="76805332">
        <w:tblPrEx>
          <w:tblCellMar>
            <w:top w:w="0" w:type="dxa"/>
            <w:left w:w="10" w:type="dxa"/>
            <w:bottom w:w="0" w:type="dxa"/>
            <w:right w:w="10" w:type="dxa"/>
          </w:tblCellMar>
        </w:tblPrEx>
        <w:trPr>
          <w:trHeight w:val="1" w:hRule="atLeast"/>
        </w:trPr>
        <w:tc>
          <w:tcPr>
            <w:tcW w:w="2784" w:type="dxa"/>
            <w:tcBorders>
              <w:top w:val="single" w:color="000000" w:sz="4" w:space="0"/>
              <w:left w:val="single" w:color="000000" w:sz="4" w:space="0"/>
              <w:bottom w:val="single" w:color="000000" w:sz="4" w:space="0"/>
              <w:right w:val="single" w:color="000000" w:sz="4" w:space="0"/>
            </w:tcBorders>
            <w:shd w:val="clear" w:color="auto" w:fill="ED7D31"/>
            <w:noWrap w:val="0"/>
            <w:tcMar>
              <w:left w:w="108" w:type="dxa"/>
              <w:right w:w="108" w:type="dxa"/>
            </w:tcMar>
            <w:vAlign w:val="center"/>
          </w:tcPr>
          <w:p w14:paraId="7343F014">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橙色风险（或较大风险）</w:t>
            </w:r>
          </w:p>
        </w:tc>
        <w:tc>
          <w:tcPr>
            <w:tcW w:w="3346" w:type="dxa"/>
            <w:tcBorders>
              <w:top w:val="single" w:color="000000" w:sz="4" w:space="0"/>
              <w:left w:val="single" w:color="000000" w:sz="4" w:space="0"/>
              <w:bottom w:val="single" w:color="000000" w:sz="4" w:space="0"/>
              <w:right w:val="single" w:color="000000" w:sz="4" w:space="0"/>
            </w:tcBorders>
            <w:noWrap w:val="0"/>
            <w:tcMar>
              <w:left w:w="108" w:type="dxa"/>
              <w:right w:w="108" w:type="dxa"/>
            </w:tcMar>
            <w:vAlign w:val="center"/>
          </w:tcPr>
          <w:p w14:paraId="230BC6C7">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高度危险（较大风险），应制定措施进行控制管理</w:t>
            </w:r>
          </w:p>
        </w:tc>
        <w:tc>
          <w:tcPr>
            <w:tcW w:w="1260" w:type="dxa"/>
            <w:tcBorders>
              <w:top w:val="single" w:color="000000" w:sz="4" w:space="0"/>
              <w:left w:val="single" w:color="000000" w:sz="4" w:space="0"/>
              <w:bottom w:val="single" w:color="000000" w:sz="4" w:space="0"/>
              <w:right w:val="single" w:color="000000" w:sz="4" w:space="0"/>
            </w:tcBorders>
            <w:noWrap w:val="0"/>
            <w:tcMar>
              <w:left w:w="108" w:type="dxa"/>
              <w:right w:w="108" w:type="dxa"/>
            </w:tcMar>
            <w:vAlign w:val="center"/>
          </w:tcPr>
          <w:p w14:paraId="19A1A35E">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D</w:t>
            </w:r>
          </w:p>
        </w:tc>
        <w:tc>
          <w:tcPr>
            <w:tcW w:w="1440" w:type="dxa"/>
            <w:tcBorders>
              <w:top w:val="single" w:color="000000" w:sz="4" w:space="0"/>
              <w:left w:val="single" w:color="000000" w:sz="4" w:space="0"/>
              <w:bottom w:val="single" w:color="000000" w:sz="4" w:space="0"/>
              <w:right w:val="single" w:color="000000" w:sz="4" w:space="0"/>
            </w:tcBorders>
            <w:noWrap w:val="0"/>
            <w:tcMar>
              <w:left w:w="108" w:type="dxa"/>
              <w:right w:w="108" w:type="dxa"/>
            </w:tcMar>
            <w:vAlign w:val="center"/>
          </w:tcPr>
          <w:p w14:paraId="4131E0D1">
            <w:pPr>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II</w:t>
            </w:r>
          </w:p>
        </w:tc>
      </w:tr>
      <w:tr w14:paraId="2C370D8B">
        <w:tblPrEx>
          <w:tblCellMar>
            <w:top w:w="0" w:type="dxa"/>
            <w:left w:w="10" w:type="dxa"/>
            <w:bottom w:w="0" w:type="dxa"/>
            <w:right w:w="10" w:type="dxa"/>
          </w:tblCellMar>
        </w:tblPrEx>
        <w:trPr>
          <w:trHeight w:val="1" w:hRule="atLeast"/>
        </w:trPr>
        <w:tc>
          <w:tcPr>
            <w:tcW w:w="2784" w:type="dxa"/>
            <w:tcBorders>
              <w:top w:val="single" w:color="000000" w:sz="4" w:space="0"/>
              <w:left w:val="single" w:color="000000" w:sz="4" w:space="0"/>
              <w:bottom w:val="single" w:color="000000" w:sz="4" w:space="0"/>
              <w:right w:val="single" w:color="000000" w:sz="4" w:space="0"/>
            </w:tcBorders>
            <w:shd w:val="clear" w:color="auto" w:fill="FF0000"/>
            <w:noWrap w:val="0"/>
            <w:tcMar>
              <w:left w:w="108" w:type="dxa"/>
              <w:right w:w="108" w:type="dxa"/>
            </w:tcMar>
            <w:vAlign w:val="center"/>
          </w:tcPr>
          <w:p w14:paraId="507ED021">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红色风险（或重大风险）</w:t>
            </w:r>
          </w:p>
        </w:tc>
        <w:tc>
          <w:tcPr>
            <w:tcW w:w="3346" w:type="dxa"/>
            <w:tcBorders>
              <w:top w:val="single" w:color="000000" w:sz="4" w:space="0"/>
              <w:left w:val="single" w:color="000000" w:sz="4" w:space="0"/>
              <w:bottom w:val="single" w:color="000000" w:sz="4" w:space="0"/>
              <w:right w:val="single" w:color="000000" w:sz="4" w:space="0"/>
            </w:tcBorders>
            <w:noWrap w:val="0"/>
            <w:tcMar>
              <w:left w:w="108" w:type="dxa"/>
              <w:right w:w="108" w:type="dxa"/>
            </w:tcMar>
            <w:vAlign w:val="center"/>
          </w:tcPr>
          <w:p w14:paraId="430079FA">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不可容许的（重大风险），极其危险，必须立即整改，不能继续作业。</w:t>
            </w:r>
          </w:p>
        </w:tc>
        <w:tc>
          <w:tcPr>
            <w:tcW w:w="1260" w:type="dxa"/>
            <w:tcBorders>
              <w:top w:val="single" w:color="000000" w:sz="4" w:space="0"/>
              <w:left w:val="single" w:color="000000" w:sz="4" w:space="0"/>
              <w:bottom w:val="single" w:color="000000" w:sz="4" w:space="0"/>
              <w:right w:val="single" w:color="000000" w:sz="4" w:space="0"/>
            </w:tcBorders>
            <w:noWrap w:val="0"/>
            <w:tcMar>
              <w:left w:w="108" w:type="dxa"/>
              <w:right w:w="108" w:type="dxa"/>
            </w:tcMar>
            <w:vAlign w:val="center"/>
          </w:tcPr>
          <w:p w14:paraId="03EB40F8">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E</w:t>
            </w:r>
          </w:p>
        </w:tc>
        <w:tc>
          <w:tcPr>
            <w:tcW w:w="1440" w:type="dxa"/>
            <w:tcBorders>
              <w:top w:val="single" w:color="000000" w:sz="4" w:space="0"/>
              <w:left w:val="single" w:color="000000" w:sz="4" w:space="0"/>
              <w:bottom w:val="single" w:color="000000" w:sz="4" w:space="0"/>
              <w:right w:val="single" w:color="000000" w:sz="4" w:space="0"/>
            </w:tcBorders>
            <w:noWrap w:val="0"/>
            <w:tcMar>
              <w:left w:w="108" w:type="dxa"/>
              <w:right w:w="108" w:type="dxa"/>
            </w:tcMar>
            <w:vAlign w:val="center"/>
          </w:tcPr>
          <w:p w14:paraId="2A3CAEB4">
            <w:pPr>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I</w:t>
            </w:r>
          </w:p>
        </w:tc>
      </w:tr>
    </w:tbl>
    <w:p w14:paraId="6ABC8C61">
      <w:pPr>
        <w:pStyle w:val="3"/>
        <w:bidi w:val="0"/>
        <w:rPr>
          <w:rFonts w:hint="default"/>
          <w:color w:val="auto"/>
          <w:lang w:val="en-US" w:eastAsia="zh-CN"/>
        </w:rPr>
      </w:pPr>
      <w:bookmarkStart w:id="132" w:name="_Toc18463"/>
      <w:r>
        <w:rPr>
          <w:rFonts w:hint="default"/>
          <w:color w:val="auto"/>
          <w:lang w:val="en-US" w:eastAsia="zh-CN"/>
        </w:rPr>
        <w:t>5.4</w:t>
      </w:r>
      <w:r>
        <w:rPr>
          <w:rFonts w:hint="eastAsia"/>
          <w:color w:val="auto"/>
          <w:lang w:val="en-US" w:eastAsia="zh-CN"/>
        </w:rPr>
        <w:t xml:space="preserve"> </w:t>
      </w:r>
      <w:r>
        <w:rPr>
          <w:rFonts w:hint="default"/>
          <w:color w:val="auto"/>
          <w:lang w:val="en-US" w:eastAsia="zh-CN"/>
        </w:rPr>
        <w:t>尾矿库风险分析</w:t>
      </w:r>
      <w:bookmarkEnd w:id="132"/>
    </w:p>
    <w:p w14:paraId="3AA116A7">
      <w:pPr>
        <w:pStyle w:val="4"/>
        <w:bidi w:val="0"/>
        <w:rPr>
          <w:rFonts w:hint="default"/>
          <w:color w:val="auto"/>
          <w:lang w:val="en-US" w:eastAsia="zh-CN"/>
        </w:rPr>
      </w:pPr>
      <w:bookmarkStart w:id="133" w:name="_Toc24260"/>
      <w:r>
        <w:rPr>
          <w:rFonts w:hint="default"/>
          <w:color w:val="auto"/>
          <w:lang w:val="en-US" w:eastAsia="zh-CN"/>
        </w:rPr>
        <w:t>5.4.1 LEC法分析</w:t>
      </w:r>
      <w:bookmarkEnd w:id="133"/>
    </w:p>
    <w:p w14:paraId="78DE26A4">
      <w:pPr>
        <w:bidi w:val="0"/>
        <w:rPr>
          <w:rFonts w:hint="default"/>
          <w:color w:val="auto"/>
          <w:lang w:val="en-US" w:eastAsia="zh-CN"/>
        </w:rPr>
      </w:pPr>
      <w:r>
        <w:rPr>
          <w:rFonts w:hint="default"/>
          <w:color w:val="auto"/>
          <w:lang w:val="en-US" w:eastAsia="zh-CN"/>
        </w:rPr>
        <w:t>一、暴雨</w:t>
      </w:r>
    </w:p>
    <w:p w14:paraId="5B105B9D">
      <w:pPr>
        <w:bidi w:val="0"/>
        <w:rPr>
          <w:rFonts w:hint="default"/>
          <w:color w:val="auto"/>
          <w:lang w:val="en-US" w:eastAsia="zh-CN"/>
        </w:rPr>
      </w:pPr>
      <w:r>
        <w:rPr>
          <w:rFonts w:hint="default"/>
          <w:color w:val="auto"/>
          <w:lang w:val="en-US" w:eastAsia="zh-CN"/>
        </w:rPr>
        <w:t>1.1</w:t>
      </w:r>
      <w:r>
        <w:rPr>
          <w:rFonts w:hint="eastAsia"/>
          <w:color w:val="auto"/>
          <w:lang w:val="en-US" w:eastAsia="zh-CN"/>
        </w:rPr>
        <w:t xml:space="preserve"> </w:t>
      </w:r>
      <w:r>
        <w:rPr>
          <w:rFonts w:hint="default"/>
          <w:color w:val="auto"/>
          <w:lang w:val="en-US" w:eastAsia="zh-CN"/>
        </w:rPr>
        <w:t>暴雨危害</w:t>
      </w:r>
    </w:p>
    <w:p w14:paraId="298C72C2">
      <w:pPr>
        <w:bidi w:val="0"/>
        <w:rPr>
          <w:rFonts w:hint="default"/>
          <w:color w:val="auto"/>
          <w:lang w:val="en-US" w:eastAsia="zh-CN"/>
        </w:rPr>
      </w:pPr>
      <w:r>
        <w:rPr>
          <w:rFonts w:hint="default"/>
          <w:color w:val="auto"/>
          <w:lang w:val="en-US" w:eastAsia="zh-CN"/>
        </w:rPr>
        <w:t>（1）库水位暴涨、山体坍塌（滑坡、泥石流）、尾矿坝坝坡面拉沟，可能造成洪水漫顶继而溃坝，给下游带来危害。</w:t>
      </w:r>
    </w:p>
    <w:p w14:paraId="0B5302E1">
      <w:pPr>
        <w:bidi w:val="0"/>
        <w:rPr>
          <w:rFonts w:hint="default"/>
          <w:color w:val="auto"/>
          <w:lang w:val="en-US" w:eastAsia="zh-CN"/>
        </w:rPr>
      </w:pPr>
      <w:r>
        <w:rPr>
          <w:rFonts w:hint="default"/>
          <w:color w:val="auto"/>
          <w:lang w:val="en-US" w:eastAsia="zh-CN"/>
        </w:rPr>
        <w:t>（2）作业人员冒雨作业，作业过程中存在的风险是：雷击、淹溺、摔伤等。</w:t>
      </w:r>
    </w:p>
    <w:p w14:paraId="1B2EFE7F">
      <w:pPr>
        <w:bidi w:val="0"/>
        <w:rPr>
          <w:rFonts w:hint="default"/>
          <w:color w:val="auto"/>
          <w:lang w:val="en-US" w:eastAsia="zh-CN"/>
        </w:rPr>
      </w:pPr>
      <w:r>
        <w:rPr>
          <w:rFonts w:hint="default"/>
          <w:color w:val="auto"/>
          <w:lang w:val="en-US" w:eastAsia="zh-CN"/>
        </w:rPr>
        <w:t>1.2</w:t>
      </w:r>
      <w:r>
        <w:rPr>
          <w:rFonts w:hint="eastAsia"/>
          <w:color w:val="auto"/>
          <w:lang w:val="en-US" w:eastAsia="zh-CN"/>
        </w:rPr>
        <w:t xml:space="preserve"> </w:t>
      </w:r>
      <w:r>
        <w:rPr>
          <w:rFonts w:hint="default"/>
          <w:color w:val="auto"/>
          <w:lang w:val="en-US" w:eastAsia="zh-CN"/>
        </w:rPr>
        <w:t>风险分析</w:t>
      </w:r>
    </w:p>
    <w:p w14:paraId="5C6792A4">
      <w:pPr>
        <w:bidi w:val="0"/>
        <w:rPr>
          <w:rFonts w:hint="default"/>
          <w:color w:val="auto"/>
          <w:lang w:val="en-US" w:eastAsia="zh-CN"/>
        </w:rPr>
      </w:pPr>
      <w:r>
        <w:rPr>
          <w:rFonts w:hint="default"/>
          <w:color w:val="auto"/>
          <w:lang w:val="en-US" w:eastAsia="zh-CN"/>
        </w:rPr>
        <w:t>（1）库水位暴涨</w:t>
      </w:r>
    </w:p>
    <w:p w14:paraId="67AB972A">
      <w:pPr>
        <w:bidi w:val="0"/>
        <w:rPr>
          <w:rFonts w:hint="default"/>
          <w:color w:val="auto"/>
          <w:lang w:val="en-US" w:eastAsia="zh-CN"/>
        </w:rPr>
      </w:pPr>
      <w:r>
        <w:rPr>
          <w:rFonts w:hint="default"/>
          <w:color w:val="auto"/>
          <w:lang w:val="en-US" w:eastAsia="zh-CN"/>
        </w:rPr>
        <w:t>事故或危险事件发生可能性分值L，取3；</w:t>
      </w:r>
    </w:p>
    <w:p w14:paraId="77EE82BA">
      <w:pPr>
        <w:bidi w:val="0"/>
        <w:rPr>
          <w:rFonts w:hint="default"/>
          <w:color w:val="auto"/>
          <w:lang w:val="en-US" w:eastAsia="zh-CN"/>
        </w:rPr>
      </w:pPr>
      <w:r>
        <w:rPr>
          <w:rFonts w:hint="default"/>
          <w:color w:val="auto"/>
          <w:lang w:val="en-US" w:eastAsia="zh-CN"/>
        </w:rPr>
        <w:t>暴露于危险环境的频率分值E，取3；</w:t>
      </w:r>
    </w:p>
    <w:p w14:paraId="6D98BE20">
      <w:pPr>
        <w:bidi w:val="0"/>
        <w:rPr>
          <w:rFonts w:hint="default"/>
          <w:color w:val="auto"/>
          <w:lang w:val="en-US" w:eastAsia="zh-CN"/>
        </w:rPr>
      </w:pPr>
      <w:r>
        <w:rPr>
          <w:rFonts w:hint="default"/>
          <w:color w:val="auto"/>
          <w:lang w:val="en-US" w:eastAsia="zh-CN"/>
        </w:rPr>
        <w:t>发生事故或危险事件可能结果分值C，取3。</w:t>
      </w:r>
    </w:p>
    <w:p w14:paraId="7AB2F037">
      <w:pPr>
        <w:bidi w:val="0"/>
        <w:rPr>
          <w:rFonts w:hint="default"/>
          <w:color w:val="auto"/>
          <w:lang w:val="en-US" w:eastAsia="zh-CN"/>
        </w:rPr>
      </w:pPr>
      <w:r>
        <w:rPr>
          <w:rFonts w:hint="default"/>
          <w:color w:val="auto"/>
          <w:lang w:val="en-US" w:eastAsia="zh-CN"/>
        </w:rPr>
        <w:t>作业条件的危险性D=3×3×3=27，属于轻度危险，需要定期检查。</w:t>
      </w:r>
    </w:p>
    <w:p w14:paraId="47D6B5D3">
      <w:pPr>
        <w:bidi w:val="0"/>
        <w:rPr>
          <w:rFonts w:hint="default"/>
          <w:color w:val="auto"/>
          <w:lang w:val="en-US" w:eastAsia="zh-CN"/>
        </w:rPr>
      </w:pPr>
      <w:r>
        <w:rPr>
          <w:rFonts w:hint="default"/>
          <w:color w:val="auto"/>
          <w:lang w:val="en-US" w:eastAsia="zh-CN"/>
        </w:rPr>
        <w:t>（2）山体坍塌、滑坡、泥石流</w:t>
      </w:r>
    </w:p>
    <w:p w14:paraId="2647DBF5">
      <w:pPr>
        <w:bidi w:val="0"/>
        <w:rPr>
          <w:rFonts w:hint="default"/>
          <w:color w:val="auto"/>
          <w:lang w:val="en-US" w:eastAsia="zh-CN"/>
        </w:rPr>
      </w:pPr>
      <w:r>
        <w:rPr>
          <w:rFonts w:hint="default"/>
          <w:color w:val="auto"/>
          <w:lang w:val="en-US" w:eastAsia="zh-CN"/>
        </w:rPr>
        <w:t>事故或危险事件发生可能性分值L，取1；</w:t>
      </w:r>
    </w:p>
    <w:p w14:paraId="287095DE">
      <w:pPr>
        <w:bidi w:val="0"/>
        <w:rPr>
          <w:rFonts w:hint="default"/>
          <w:color w:val="auto"/>
          <w:lang w:val="en-US" w:eastAsia="zh-CN"/>
        </w:rPr>
      </w:pPr>
      <w:r>
        <w:rPr>
          <w:rFonts w:hint="default"/>
          <w:color w:val="auto"/>
          <w:lang w:val="en-US" w:eastAsia="zh-CN"/>
        </w:rPr>
        <w:t>暴露于危险环境的频率分值E，取3；</w:t>
      </w:r>
    </w:p>
    <w:p w14:paraId="68129546">
      <w:pPr>
        <w:bidi w:val="0"/>
        <w:rPr>
          <w:rFonts w:hint="default"/>
          <w:color w:val="auto"/>
          <w:lang w:val="en-US" w:eastAsia="zh-CN"/>
        </w:rPr>
      </w:pPr>
      <w:r>
        <w:rPr>
          <w:rFonts w:hint="default"/>
          <w:color w:val="auto"/>
          <w:lang w:val="en-US" w:eastAsia="zh-CN"/>
        </w:rPr>
        <w:t>发生事故或危险事件可能结果分值C，取7。</w:t>
      </w:r>
    </w:p>
    <w:p w14:paraId="7856E1C8">
      <w:pPr>
        <w:bidi w:val="0"/>
        <w:rPr>
          <w:rFonts w:hint="default"/>
          <w:color w:val="auto"/>
          <w:lang w:val="en-US" w:eastAsia="zh-CN"/>
        </w:rPr>
      </w:pPr>
      <w:r>
        <w:rPr>
          <w:rFonts w:hint="default"/>
          <w:color w:val="auto"/>
          <w:lang w:val="en-US" w:eastAsia="zh-CN"/>
        </w:rPr>
        <w:t>作业条件的危险性D=1×3×7=21，属于轻度危险，需要定期检查。</w:t>
      </w:r>
    </w:p>
    <w:p w14:paraId="5D4085E1">
      <w:pPr>
        <w:bidi w:val="0"/>
        <w:rPr>
          <w:rFonts w:hint="default"/>
          <w:color w:val="auto"/>
          <w:lang w:val="en-US" w:eastAsia="zh-CN"/>
        </w:rPr>
      </w:pPr>
      <w:r>
        <w:rPr>
          <w:rFonts w:hint="default"/>
          <w:color w:val="auto"/>
          <w:lang w:val="en-US" w:eastAsia="zh-CN"/>
        </w:rPr>
        <w:t>（3）尾矿坝坝坡面拉沟</w:t>
      </w:r>
    </w:p>
    <w:p w14:paraId="7D946C19">
      <w:pPr>
        <w:bidi w:val="0"/>
        <w:rPr>
          <w:rFonts w:hint="default"/>
          <w:color w:val="auto"/>
          <w:lang w:val="en-US" w:eastAsia="zh-CN"/>
        </w:rPr>
      </w:pPr>
      <w:r>
        <w:rPr>
          <w:rFonts w:hint="default"/>
          <w:color w:val="auto"/>
          <w:lang w:val="en-US" w:eastAsia="zh-CN"/>
        </w:rPr>
        <w:t>事故或危险事件发生可能性分值L，取3；</w:t>
      </w:r>
    </w:p>
    <w:p w14:paraId="45058FCB">
      <w:pPr>
        <w:bidi w:val="0"/>
        <w:rPr>
          <w:rFonts w:hint="default"/>
          <w:color w:val="auto"/>
          <w:lang w:val="en-US" w:eastAsia="zh-CN"/>
        </w:rPr>
      </w:pPr>
      <w:r>
        <w:rPr>
          <w:rFonts w:hint="default"/>
          <w:color w:val="auto"/>
          <w:lang w:val="en-US" w:eastAsia="zh-CN"/>
        </w:rPr>
        <w:t>暴露于危险环境的频率分值E，取6；</w:t>
      </w:r>
    </w:p>
    <w:p w14:paraId="6F66F9EE">
      <w:pPr>
        <w:bidi w:val="0"/>
        <w:rPr>
          <w:rFonts w:hint="default"/>
          <w:color w:val="auto"/>
          <w:lang w:val="en-US" w:eastAsia="zh-CN"/>
        </w:rPr>
      </w:pPr>
      <w:r>
        <w:rPr>
          <w:rFonts w:hint="default"/>
          <w:color w:val="auto"/>
          <w:lang w:val="en-US" w:eastAsia="zh-CN"/>
        </w:rPr>
        <w:t>发生事故或危险事件可能结果分值C，取7。</w:t>
      </w:r>
    </w:p>
    <w:p w14:paraId="5E6005BA">
      <w:pPr>
        <w:bidi w:val="0"/>
        <w:rPr>
          <w:rFonts w:hint="default"/>
          <w:color w:val="auto"/>
          <w:lang w:val="en-US" w:eastAsia="zh-CN"/>
        </w:rPr>
      </w:pPr>
      <w:r>
        <w:rPr>
          <w:rFonts w:hint="default"/>
          <w:color w:val="auto"/>
          <w:lang w:val="en-US" w:eastAsia="zh-CN"/>
        </w:rPr>
        <w:t>作业条件的危险性D=3×6×7=126，属于一般危险，需要加强检查、整改。</w:t>
      </w:r>
    </w:p>
    <w:p w14:paraId="57CB0A9A">
      <w:pPr>
        <w:bidi w:val="0"/>
        <w:rPr>
          <w:rFonts w:hint="default"/>
          <w:color w:val="auto"/>
          <w:lang w:val="en-US" w:eastAsia="zh-CN"/>
        </w:rPr>
      </w:pPr>
      <w:r>
        <w:rPr>
          <w:rFonts w:hint="default"/>
          <w:color w:val="auto"/>
          <w:lang w:val="en-US" w:eastAsia="zh-CN"/>
        </w:rPr>
        <w:t>（4）洪水漫顶</w:t>
      </w:r>
    </w:p>
    <w:p w14:paraId="20B2346F">
      <w:pPr>
        <w:bidi w:val="0"/>
        <w:rPr>
          <w:rFonts w:hint="default"/>
          <w:color w:val="auto"/>
          <w:lang w:val="en-US" w:eastAsia="zh-CN"/>
        </w:rPr>
      </w:pPr>
      <w:r>
        <w:rPr>
          <w:rFonts w:hint="default"/>
          <w:color w:val="auto"/>
          <w:lang w:val="en-US" w:eastAsia="zh-CN"/>
        </w:rPr>
        <w:t>事故或危险事件发生可能性分值L，取3；</w:t>
      </w:r>
    </w:p>
    <w:p w14:paraId="4507684D">
      <w:pPr>
        <w:bidi w:val="0"/>
        <w:rPr>
          <w:rFonts w:hint="default"/>
          <w:color w:val="auto"/>
          <w:lang w:val="en-US" w:eastAsia="zh-CN"/>
        </w:rPr>
      </w:pPr>
      <w:r>
        <w:rPr>
          <w:rFonts w:hint="default"/>
          <w:color w:val="auto"/>
          <w:lang w:val="en-US" w:eastAsia="zh-CN"/>
        </w:rPr>
        <w:t>暴露于危险环境的频率分值E，取6；</w:t>
      </w:r>
    </w:p>
    <w:p w14:paraId="40815FC7">
      <w:pPr>
        <w:bidi w:val="0"/>
        <w:rPr>
          <w:rFonts w:hint="default"/>
          <w:color w:val="auto"/>
          <w:lang w:val="en-US" w:eastAsia="zh-CN"/>
        </w:rPr>
      </w:pPr>
      <w:r>
        <w:rPr>
          <w:rFonts w:hint="default"/>
          <w:color w:val="auto"/>
          <w:lang w:val="en-US" w:eastAsia="zh-CN"/>
        </w:rPr>
        <w:t>发生事故或危险事件可能结果分值C，取15。</w:t>
      </w:r>
    </w:p>
    <w:p w14:paraId="3DDCF6CD">
      <w:pPr>
        <w:bidi w:val="0"/>
        <w:rPr>
          <w:rFonts w:hint="default"/>
          <w:color w:val="auto"/>
          <w:lang w:val="en-US" w:eastAsia="zh-CN"/>
        </w:rPr>
      </w:pPr>
      <w:r>
        <w:rPr>
          <w:rFonts w:hint="default"/>
          <w:color w:val="auto"/>
          <w:lang w:val="en-US" w:eastAsia="zh-CN"/>
        </w:rPr>
        <w:t>作业条件的危险性D=3×6×15=270，属于高度危险，需要加强检查、限期整改。</w:t>
      </w:r>
    </w:p>
    <w:p w14:paraId="3AE6E88E">
      <w:pPr>
        <w:bidi w:val="0"/>
        <w:rPr>
          <w:rFonts w:hint="default"/>
          <w:color w:val="auto"/>
          <w:lang w:val="en-US" w:eastAsia="zh-CN"/>
        </w:rPr>
      </w:pPr>
      <w:r>
        <w:rPr>
          <w:rFonts w:hint="default"/>
          <w:color w:val="auto"/>
          <w:lang w:val="en-US" w:eastAsia="zh-CN"/>
        </w:rPr>
        <w:t>（5）淹溺、摔伤</w:t>
      </w:r>
    </w:p>
    <w:p w14:paraId="02799139">
      <w:pPr>
        <w:bidi w:val="0"/>
        <w:rPr>
          <w:rFonts w:hint="default"/>
          <w:color w:val="auto"/>
          <w:lang w:val="en-US" w:eastAsia="zh-CN"/>
        </w:rPr>
      </w:pPr>
      <w:r>
        <w:rPr>
          <w:rFonts w:hint="default"/>
          <w:color w:val="auto"/>
          <w:lang w:val="en-US" w:eastAsia="zh-CN"/>
        </w:rPr>
        <w:t>事故或危险事件发生可能性分值L，取1；</w:t>
      </w:r>
    </w:p>
    <w:p w14:paraId="041A410D">
      <w:pPr>
        <w:bidi w:val="0"/>
        <w:rPr>
          <w:rFonts w:hint="default"/>
          <w:color w:val="auto"/>
          <w:lang w:val="en-US" w:eastAsia="zh-CN"/>
        </w:rPr>
      </w:pPr>
      <w:r>
        <w:rPr>
          <w:rFonts w:hint="default"/>
          <w:color w:val="auto"/>
          <w:lang w:val="en-US" w:eastAsia="zh-CN"/>
        </w:rPr>
        <w:t>暴露于危险环境的频率分值E，取3；</w:t>
      </w:r>
    </w:p>
    <w:p w14:paraId="7EAF4B75">
      <w:pPr>
        <w:bidi w:val="0"/>
        <w:rPr>
          <w:rFonts w:hint="default"/>
          <w:color w:val="auto"/>
          <w:lang w:val="en-US" w:eastAsia="zh-CN"/>
        </w:rPr>
      </w:pPr>
      <w:r>
        <w:rPr>
          <w:rFonts w:hint="default"/>
          <w:color w:val="auto"/>
          <w:lang w:val="en-US" w:eastAsia="zh-CN"/>
        </w:rPr>
        <w:t>发生事故或危险事件可能结果分值C，取15。</w:t>
      </w:r>
    </w:p>
    <w:p w14:paraId="4E29E28F">
      <w:pPr>
        <w:bidi w:val="0"/>
        <w:rPr>
          <w:rFonts w:hint="default"/>
          <w:color w:val="auto"/>
          <w:lang w:val="en-US" w:eastAsia="zh-CN"/>
        </w:rPr>
      </w:pPr>
      <w:r>
        <w:rPr>
          <w:rFonts w:hint="default"/>
          <w:color w:val="auto"/>
          <w:lang w:val="en-US" w:eastAsia="zh-CN"/>
        </w:rPr>
        <w:t>作业条件的危险性D=1×3×15=45，属于轻度危险，需要定期检查。</w:t>
      </w:r>
    </w:p>
    <w:tbl>
      <w:tblPr>
        <w:tblStyle w:val="19"/>
        <w:tblW w:w="86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2583"/>
        <w:gridCol w:w="540"/>
        <w:gridCol w:w="540"/>
        <w:gridCol w:w="540"/>
        <w:gridCol w:w="540"/>
        <w:gridCol w:w="1620"/>
        <w:gridCol w:w="1459"/>
      </w:tblGrid>
      <w:tr w14:paraId="41CA6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837" w:type="dxa"/>
            <w:vMerge w:val="restart"/>
            <w:tcBorders>
              <w:top w:val="single" w:color="auto" w:sz="4" w:space="0"/>
              <w:left w:val="single" w:color="auto" w:sz="4" w:space="0"/>
              <w:right w:val="single" w:color="auto" w:sz="4" w:space="0"/>
            </w:tcBorders>
            <w:noWrap w:val="0"/>
            <w:vAlign w:val="center"/>
          </w:tcPr>
          <w:p w14:paraId="33C1860D">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序号</w:t>
            </w:r>
          </w:p>
        </w:tc>
        <w:tc>
          <w:tcPr>
            <w:tcW w:w="2583" w:type="dxa"/>
            <w:vMerge w:val="restart"/>
            <w:tcBorders>
              <w:top w:val="single" w:color="auto" w:sz="4" w:space="0"/>
              <w:left w:val="single" w:color="auto" w:sz="4" w:space="0"/>
              <w:right w:val="single" w:color="auto" w:sz="4" w:space="0"/>
            </w:tcBorders>
            <w:noWrap w:val="0"/>
            <w:vAlign w:val="center"/>
          </w:tcPr>
          <w:p w14:paraId="693F50FD">
            <w:pPr>
              <w:spacing w:line="300" w:lineRule="exact"/>
              <w:ind w:firstLine="0" w:firstLineChars="0"/>
              <w:jc w:val="center"/>
              <w:rPr>
                <w:rFonts w:hint="eastAsia" w:ascii="Times New Roman" w:hAnsi="Times New Roman" w:eastAsia="宋体" w:cs="Times New Roman"/>
                <w:color w:val="auto"/>
                <w:sz w:val="21"/>
                <w:szCs w:val="21"/>
              </w:rPr>
            </w:pPr>
            <w:r>
              <w:rPr>
                <w:rFonts w:ascii="Times New Roman" w:hAnsi="Times New Roman" w:eastAsia="宋体" w:cs="Times New Roman"/>
                <w:color w:val="auto"/>
                <w:sz w:val="21"/>
                <w:szCs w:val="21"/>
              </w:rPr>
              <w:t>场所</w:t>
            </w:r>
            <w:r>
              <w:rPr>
                <w:rFonts w:hint="eastAsia" w:ascii="Times New Roman" w:hAnsi="Times New Roman" w:eastAsia="宋体" w:cs="Times New Roman"/>
                <w:color w:val="auto"/>
                <w:sz w:val="21"/>
                <w:szCs w:val="21"/>
              </w:rPr>
              <w:t>（周边环境）</w:t>
            </w:r>
          </w:p>
        </w:tc>
        <w:tc>
          <w:tcPr>
            <w:tcW w:w="2160" w:type="dxa"/>
            <w:gridSpan w:val="4"/>
            <w:tcBorders>
              <w:top w:val="single" w:color="auto" w:sz="4" w:space="0"/>
              <w:left w:val="single" w:color="auto" w:sz="4" w:space="0"/>
              <w:bottom w:val="single" w:color="auto" w:sz="4" w:space="0"/>
              <w:right w:val="single" w:color="auto" w:sz="4" w:space="0"/>
            </w:tcBorders>
            <w:noWrap w:val="0"/>
            <w:vAlign w:val="center"/>
          </w:tcPr>
          <w:p w14:paraId="66ABE257">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风险值D=L·E·C</w:t>
            </w:r>
          </w:p>
        </w:tc>
        <w:tc>
          <w:tcPr>
            <w:tcW w:w="1620" w:type="dxa"/>
            <w:vMerge w:val="restart"/>
            <w:tcBorders>
              <w:top w:val="single" w:color="auto" w:sz="4" w:space="0"/>
              <w:left w:val="single" w:color="auto" w:sz="4" w:space="0"/>
              <w:right w:val="single" w:color="auto" w:sz="4" w:space="0"/>
            </w:tcBorders>
            <w:noWrap w:val="0"/>
            <w:vAlign w:val="center"/>
          </w:tcPr>
          <w:p w14:paraId="1124A01C">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危险性程度</w:t>
            </w:r>
          </w:p>
        </w:tc>
        <w:tc>
          <w:tcPr>
            <w:tcW w:w="1459" w:type="dxa"/>
            <w:vMerge w:val="restart"/>
            <w:tcBorders>
              <w:top w:val="single" w:color="auto" w:sz="4" w:space="0"/>
              <w:left w:val="single" w:color="auto" w:sz="4" w:space="0"/>
              <w:right w:val="single" w:color="auto" w:sz="4" w:space="0"/>
            </w:tcBorders>
            <w:noWrap w:val="0"/>
            <w:vAlign w:val="center"/>
          </w:tcPr>
          <w:p w14:paraId="5E11DC20">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影响范围</w:t>
            </w:r>
          </w:p>
        </w:tc>
      </w:tr>
      <w:tr w14:paraId="5C40CF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37" w:type="dxa"/>
            <w:vMerge w:val="continue"/>
            <w:tcBorders>
              <w:left w:val="single" w:color="auto" w:sz="4" w:space="0"/>
              <w:bottom w:val="single" w:color="auto" w:sz="4" w:space="0"/>
              <w:right w:val="single" w:color="auto" w:sz="4" w:space="0"/>
            </w:tcBorders>
            <w:noWrap w:val="0"/>
            <w:vAlign w:val="center"/>
          </w:tcPr>
          <w:p w14:paraId="71279F7B">
            <w:pPr>
              <w:spacing w:line="300" w:lineRule="exact"/>
              <w:ind w:firstLine="0" w:firstLineChars="0"/>
              <w:jc w:val="center"/>
              <w:rPr>
                <w:rFonts w:ascii="Times New Roman" w:hAnsi="Times New Roman" w:eastAsia="宋体" w:cs="Times New Roman"/>
                <w:color w:val="auto"/>
                <w:sz w:val="21"/>
                <w:szCs w:val="21"/>
              </w:rPr>
            </w:pPr>
          </w:p>
        </w:tc>
        <w:tc>
          <w:tcPr>
            <w:tcW w:w="2583" w:type="dxa"/>
            <w:vMerge w:val="continue"/>
            <w:tcBorders>
              <w:left w:val="single" w:color="auto" w:sz="4" w:space="0"/>
              <w:bottom w:val="single" w:color="auto" w:sz="4" w:space="0"/>
              <w:right w:val="single" w:color="auto" w:sz="4" w:space="0"/>
            </w:tcBorders>
            <w:noWrap w:val="0"/>
            <w:vAlign w:val="center"/>
          </w:tcPr>
          <w:p w14:paraId="703C5C92">
            <w:pPr>
              <w:spacing w:line="300" w:lineRule="exact"/>
              <w:ind w:firstLine="0" w:firstLineChars="0"/>
              <w:jc w:val="center"/>
              <w:rPr>
                <w:rFonts w:ascii="Times New Roman" w:hAnsi="Times New Roman" w:eastAsia="宋体" w:cs="Times New Roman"/>
                <w:color w:val="auto"/>
                <w:sz w:val="21"/>
                <w:szCs w:val="21"/>
              </w:rPr>
            </w:pPr>
          </w:p>
        </w:tc>
        <w:tc>
          <w:tcPr>
            <w:tcW w:w="540" w:type="dxa"/>
            <w:tcBorders>
              <w:top w:val="single" w:color="auto" w:sz="4" w:space="0"/>
              <w:left w:val="single" w:color="auto" w:sz="4" w:space="0"/>
              <w:bottom w:val="single" w:color="auto" w:sz="4" w:space="0"/>
              <w:right w:val="single" w:color="auto" w:sz="4" w:space="0"/>
            </w:tcBorders>
            <w:noWrap w:val="0"/>
            <w:vAlign w:val="center"/>
          </w:tcPr>
          <w:p w14:paraId="75B656A2">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L</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728CCDFB">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E</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0DA83882">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C</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0EAD9ACE">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D</w:t>
            </w:r>
          </w:p>
        </w:tc>
        <w:tc>
          <w:tcPr>
            <w:tcW w:w="1620" w:type="dxa"/>
            <w:vMerge w:val="continue"/>
            <w:tcBorders>
              <w:left w:val="single" w:color="auto" w:sz="4" w:space="0"/>
              <w:bottom w:val="single" w:color="auto" w:sz="4" w:space="0"/>
              <w:right w:val="single" w:color="auto" w:sz="4" w:space="0"/>
            </w:tcBorders>
            <w:noWrap w:val="0"/>
            <w:vAlign w:val="center"/>
          </w:tcPr>
          <w:p w14:paraId="0D147E7F">
            <w:pPr>
              <w:spacing w:line="300" w:lineRule="exact"/>
              <w:ind w:firstLine="0" w:firstLineChars="0"/>
              <w:jc w:val="center"/>
              <w:rPr>
                <w:rFonts w:ascii="Times New Roman" w:hAnsi="Times New Roman" w:eastAsia="宋体" w:cs="Times New Roman"/>
                <w:color w:val="auto"/>
                <w:sz w:val="21"/>
                <w:szCs w:val="21"/>
              </w:rPr>
            </w:pPr>
          </w:p>
        </w:tc>
        <w:tc>
          <w:tcPr>
            <w:tcW w:w="1459" w:type="dxa"/>
            <w:vMerge w:val="continue"/>
            <w:tcBorders>
              <w:left w:val="single" w:color="auto" w:sz="4" w:space="0"/>
              <w:bottom w:val="single" w:color="auto" w:sz="4" w:space="0"/>
              <w:right w:val="single" w:color="auto" w:sz="4" w:space="0"/>
            </w:tcBorders>
            <w:noWrap w:val="0"/>
            <w:vAlign w:val="center"/>
          </w:tcPr>
          <w:p w14:paraId="788F5802">
            <w:pPr>
              <w:spacing w:line="300" w:lineRule="exact"/>
              <w:ind w:firstLine="0" w:firstLineChars="0"/>
              <w:jc w:val="center"/>
              <w:rPr>
                <w:rFonts w:ascii="Times New Roman" w:hAnsi="Times New Roman" w:eastAsia="宋体" w:cs="Times New Roman"/>
                <w:color w:val="auto"/>
                <w:sz w:val="21"/>
                <w:szCs w:val="21"/>
              </w:rPr>
            </w:pPr>
          </w:p>
        </w:tc>
      </w:tr>
      <w:tr w14:paraId="36132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83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7F3909">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258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7CFE591">
            <w:pPr>
              <w:spacing w:line="300" w:lineRule="exact"/>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库</w:t>
            </w:r>
            <w:r>
              <w:rPr>
                <w:rFonts w:ascii="Times New Roman" w:hAnsi="Times New Roman" w:eastAsia="宋体" w:cs="Times New Roman"/>
                <w:color w:val="auto"/>
                <w:sz w:val="21"/>
                <w:szCs w:val="21"/>
              </w:rPr>
              <w:t>水位暴涨</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8CBB2AB">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0D12904">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36BCD56">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F6850A3">
            <w:pPr>
              <w:spacing w:line="300" w:lineRule="exact"/>
              <w:ind w:firstLine="0" w:firstLineChars="0"/>
              <w:jc w:val="center"/>
              <w:rPr>
                <w:rFonts w:hint="eastAsia" w:ascii="Times New Roman" w:hAnsi="Times New Roman" w:eastAsia="宋体" w:cs="Times New Roman"/>
                <w:color w:val="auto"/>
                <w:sz w:val="21"/>
                <w:szCs w:val="21"/>
              </w:rPr>
            </w:pPr>
            <w:r>
              <w:rPr>
                <w:rFonts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rPr>
              <w:t>7</w:t>
            </w:r>
          </w:p>
        </w:tc>
        <w:tc>
          <w:tcPr>
            <w:tcW w:w="162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34A183B3">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四级</w:t>
            </w:r>
          </w:p>
        </w:tc>
        <w:tc>
          <w:tcPr>
            <w:tcW w:w="1459" w:type="dxa"/>
            <w:tcBorders>
              <w:top w:val="single" w:color="auto" w:sz="4" w:space="0"/>
              <w:left w:val="single" w:color="auto" w:sz="4" w:space="0"/>
              <w:bottom w:val="single" w:color="auto" w:sz="4" w:space="0"/>
              <w:right w:val="single" w:color="auto" w:sz="4" w:space="0"/>
            </w:tcBorders>
            <w:noWrap w:val="0"/>
            <w:vAlign w:val="center"/>
          </w:tcPr>
          <w:p w14:paraId="06B3276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库区内</w:t>
            </w:r>
          </w:p>
        </w:tc>
      </w:tr>
      <w:tr w14:paraId="437F1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83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34B3CBC">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w:t>
            </w:r>
          </w:p>
        </w:tc>
        <w:tc>
          <w:tcPr>
            <w:tcW w:w="258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6E225DA">
            <w:pPr>
              <w:spacing w:line="300" w:lineRule="exact"/>
              <w:ind w:firstLine="0" w:firstLineChars="0"/>
              <w:jc w:val="center"/>
              <w:rPr>
                <w:rFonts w:hint="eastAsia" w:ascii="Times New Roman" w:hAnsi="Times New Roman" w:eastAsia="宋体" w:cs="Times New Roman"/>
                <w:color w:val="auto"/>
                <w:sz w:val="21"/>
                <w:szCs w:val="21"/>
              </w:rPr>
            </w:pPr>
            <w:r>
              <w:rPr>
                <w:rFonts w:ascii="Times New Roman" w:hAnsi="Times New Roman" w:eastAsia="宋体" w:cs="Times New Roman"/>
                <w:color w:val="auto"/>
                <w:sz w:val="21"/>
                <w:szCs w:val="21"/>
              </w:rPr>
              <w:t>山体坍塌</w:t>
            </w:r>
            <w:r>
              <w:rPr>
                <w:rFonts w:hint="eastAsia" w:ascii="Times New Roman" w:hAnsi="Times New Roman" w:eastAsia="宋体" w:cs="Times New Roman"/>
                <w:color w:val="auto"/>
                <w:sz w:val="21"/>
                <w:szCs w:val="21"/>
              </w:rPr>
              <w:t>、滑坡、泥石流</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C1B2BF0">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72D525">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2E55441">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7</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7EBFE1A">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21</w:t>
            </w:r>
          </w:p>
        </w:tc>
        <w:tc>
          <w:tcPr>
            <w:tcW w:w="162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2953ED8E">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四级</w:t>
            </w:r>
          </w:p>
        </w:tc>
        <w:tc>
          <w:tcPr>
            <w:tcW w:w="1459" w:type="dxa"/>
            <w:tcBorders>
              <w:top w:val="single" w:color="auto" w:sz="4" w:space="0"/>
              <w:left w:val="single" w:color="auto" w:sz="4" w:space="0"/>
              <w:bottom w:val="single" w:color="auto" w:sz="4" w:space="0"/>
              <w:right w:val="single" w:color="auto" w:sz="4" w:space="0"/>
            </w:tcBorders>
            <w:noWrap w:val="0"/>
            <w:vAlign w:val="center"/>
          </w:tcPr>
          <w:p w14:paraId="4214991B">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库区山坡</w:t>
            </w:r>
          </w:p>
        </w:tc>
      </w:tr>
      <w:tr w14:paraId="06ED2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83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D58FC2E">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258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2A5435B">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坝坡面拉沟</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F028B42">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08EA07A">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3F2E392">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7</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0CE876">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126</w:t>
            </w:r>
          </w:p>
        </w:tc>
        <w:tc>
          <w:tcPr>
            <w:tcW w:w="162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2F4A059C">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三级</w:t>
            </w:r>
          </w:p>
        </w:tc>
        <w:tc>
          <w:tcPr>
            <w:tcW w:w="1459" w:type="dxa"/>
            <w:tcBorders>
              <w:top w:val="single" w:color="auto" w:sz="4" w:space="0"/>
              <w:left w:val="single" w:color="auto" w:sz="4" w:space="0"/>
              <w:bottom w:val="single" w:color="auto" w:sz="4" w:space="0"/>
              <w:right w:val="single" w:color="auto" w:sz="4" w:space="0"/>
            </w:tcBorders>
            <w:noWrap w:val="0"/>
            <w:vAlign w:val="center"/>
          </w:tcPr>
          <w:p w14:paraId="48F2C18D">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堆积坝</w:t>
            </w:r>
          </w:p>
        </w:tc>
      </w:tr>
      <w:tr w14:paraId="4EAF8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3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76B078B">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4</w:t>
            </w:r>
          </w:p>
        </w:tc>
        <w:tc>
          <w:tcPr>
            <w:tcW w:w="258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50A9EF4">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洪水漫顶</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34CC8C">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5CF3264">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6</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DE41570">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15</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0F5DB47">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270</w:t>
            </w:r>
          </w:p>
        </w:tc>
        <w:tc>
          <w:tcPr>
            <w:tcW w:w="1620"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228C64E6">
            <w:pPr>
              <w:spacing w:line="300" w:lineRule="exact"/>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二</w:t>
            </w:r>
            <w:r>
              <w:rPr>
                <w:rFonts w:ascii="Times New Roman" w:hAnsi="Times New Roman" w:eastAsia="宋体" w:cs="Times New Roman"/>
                <w:color w:val="auto"/>
                <w:sz w:val="21"/>
                <w:szCs w:val="21"/>
              </w:rPr>
              <w:t>级</w:t>
            </w:r>
          </w:p>
        </w:tc>
        <w:tc>
          <w:tcPr>
            <w:tcW w:w="1459" w:type="dxa"/>
            <w:tcBorders>
              <w:top w:val="single" w:color="auto" w:sz="4" w:space="0"/>
              <w:left w:val="single" w:color="auto" w:sz="4" w:space="0"/>
              <w:bottom w:val="single" w:color="auto" w:sz="4" w:space="0"/>
              <w:right w:val="single" w:color="auto" w:sz="4" w:space="0"/>
            </w:tcBorders>
            <w:noWrap w:val="0"/>
            <w:vAlign w:val="center"/>
          </w:tcPr>
          <w:p w14:paraId="06F3A15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库下游</w:t>
            </w:r>
          </w:p>
        </w:tc>
      </w:tr>
      <w:tr w14:paraId="13FF8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83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FA3ACC5">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5</w:t>
            </w:r>
          </w:p>
        </w:tc>
        <w:tc>
          <w:tcPr>
            <w:tcW w:w="258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14490DB">
            <w:pPr>
              <w:spacing w:line="300" w:lineRule="exact"/>
              <w:ind w:firstLine="0" w:firstLineChars="0"/>
              <w:jc w:val="center"/>
              <w:rPr>
                <w:rFonts w:hint="eastAsia" w:ascii="Times New Roman" w:hAnsi="Times New Roman" w:eastAsia="宋体" w:cs="Times New Roman"/>
                <w:color w:val="auto"/>
                <w:sz w:val="21"/>
                <w:szCs w:val="21"/>
              </w:rPr>
            </w:pPr>
            <w:r>
              <w:rPr>
                <w:rFonts w:ascii="Times New Roman" w:hAnsi="Times New Roman" w:eastAsia="宋体" w:cs="Times New Roman"/>
                <w:color w:val="auto"/>
                <w:sz w:val="21"/>
                <w:szCs w:val="21"/>
              </w:rPr>
              <w:t>摔伤、淹溺</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A0C564A">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53ADB40">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49498C3">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15</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6649A53">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45</w:t>
            </w:r>
          </w:p>
        </w:tc>
        <w:tc>
          <w:tcPr>
            <w:tcW w:w="162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74670F04">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四级</w:t>
            </w:r>
          </w:p>
        </w:tc>
        <w:tc>
          <w:tcPr>
            <w:tcW w:w="1459" w:type="dxa"/>
            <w:tcBorders>
              <w:top w:val="single" w:color="auto" w:sz="4" w:space="0"/>
              <w:left w:val="single" w:color="auto" w:sz="4" w:space="0"/>
              <w:bottom w:val="single" w:color="auto" w:sz="4" w:space="0"/>
              <w:right w:val="single" w:color="auto" w:sz="4" w:space="0"/>
            </w:tcBorders>
            <w:noWrap w:val="0"/>
            <w:vAlign w:val="center"/>
          </w:tcPr>
          <w:p w14:paraId="78DE317E">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库区</w:t>
            </w:r>
          </w:p>
        </w:tc>
      </w:tr>
    </w:tbl>
    <w:p w14:paraId="5AF4194F">
      <w:pPr>
        <w:bidi w:val="0"/>
        <w:rPr>
          <w:rFonts w:hint="default"/>
          <w:color w:val="auto"/>
          <w:lang w:val="en-US" w:eastAsia="zh-CN"/>
        </w:rPr>
      </w:pPr>
      <w:r>
        <w:rPr>
          <w:rFonts w:hint="default"/>
          <w:color w:val="auto"/>
          <w:lang w:val="en-US" w:eastAsia="zh-CN"/>
        </w:rPr>
        <w:t>二、山体滑坡、泥石流</w:t>
      </w:r>
    </w:p>
    <w:p w14:paraId="43C4D9DC">
      <w:pPr>
        <w:bidi w:val="0"/>
        <w:rPr>
          <w:rFonts w:hint="default"/>
          <w:color w:val="auto"/>
          <w:lang w:val="en-US" w:eastAsia="zh-CN"/>
        </w:rPr>
      </w:pPr>
      <w:r>
        <w:rPr>
          <w:rFonts w:hint="default"/>
          <w:color w:val="auto"/>
          <w:lang w:val="en-US" w:eastAsia="zh-CN"/>
        </w:rPr>
        <w:t>2.1</w:t>
      </w:r>
      <w:r>
        <w:rPr>
          <w:rFonts w:hint="eastAsia"/>
          <w:color w:val="auto"/>
          <w:lang w:val="en-US" w:eastAsia="zh-CN"/>
        </w:rPr>
        <w:t xml:space="preserve"> </w:t>
      </w:r>
      <w:r>
        <w:rPr>
          <w:rFonts w:hint="default"/>
          <w:color w:val="auto"/>
          <w:lang w:val="en-US" w:eastAsia="zh-CN"/>
        </w:rPr>
        <w:t>山体滑坡、泥石流危害</w:t>
      </w:r>
    </w:p>
    <w:p w14:paraId="265C2364">
      <w:pPr>
        <w:bidi w:val="0"/>
        <w:rPr>
          <w:rFonts w:hint="default"/>
          <w:color w:val="auto"/>
          <w:lang w:val="en-US" w:eastAsia="zh-CN"/>
        </w:rPr>
      </w:pPr>
      <w:r>
        <w:rPr>
          <w:rFonts w:hint="default"/>
          <w:color w:val="auto"/>
          <w:lang w:val="en-US" w:eastAsia="zh-CN"/>
        </w:rPr>
        <w:t>（1）切断通路</w:t>
      </w:r>
    </w:p>
    <w:p w14:paraId="789BA698">
      <w:pPr>
        <w:bidi w:val="0"/>
        <w:rPr>
          <w:rFonts w:hint="default"/>
          <w:color w:val="auto"/>
          <w:lang w:val="en-US" w:eastAsia="zh-CN"/>
        </w:rPr>
      </w:pPr>
      <w:r>
        <w:rPr>
          <w:rFonts w:hint="default"/>
          <w:color w:val="auto"/>
          <w:lang w:val="en-US" w:eastAsia="zh-CN"/>
        </w:rPr>
        <w:t>暴雨期间产生的山体滑坡、泥石流，将对库区的道路交通安全产生危害。</w:t>
      </w:r>
    </w:p>
    <w:p w14:paraId="192F5B8B">
      <w:pPr>
        <w:bidi w:val="0"/>
        <w:rPr>
          <w:rFonts w:hint="default"/>
          <w:color w:val="auto"/>
          <w:lang w:val="en-US" w:eastAsia="zh-CN"/>
        </w:rPr>
      </w:pPr>
      <w:r>
        <w:rPr>
          <w:rFonts w:hint="default"/>
          <w:color w:val="auto"/>
          <w:lang w:val="en-US" w:eastAsia="zh-CN"/>
        </w:rPr>
        <w:t>（2）堵塞和破坏排水系统</w:t>
      </w:r>
    </w:p>
    <w:p w14:paraId="35EB3746">
      <w:pPr>
        <w:bidi w:val="0"/>
        <w:rPr>
          <w:rFonts w:hint="default"/>
          <w:color w:val="auto"/>
          <w:lang w:val="en-US" w:eastAsia="zh-CN"/>
        </w:rPr>
      </w:pPr>
      <w:r>
        <w:rPr>
          <w:rFonts w:hint="default"/>
          <w:color w:val="auto"/>
          <w:lang w:val="en-US" w:eastAsia="zh-CN"/>
        </w:rPr>
        <w:t>溢洪道周边山体产生泥石流，将造成溢洪道堵塞，对尾矿库的安全造成危害。</w:t>
      </w:r>
    </w:p>
    <w:p w14:paraId="452A3D8B">
      <w:pPr>
        <w:bidi w:val="0"/>
        <w:rPr>
          <w:rFonts w:hint="default"/>
          <w:color w:val="auto"/>
          <w:lang w:val="en-US" w:eastAsia="zh-CN"/>
        </w:rPr>
      </w:pPr>
      <w:r>
        <w:rPr>
          <w:rFonts w:hint="default"/>
          <w:color w:val="auto"/>
          <w:lang w:val="en-US" w:eastAsia="zh-CN"/>
        </w:rPr>
        <w:t>（3）破坏坝体稳定性</w:t>
      </w:r>
    </w:p>
    <w:p w14:paraId="0CF3A30B">
      <w:pPr>
        <w:bidi w:val="0"/>
        <w:rPr>
          <w:rFonts w:hint="default"/>
          <w:color w:val="auto"/>
          <w:lang w:val="en-US" w:eastAsia="zh-CN"/>
        </w:rPr>
      </w:pPr>
      <w:r>
        <w:rPr>
          <w:rFonts w:hint="default"/>
          <w:color w:val="auto"/>
          <w:lang w:val="en-US" w:eastAsia="zh-CN"/>
        </w:rPr>
        <w:t>如果库区其它范围内发生泥石流，将造成大量废石和泥土流入尾矿库，减少尾矿库的库容，影响洪水最高警戒线，导致洪水漫顶或溃坝。</w:t>
      </w:r>
    </w:p>
    <w:p w14:paraId="4F6C44A1">
      <w:pPr>
        <w:bidi w:val="0"/>
        <w:rPr>
          <w:rFonts w:hint="default"/>
          <w:color w:val="auto"/>
          <w:lang w:val="en-US" w:eastAsia="zh-CN"/>
        </w:rPr>
      </w:pPr>
      <w:r>
        <w:rPr>
          <w:rFonts w:hint="default"/>
          <w:color w:val="auto"/>
          <w:lang w:val="en-US" w:eastAsia="zh-CN"/>
        </w:rPr>
        <w:t>2.2</w:t>
      </w:r>
      <w:r>
        <w:rPr>
          <w:rFonts w:hint="eastAsia"/>
          <w:color w:val="auto"/>
          <w:lang w:val="en-US" w:eastAsia="zh-CN"/>
        </w:rPr>
        <w:t xml:space="preserve"> </w:t>
      </w:r>
      <w:r>
        <w:rPr>
          <w:rFonts w:hint="default"/>
          <w:color w:val="auto"/>
          <w:lang w:val="en-US" w:eastAsia="zh-CN"/>
        </w:rPr>
        <w:t>风险分析</w:t>
      </w:r>
    </w:p>
    <w:p w14:paraId="1D74C5A0">
      <w:pPr>
        <w:bidi w:val="0"/>
        <w:rPr>
          <w:rFonts w:hint="default"/>
          <w:color w:val="auto"/>
          <w:lang w:val="en-US" w:eastAsia="zh-CN"/>
        </w:rPr>
      </w:pPr>
      <w:r>
        <w:rPr>
          <w:rFonts w:hint="default"/>
          <w:color w:val="auto"/>
          <w:lang w:val="en-US" w:eastAsia="zh-CN"/>
        </w:rPr>
        <w:t>（1）切断通路</w:t>
      </w:r>
    </w:p>
    <w:p w14:paraId="2F39F42B">
      <w:pPr>
        <w:bidi w:val="0"/>
        <w:rPr>
          <w:rFonts w:hint="default"/>
          <w:color w:val="auto"/>
          <w:lang w:val="en-US" w:eastAsia="zh-CN"/>
        </w:rPr>
      </w:pPr>
      <w:r>
        <w:rPr>
          <w:rFonts w:hint="default"/>
          <w:color w:val="auto"/>
          <w:lang w:val="en-US" w:eastAsia="zh-CN"/>
        </w:rPr>
        <w:t>事故或危险事件发生可能性分值L，取3；</w:t>
      </w:r>
    </w:p>
    <w:p w14:paraId="3B095E03">
      <w:pPr>
        <w:bidi w:val="0"/>
        <w:rPr>
          <w:rFonts w:hint="default"/>
          <w:color w:val="auto"/>
          <w:lang w:val="en-US" w:eastAsia="zh-CN"/>
        </w:rPr>
      </w:pPr>
      <w:r>
        <w:rPr>
          <w:rFonts w:hint="default"/>
          <w:color w:val="auto"/>
          <w:lang w:val="en-US" w:eastAsia="zh-CN"/>
        </w:rPr>
        <w:t>暴露于危险环境的频率分值E，取3；</w:t>
      </w:r>
    </w:p>
    <w:p w14:paraId="15551A1F">
      <w:pPr>
        <w:bidi w:val="0"/>
        <w:rPr>
          <w:rFonts w:hint="default"/>
          <w:color w:val="auto"/>
          <w:lang w:val="en-US" w:eastAsia="zh-CN"/>
        </w:rPr>
      </w:pPr>
      <w:r>
        <w:rPr>
          <w:rFonts w:hint="default"/>
          <w:color w:val="auto"/>
          <w:lang w:val="en-US" w:eastAsia="zh-CN"/>
        </w:rPr>
        <w:t>发生事故或危险事件可能结果分值C，取7。</w:t>
      </w:r>
    </w:p>
    <w:p w14:paraId="7DF8DB88">
      <w:pPr>
        <w:bidi w:val="0"/>
        <w:rPr>
          <w:rFonts w:hint="default"/>
          <w:color w:val="auto"/>
          <w:lang w:val="en-US" w:eastAsia="zh-CN"/>
        </w:rPr>
      </w:pPr>
      <w:r>
        <w:rPr>
          <w:rFonts w:hint="default"/>
          <w:color w:val="auto"/>
          <w:lang w:val="en-US" w:eastAsia="zh-CN"/>
        </w:rPr>
        <w:t>作业条件的危险性D=3×3×7=63，属于轻度危险，需要定期检查。</w:t>
      </w:r>
    </w:p>
    <w:p w14:paraId="4C5687DC">
      <w:pPr>
        <w:bidi w:val="0"/>
        <w:rPr>
          <w:rFonts w:hint="default"/>
          <w:color w:val="auto"/>
          <w:lang w:val="en-US" w:eastAsia="zh-CN"/>
        </w:rPr>
      </w:pPr>
      <w:r>
        <w:rPr>
          <w:rFonts w:hint="default"/>
          <w:color w:val="auto"/>
          <w:lang w:val="en-US" w:eastAsia="zh-CN"/>
        </w:rPr>
        <w:t>（2）堵塞和破坏排水系统</w:t>
      </w:r>
    </w:p>
    <w:p w14:paraId="3C9C932B">
      <w:pPr>
        <w:bidi w:val="0"/>
        <w:rPr>
          <w:rFonts w:hint="default"/>
          <w:color w:val="auto"/>
          <w:lang w:val="en-US" w:eastAsia="zh-CN"/>
        </w:rPr>
      </w:pPr>
      <w:r>
        <w:rPr>
          <w:rFonts w:hint="default"/>
          <w:color w:val="auto"/>
          <w:lang w:val="en-US" w:eastAsia="zh-CN"/>
        </w:rPr>
        <w:t>事故或危险事件发生可能性分值L，取1；</w:t>
      </w:r>
    </w:p>
    <w:p w14:paraId="7E11BD7D">
      <w:pPr>
        <w:bidi w:val="0"/>
        <w:rPr>
          <w:rFonts w:hint="default"/>
          <w:color w:val="auto"/>
          <w:lang w:val="en-US" w:eastAsia="zh-CN"/>
        </w:rPr>
      </w:pPr>
      <w:r>
        <w:rPr>
          <w:rFonts w:hint="default"/>
          <w:color w:val="auto"/>
          <w:lang w:val="en-US" w:eastAsia="zh-CN"/>
        </w:rPr>
        <w:t>暴露于危险环境的频率分值E，取3；</w:t>
      </w:r>
    </w:p>
    <w:p w14:paraId="0A753A43">
      <w:pPr>
        <w:bidi w:val="0"/>
        <w:rPr>
          <w:rFonts w:hint="default"/>
          <w:color w:val="auto"/>
          <w:lang w:val="en-US" w:eastAsia="zh-CN"/>
        </w:rPr>
      </w:pPr>
      <w:r>
        <w:rPr>
          <w:rFonts w:hint="default"/>
          <w:color w:val="auto"/>
          <w:lang w:val="en-US" w:eastAsia="zh-CN"/>
        </w:rPr>
        <w:t>发生事故或危险事件可能结果分值C，取40。</w:t>
      </w:r>
    </w:p>
    <w:p w14:paraId="693C90C0">
      <w:pPr>
        <w:bidi w:val="0"/>
        <w:rPr>
          <w:rFonts w:hint="default"/>
          <w:color w:val="auto"/>
          <w:lang w:val="en-US" w:eastAsia="zh-CN"/>
        </w:rPr>
      </w:pPr>
      <w:r>
        <w:rPr>
          <w:rFonts w:hint="default"/>
          <w:color w:val="auto"/>
          <w:lang w:val="en-US" w:eastAsia="zh-CN"/>
        </w:rPr>
        <w:t>作业条件的危险性D=1×3×40=120，属于一般危险，需要加强检查、整改。</w:t>
      </w:r>
    </w:p>
    <w:p w14:paraId="0923C811">
      <w:pPr>
        <w:bidi w:val="0"/>
        <w:rPr>
          <w:rFonts w:hint="default"/>
          <w:color w:val="auto"/>
          <w:lang w:val="en-US" w:eastAsia="zh-CN"/>
        </w:rPr>
      </w:pPr>
      <w:r>
        <w:rPr>
          <w:rFonts w:hint="default"/>
          <w:color w:val="auto"/>
          <w:lang w:val="en-US" w:eastAsia="zh-CN"/>
        </w:rPr>
        <w:t>（3）破坏坝体稳定性</w:t>
      </w:r>
    </w:p>
    <w:p w14:paraId="77E43F57">
      <w:pPr>
        <w:bidi w:val="0"/>
        <w:rPr>
          <w:rFonts w:hint="default"/>
          <w:color w:val="auto"/>
          <w:lang w:val="en-US" w:eastAsia="zh-CN"/>
        </w:rPr>
      </w:pPr>
      <w:r>
        <w:rPr>
          <w:rFonts w:hint="default"/>
          <w:color w:val="auto"/>
          <w:lang w:val="en-US" w:eastAsia="zh-CN"/>
        </w:rPr>
        <w:t>事故或危险事件发生可能性分值L，取0.5；</w:t>
      </w:r>
    </w:p>
    <w:p w14:paraId="705708CA">
      <w:pPr>
        <w:bidi w:val="0"/>
        <w:rPr>
          <w:rFonts w:hint="default"/>
          <w:color w:val="auto"/>
          <w:lang w:val="en-US" w:eastAsia="zh-CN"/>
        </w:rPr>
      </w:pPr>
      <w:r>
        <w:rPr>
          <w:rFonts w:hint="default"/>
          <w:color w:val="auto"/>
          <w:lang w:val="en-US" w:eastAsia="zh-CN"/>
        </w:rPr>
        <w:t>暴露于危险环境的频率分值E，取1；</w:t>
      </w:r>
    </w:p>
    <w:p w14:paraId="33E6CC4D">
      <w:pPr>
        <w:bidi w:val="0"/>
        <w:rPr>
          <w:rFonts w:hint="default"/>
          <w:color w:val="auto"/>
          <w:lang w:val="en-US" w:eastAsia="zh-CN"/>
        </w:rPr>
      </w:pPr>
      <w:r>
        <w:rPr>
          <w:rFonts w:hint="default"/>
          <w:color w:val="auto"/>
          <w:lang w:val="en-US" w:eastAsia="zh-CN"/>
        </w:rPr>
        <w:t>发生事故或危险事件可能结果分值C，取100。</w:t>
      </w:r>
    </w:p>
    <w:p w14:paraId="4F2C5FE1">
      <w:pPr>
        <w:bidi w:val="0"/>
        <w:rPr>
          <w:rFonts w:hint="default"/>
          <w:color w:val="auto"/>
          <w:lang w:val="en-US" w:eastAsia="zh-CN"/>
        </w:rPr>
      </w:pPr>
      <w:r>
        <w:rPr>
          <w:rFonts w:hint="default"/>
          <w:color w:val="auto"/>
          <w:lang w:val="en-US" w:eastAsia="zh-CN"/>
        </w:rPr>
        <w:t>作业条件的危险性D=0.5×1×100=50，属于轻度危险，需要定期检查。</w:t>
      </w:r>
    </w:p>
    <w:tbl>
      <w:tblPr>
        <w:tblStyle w:val="19"/>
        <w:tblW w:w="85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9"/>
        <w:gridCol w:w="2160"/>
        <w:gridCol w:w="540"/>
        <w:gridCol w:w="540"/>
        <w:gridCol w:w="540"/>
        <w:gridCol w:w="540"/>
        <w:gridCol w:w="2340"/>
        <w:gridCol w:w="1095"/>
      </w:tblGrid>
      <w:tr w14:paraId="49CE3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769" w:type="dxa"/>
            <w:vMerge w:val="restart"/>
            <w:tcBorders>
              <w:top w:val="single" w:color="auto" w:sz="4" w:space="0"/>
              <w:left w:val="single" w:color="auto" w:sz="4" w:space="0"/>
              <w:right w:val="single" w:color="auto" w:sz="4" w:space="0"/>
            </w:tcBorders>
            <w:noWrap w:val="0"/>
            <w:vAlign w:val="center"/>
          </w:tcPr>
          <w:p w14:paraId="299339B8">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序号</w:t>
            </w:r>
          </w:p>
        </w:tc>
        <w:tc>
          <w:tcPr>
            <w:tcW w:w="2160" w:type="dxa"/>
            <w:vMerge w:val="restart"/>
            <w:tcBorders>
              <w:top w:val="single" w:color="auto" w:sz="4" w:space="0"/>
              <w:left w:val="single" w:color="auto" w:sz="4" w:space="0"/>
              <w:right w:val="single" w:color="auto" w:sz="4" w:space="0"/>
            </w:tcBorders>
            <w:noWrap w:val="0"/>
            <w:vAlign w:val="center"/>
          </w:tcPr>
          <w:p w14:paraId="2EC1312B">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场所</w:t>
            </w:r>
            <w:r>
              <w:rPr>
                <w:rFonts w:hint="eastAsia" w:ascii="Times New Roman" w:hAnsi="Times New Roman" w:eastAsia="宋体" w:cs="Times New Roman"/>
                <w:color w:val="auto"/>
                <w:sz w:val="21"/>
                <w:szCs w:val="21"/>
              </w:rPr>
              <w:t>（周边环境）</w:t>
            </w:r>
          </w:p>
        </w:tc>
        <w:tc>
          <w:tcPr>
            <w:tcW w:w="2160" w:type="dxa"/>
            <w:gridSpan w:val="4"/>
            <w:tcBorders>
              <w:top w:val="single" w:color="auto" w:sz="4" w:space="0"/>
              <w:left w:val="single" w:color="auto" w:sz="4" w:space="0"/>
              <w:bottom w:val="single" w:color="auto" w:sz="4" w:space="0"/>
              <w:right w:val="single" w:color="auto" w:sz="4" w:space="0"/>
            </w:tcBorders>
            <w:noWrap w:val="0"/>
            <w:vAlign w:val="center"/>
          </w:tcPr>
          <w:p w14:paraId="21593EB2">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风险值D=L·E·C</w:t>
            </w:r>
          </w:p>
        </w:tc>
        <w:tc>
          <w:tcPr>
            <w:tcW w:w="2340" w:type="dxa"/>
            <w:vMerge w:val="restart"/>
            <w:tcBorders>
              <w:top w:val="single" w:color="auto" w:sz="4" w:space="0"/>
              <w:left w:val="single" w:color="auto" w:sz="4" w:space="0"/>
              <w:right w:val="single" w:color="auto" w:sz="4" w:space="0"/>
            </w:tcBorders>
            <w:noWrap w:val="0"/>
            <w:vAlign w:val="center"/>
          </w:tcPr>
          <w:p w14:paraId="195C2965">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危险性程度</w:t>
            </w:r>
          </w:p>
        </w:tc>
        <w:tc>
          <w:tcPr>
            <w:tcW w:w="1095" w:type="dxa"/>
            <w:vMerge w:val="restart"/>
            <w:tcBorders>
              <w:top w:val="single" w:color="auto" w:sz="4" w:space="0"/>
              <w:left w:val="single" w:color="auto" w:sz="4" w:space="0"/>
              <w:right w:val="single" w:color="auto" w:sz="4" w:space="0"/>
            </w:tcBorders>
            <w:noWrap w:val="0"/>
            <w:vAlign w:val="center"/>
          </w:tcPr>
          <w:p w14:paraId="7FAE5BE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影响范围</w:t>
            </w:r>
          </w:p>
        </w:tc>
      </w:tr>
      <w:tr w14:paraId="07D9A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769" w:type="dxa"/>
            <w:vMerge w:val="continue"/>
            <w:tcBorders>
              <w:left w:val="single" w:color="auto" w:sz="4" w:space="0"/>
              <w:bottom w:val="single" w:color="auto" w:sz="4" w:space="0"/>
              <w:right w:val="single" w:color="auto" w:sz="4" w:space="0"/>
            </w:tcBorders>
            <w:noWrap w:val="0"/>
            <w:vAlign w:val="center"/>
          </w:tcPr>
          <w:p w14:paraId="40BEFEE6">
            <w:pPr>
              <w:spacing w:line="300" w:lineRule="exact"/>
              <w:ind w:firstLine="0" w:firstLineChars="0"/>
              <w:jc w:val="center"/>
              <w:rPr>
                <w:rFonts w:ascii="Times New Roman" w:hAnsi="Times New Roman" w:eastAsia="宋体" w:cs="Times New Roman"/>
                <w:color w:val="auto"/>
                <w:sz w:val="21"/>
                <w:szCs w:val="21"/>
              </w:rPr>
            </w:pPr>
          </w:p>
        </w:tc>
        <w:tc>
          <w:tcPr>
            <w:tcW w:w="2160" w:type="dxa"/>
            <w:vMerge w:val="continue"/>
            <w:tcBorders>
              <w:left w:val="single" w:color="auto" w:sz="4" w:space="0"/>
              <w:bottom w:val="single" w:color="auto" w:sz="4" w:space="0"/>
              <w:right w:val="single" w:color="auto" w:sz="4" w:space="0"/>
            </w:tcBorders>
            <w:noWrap w:val="0"/>
            <w:vAlign w:val="center"/>
          </w:tcPr>
          <w:p w14:paraId="6333360F">
            <w:pPr>
              <w:spacing w:line="300" w:lineRule="exact"/>
              <w:ind w:firstLine="0" w:firstLineChars="0"/>
              <w:jc w:val="center"/>
              <w:rPr>
                <w:rFonts w:ascii="Times New Roman" w:hAnsi="Times New Roman" w:eastAsia="宋体" w:cs="Times New Roman"/>
                <w:color w:val="auto"/>
                <w:sz w:val="21"/>
                <w:szCs w:val="21"/>
              </w:rPr>
            </w:pPr>
          </w:p>
        </w:tc>
        <w:tc>
          <w:tcPr>
            <w:tcW w:w="540" w:type="dxa"/>
            <w:tcBorders>
              <w:top w:val="single" w:color="auto" w:sz="4" w:space="0"/>
              <w:left w:val="single" w:color="auto" w:sz="4" w:space="0"/>
              <w:bottom w:val="single" w:color="auto" w:sz="4" w:space="0"/>
              <w:right w:val="single" w:color="auto" w:sz="4" w:space="0"/>
            </w:tcBorders>
            <w:noWrap w:val="0"/>
            <w:vAlign w:val="center"/>
          </w:tcPr>
          <w:p w14:paraId="4B4F8F8E">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L</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2E18BCBE">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E</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287421F7">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C</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37D832C2">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D</w:t>
            </w:r>
          </w:p>
        </w:tc>
        <w:tc>
          <w:tcPr>
            <w:tcW w:w="2340" w:type="dxa"/>
            <w:vMerge w:val="continue"/>
            <w:tcBorders>
              <w:left w:val="single" w:color="auto" w:sz="4" w:space="0"/>
              <w:bottom w:val="single" w:color="auto" w:sz="4" w:space="0"/>
              <w:right w:val="single" w:color="auto" w:sz="4" w:space="0"/>
            </w:tcBorders>
            <w:noWrap w:val="0"/>
            <w:vAlign w:val="center"/>
          </w:tcPr>
          <w:p w14:paraId="29A996D9">
            <w:pPr>
              <w:spacing w:line="300" w:lineRule="exact"/>
              <w:ind w:firstLine="0" w:firstLineChars="0"/>
              <w:jc w:val="center"/>
              <w:rPr>
                <w:rFonts w:ascii="Times New Roman" w:hAnsi="Times New Roman" w:eastAsia="宋体" w:cs="Times New Roman"/>
                <w:color w:val="auto"/>
                <w:sz w:val="21"/>
                <w:szCs w:val="21"/>
              </w:rPr>
            </w:pPr>
          </w:p>
        </w:tc>
        <w:tc>
          <w:tcPr>
            <w:tcW w:w="1095" w:type="dxa"/>
            <w:vMerge w:val="continue"/>
            <w:tcBorders>
              <w:left w:val="single" w:color="auto" w:sz="4" w:space="0"/>
              <w:bottom w:val="single" w:color="auto" w:sz="4" w:space="0"/>
              <w:right w:val="single" w:color="auto" w:sz="4" w:space="0"/>
            </w:tcBorders>
            <w:noWrap w:val="0"/>
            <w:vAlign w:val="center"/>
          </w:tcPr>
          <w:p w14:paraId="35262F9F">
            <w:pPr>
              <w:spacing w:line="300" w:lineRule="exact"/>
              <w:ind w:firstLine="0" w:firstLineChars="0"/>
              <w:jc w:val="center"/>
              <w:rPr>
                <w:rFonts w:ascii="Times New Roman" w:hAnsi="Times New Roman" w:eastAsia="宋体" w:cs="Times New Roman"/>
                <w:color w:val="auto"/>
                <w:sz w:val="21"/>
                <w:szCs w:val="21"/>
              </w:rPr>
            </w:pPr>
          </w:p>
        </w:tc>
      </w:tr>
      <w:tr w14:paraId="2770E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76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2216FED">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21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E246F9F">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切断通路</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97D529">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BC460C">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052627D">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7</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E8C777">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42</w:t>
            </w:r>
          </w:p>
        </w:tc>
        <w:tc>
          <w:tcPr>
            <w:tcW w:w="23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174E73D0">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四级</w:t>
            </w:r>
          </w:p>
        </w:tc>
        <w:tc>
          <w:tcPr>
            <w:tcW w:w="1095" w:type="dxa"/>
            <w:tcBorders>
              <w:top w:val="single" w:color="auto" w:sz="4" w:space="0"/>
              <w:left w:val="single" w:color="auto" w:sz="4" w:space="0"/>
              <w:bottom w:val="single" w:color="auto" w:sz="4" w:space="0"/>
              <w:right w:val="single" w:color="auto" w:sz="4" w:space="0"/>
            </w:tcBorders>
            <w:noWrap w:val="0"/>
            <w:vAlign w:val="center"/>
          </w:tcPr>
          <w:p w14:paraId="181858F8">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库区道路</w:t>
            </w:r>
          </w:p>
        </w:tc>
      </w:tr>
      <w:tr w14:paraId="73FC8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76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B83F4E1">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w:t>
            </w:r>
          </w:p>
        </w:tc>
        <w:tc>
          <w:tcPr>
            <w:tcW w:w="21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144158B">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堵塞和破坏排水系统</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9A1A9E2">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2827940">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A2EF8F7">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40</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E920ED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120</w:t>
            </w:r>
          </w:p>
        </w:tc>
        <w:tc>
          <w:tcPr>
            <w:tcW w:w="234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12D59118">
            <w:pPr>
              <w:spacing w:line="300" w:lineRule="exact"/>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三</w:t>
            </w:r>
            <w:r>
              <w:rPr>
                <w:rFonts w:ascii="Times New Roman" w:hAnsi="Times New Roman" w:eastAsia="宋体" w:cs="Times New Roman"/>
                <w:color w:val="auto"/>
                <w:sz w:val="21"/>
                <w:szCs w:val="21"/>
              </w:rPr>
              <w:t>级</w:t>
            </w:r>
          </w:p>
        </w:tc>
        <w:tc>
          <w:tcPr>
            <w:tcW w:w="1095" w:type="dxa"/>
            <w:tcBorders>
              <w:top w:val="single" w:color="auto" w:sz="4" w:space="0"/>
              <w:left w:val="single" w:color="auto" w:sz="4" w:space="0"/>
              <w:bottom w:val="single" w:color="auto" w:sz="4" w:space="0"/>
              <w:right w:val="single" w:color="auto" w:sz="4" w:space="0"/>
            </w:tcBorders>
            <w:noWrap w:val="0"/>
            <w:vAlign w:val="center"/>
          </w:tcPr>
          <w:p w14:paraId="0869EECA">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溢洪道</w:t>
            </w:r>
          </w:p>
        </w:tc>
      </w:tr>
      <w:tr w14:paraId="6A757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76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FB40363">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21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84FB74B">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破坏坝体稳定性</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940198">
            <w:pPr>
              <w:spacing w:line="300" w:lineRule="exact"/>
              <w:ind w:firstLine="0" w:firstLineChars="0"/>
              <w:jc w:val="center"/>
              <w:rPr>
                <w:rFonts w:hint="eastAsia" w:ascii="Times New Roman" w:hAnsi="Times New Roman" w:eastAsia="宋体" w:cs="Times New Roman"/>
                <w:color w:val="auto"/>
                <w:sz w:val="21"/>
                <w:szCs w:val="21"/>
              </w:rPr>
            </w:pPr>
            <w:r>
              <w:rPr>
                <w:rFonts w:ascii="Times New Roman" w:hAnsi="Times New Roman" w:eastAsia="宋体" w:cs="Times New Roman"/>
                <w:color w:val="auto"/>
                <w:sz w:val="21"/>
                <w:szCs w:val="21"/>
              </w:rPr>
              <w:t>0.</w:t>
            </w:r>
            <w:r>
              <w:rPr>
                <w:rFonts w:hint="eastAsia" w:ascii="Times New Roman" w:hAnsi="Times New Roman" w:eastAsia="宋体" w:cs="Times New Roman"/>
                <w:color w:val="auto"/>
                <w:sz w:val="21"/>
                <w:szCs w:val="21"/>
              </w:rPr>
              <w:t>5</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2C920D7">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262AD6">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100</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034433A">
            <w:pPr>
              <w:spacing w:line="300" w:lineRule="exact"/>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5</w:t>
            </w:r>
            <w:r>
              <w:rPr>
                <w:rFonts w:ascii="Times New Roman" w:hAnsi="Times New Roman" w:eastAsia="宋体" w:cs="Times New Roman"/>
                <w:color w:val="auto"/>
                <w:sz w:val="21"/>
                <w:szCs w:val="21"/>
              </w:rPr>
              <w:t>0</w:t>
            </w:r>
          </w:p>
        </w:tc>
        <w:tc>
          <w:tcPr>
            <w:tcW w:w="23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1CFBE44B">
            <w:pPr>
              <w:spacing w:line="300" w:lineRule="exact"/>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四</w:t>
            </w:r>
            <w:r>
              <w:rPr>
                <w:rFonts w:ascii="Times New Roman" w:hAnsi="Times New Roman" w:eastAsia="宋体" w:cs="Times New Roman"/>
                <w:color w:val="auto"/>
                <w:sz w:val="21"/>
                <w:szCs w:val="21"/>
              </w:rPr>
              <w:t>级</w:t>
            </w:r>
          </w:p>
        </w:tc>
        <w:tc>
          <w:tcPr>
            <w:tcW w:w="1095" w:type="dxa"/>
            <w:tcBorders>
              <w:top w:val="single" w:color="auto" w:sz="4" w:space="0"/>
              <w:left w:val="single" w:color="auto" w:sz="4" w:space="0"/>
              <w:bottom w:val="single" w:color="auto" w:sz="4" w:space="0"/>
              <w:right w:val="single" w:color="auto" w:sz="4" w:space="0"/>
            </w:tcBorders>
            <w:noWrap w:val="0"/>
            <w:vAlign w:val="center"/>
          </w:tcPr>
          <w:p w14:paraId="7BD93B84">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尾矿坝</w:t>
            </w:r>
          </w:p>
        </w:tc>
      </w:tr>
    </w:tbl>
    <w:p w14:paraId="4675429A">
      <w:pPr>
        <w:bidi w:val="0"/>
        <w:rPr>
          <w:rFonts w:hint="eastAsia"/>
          <w:color w:val="auto"/>
        </w:rPr>
      </w:pPr>
      <w:r>
        <w:rPr>
          <w:rFonts w:hint="eastAsia"/>
          <w:color w:val="auto"/>
        </w:rPr>
        <w:t>三、雷电</w:t>
      </w:r>
    </w:p>
    <w:p w14:paraId="16E086C3">
      <w:pPr>
        <w:bidi w:val="0"/>
        <w:rPr>
          <w:rFonts w:hint="default"/>
          <w:color w:val="auto"/>
          <w:lang w:val="en-US" w:eastAsia="zh-CN"/>
        </w:rPr>
      </w:pPr>
      <w:r>
        <w:rPr>
          <w:rFonts w:hint="default"/>
          <w:color w:val="auto"/>
          <w:lang w:val="en-US" w:eastAsia="zh-CN"/>
        </w:rPr>
        <w:t>3.1</w:t>
      </w:r>
      <w:r>
        <w:rPr>
          <w:rFonts w:hint="eastAsia"/>
          <w:color w:val="auto"/>
          <w:lang w:val="en-US" w:eastAsia="zh-CN"/>
        </w:rPr>
        <w:t xml:space="preserve"> </w:t>
      </w:r>
      <w:r>
        <w:rPr>
          <w:rFonts w:hint="default"/>
          <w:color w:val="auto"/>
          <w:lang w:val="en-US" w:eastAsia="zh-CN"/>
        </w:rPr>
        <w:t>雷电危害</w:t>
      </w:r>
    </w:p>
    <w:p w14:paraId="581B3BD1">
      <w:pPr>
        <w:bidi w:val="0"/>
        <w:rPr>
          <w:rFonts w:hint="default"/>
          <w:color w:val="auto"/>
          <w:lang w:val="en-US" w:eastAsia="zh-CN"/>
        </w:rPr>
      </w:pPr>
      <w:r>
        <w:rPr>
          <w:rFonts w:hint="default"/>
          <w:color w:val="auto"/>
          <w:lang w:val="en-US" w:eastAsia="zh-CN"/>
        </w:rPr>
        <w:t>造成人员伤亡。</w:t>
      </w:r>
    </w:p>
    <w:p w14:paraId="1BFA49E5">
      <w:pPr>
        <w:bidi w:val="0"/>
        <w:rPr>
          <w:rFonts w:hint="default"/>
          <w:color w:val="auto"/>
          <w:lang w:val="en-US" w:eastAsia="zh-CN"/>
        </w:rPr>
      </w:pPr>
      <w:r>
        <w:rPr>
          <w:rFonts w:hint="default"/>
          <w:color w:val="auto"/>
          <w:lang w:val="en-US" w:eastAsia="zh-CN"/>
        </w:rPr>
        <w:t>3.2</w:t>
      </w:r>
      <w:r>
        <w:rPr>
          <w:rFonts w:hint="eastAsia"/>
          <w:color w:val="auto"/>
          <w:lang w:val="en-US" w:eastAsia="zh-CN"/>
        </w:rPr>
        <w:t xml:space="preserve"> </w:t>
      </w:r>
      <w:r>
        <w:rPr>
          <w:rFonts w:hint="default"/>
          <w:color w:val="auto"/>
          <w:lang w:val="en-US" w:eastAsia="zh-CN"/>
        </w:rPr>
        <w:t>风险分析</w:t>
      </w:r>
    </w:p>
    <w:p w14:paraId="0A232FCA">
      <w:pPr>
        <w:bidi w:val="0"/>
        <w:rPr>
          <w:rFonts w:hint="default"/>
          <w:color w:val="auto"/>
          <w:lang w:val="en-US" w:eastAsia="zh-CN"/>
        </w:rPr>
      </w:pPr>
      <w:r>
        <w:rPr>
          <w:rFonts w:hint="default"/>
          <w:color w:val="auto"/>
          <w:lang w:val="en-US" w:eastAsia="zh-CN"/>
        </w:rPr>
        <w:t>（1）事故或危险事件发生可能性分值L，取1；</w:t>
      </w:r>
    </w:p>
    <w:p w14:paraId="75020742">
      <w:pPr>
        <w:bidi w:val="0"/>
        <w:rPr>
          <w:rFonts w:hint="default"/>
          <w:color w:val="auto"/>
          <w:lang w:val="en-US" w:eastAsia="zh-CN"/>
        </w:rPr>
      </w:pPr>
      <w:r>
        <w:rPr>
          <w:rFonts w:hint="default"/>
          <w:color w:val="auto"/>
          <w:lang w:val="en-US" w:eastAsia="zh-CN"/>
        </w:rPr>
        <w:t>暴露于危险环境的频率分值E，取6；</w:t>
      </w:r>
    </w:p>
    <w:p w14:paraId="44815942">
      <w:pPr>
        <w:bidi w:val="0"/>
        <w:rPr>
          <w:rFonts w:hint="default"/>
          <w:color w:val="auto"/>
          <w:lang w:val="en-US" w:eastAsia="zh-CN"/>
        </w:rPr>
      </w:pPr>
      <w:r>
        <w:rPr>
          <w:rFonts w:hint="default"/>
          <w:color w:val="auto"/>
          <w:lang w:val="en-US" w:eastAsia="zh-CN"/>
        </w:rPr>
        <w:t>发生事故或危险事件可能结果分值C，取15。</w:t>
      </w:r>
    </w:p>
    <w:p w14:paraId="17BE14FD">
      <w:pPr>
        <w:bidi w:val="0"/>
        <w:rPr>
          <w:rFonts w:hint="default"/>
          <w:color w:val="auto"/>
          <w:lang w:val="en-US" w:eastAsia="zh-CN"/>
        </w:rPr>
      </w:pPr>
      <w:r>
        <w:rPr>
          <w:rFonts w:hint="default"/>
          <w:color w:val="auto"/>
          <w:lang w:val="en-US" w:eastAsia="zh-CN"/>
        </w:rPr>
        <w:t>作业条件的危险性D=1×6×15=90，属于一般危险，需要加强检查、整改。</w:t>
      </w:r>
    </w:p>
    <w:tbl>
      <w:tblPr>
        <w:tblStyle w:val="19"/>
        <w:tblW w:w="85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6"/>
        <w:gridCol w:w="1743"/>
        <w:gridCol w:w="720"/>
        <w:gridCol w:w="720"/>
        <w:gridCol w:w="720"/>
        <w:gridCol w:w="720"/>
        <w:gridCol w:w="1440"/>
        <w:gridCol w:w="1635"/>
      </w:tblGrid>
      <w:tr w14:paraId="76DAB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826" w:type="dxa"/>
            <w:vMerge w:val="restart"/>
            <w:tcBorders>
              <w:top w:val="single" w:color="auto" w:sz="4" w:space="0"/>
              <w:left w:val="single" w:color="auto" w:sz="4" w:space="0"/>
              <w:right w:val="single" w:color="auto" w:sz="4" w:space="0"/>
            </w:tcBorders>
            <w:noWrap w:val="0"/>
            <w:vAlign w:val="center"/>
          </w:tcPr>
          <w:p w14:paraId="3ED6F15D">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序号</w:t>
            </w:r>
          </w:p>
        </w:tc>
        <w:tc>
          <w:tcPr>
            <w:tcW w:w="1743" w:type="dxa"/>
            <w:vMerge w:val="restart"/>
            <w:tcBorders>
              <w:top w:val="single" w:color="auto" w:sz="4" w:space="0"/>
              <w:left w:val="single" w:color="auto" w:sz="4" w:space="0"/>
              <w:right w:val="single" w:color="auto" w:sz="4" w:space="0"/>
            </w:tcBorders>
            <w:noWrap w:val="0"/>
            <w:vAlign w:val="center"/>
          </w:tcPr>
          <w:p w14:paraId="3FC8E2E0">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场所</w:t>
            </w:r>
            <w:r>
              <w:rPr>
                <w:rFonts w:hint="eastAsia" w:ascii="Times New Roman" w:hAnsi="Times New Roman" w:eastAsia="宋体" w:cs="Times New Roman"/>
                <w:color w:val="auto"/>
                <w:sz w:val="21"/>
                <w:szCs w:val="21"/>
              </w:rPr>
              <w:t>（周边环境）</w:t>
            </w:r>
          </w:p>
        </w:tc>
        <w:tc>
          <w:tcPr>
            <w:tcW w:w="2880" w:type="dxa"/>
            <w:gridSpan w:val="4"/>
            <w:tcBorders>
              <w:top w:val="single" w:color="auto" w:sz="4" w:space="0"/>
              <w:left w:val="single" w:color="auto" w:sz="4" w:space="0"/>
              <w:bottom w:val="single" w:color="auto" w:sz="4" w:space="0"/>
              <w:right w:val="single" w:color="auto" w:sz="4" w:space="0"/>
            </w:tcBorders>
            <w:noWrap w:val="0"/>
            <w:vAlign w:val="center"/>
          </w:tcPr>
          <w:p w14:paraId="49BEAC45">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风险值D=L·E·C</w:t>
            </w:r>
          </w:p>
        </w:tc>
        <w:tc>
          <w:tcPr>
            <w:tcW w:w="1440" w:type="dxa"/>
            <w:vMerge w:val="restart"/>
            <w:tcBorders>
              <w:top w:val="single" w:color="auto" w:sz="4" w:space="0"/>
              <w:left w:val="single" w:color="auto" w:sz="4" w:space="0"/>
              <w:right w:val="single" w:color="auto" w:sz="4" w:space="0"/>
            </w:tcBorders>
            <w:noWrap w:val="0"/>
            <w:vAlign w:val="center"/>
          </w:tcPr>
          <w:p w14:paraId="3DA60810">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危险性程度</w:t>
            </w:r>
          </w:p>
        </w:tc>
        <w:tc>
          <w:tcPr>
            <w:tcW w:w="1635" w:type="dxa"/>
            <w:vMerge w:val="restart"/>
            <w:tcBorders>
              <w:top w:val="single" w:color="auto" w:sz="4" w:space="0"/>
              <w:left w:val="single" w:color="auto" w:sz="4" w:space="0"/>
              <w:right w:val="single" w:color="auto" w:sz="4" w:space="0"/>
            </w:tcBorders>
            <w:noWrap w:val="0"/>
            <w:vAlign w:val="center"/>
          </w:tcPr>
          <w:p w14:paraId="71C38A6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影响范围</w:t>
            </w:r>
          </w:p>
        </w:tc>
      </w:tr>
      <w:tr w14:paraId="16A56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826" w:type="dxa"/>
            <w:vMerge w:val="continue"/>
            <w:tcBorders>
              <w:left w:val="single" w:color="auto" w:sz="4" w:space="0"/>
              <w:bottom w:val="single" w:color="auto" w:sz="4" w:space="0"/>
              <w:right w:val="single" w:color="auto" w:sz="4" w:space="0"/>
            </w:tcBorders>
            <w:noWrap w:val="0"/>
            <w:vAlign w:val="center"/>
          </w:tcPr>
          <w:p w14:paraId="42372F0F">
            <w:pPr>
              <w:spacing w:line="300" w:lineRule="exact"/>
              <w:ind w:firstLine="0" w:firstLineChars="0"/>
              <w:jc w:val="center"/>
              <w:rPr>
                <w:rFonts w:ascii="Times New Roman" w:hAnsi="Times New Roman" w:eastAsia="宋体" w:cs="Times New Roman"/>
                <w:color w:val="auto"/>
                <w:sz w:val="21"/>
                <w:szCs w:val="21"/>
              </w:rPr>
            </w:pPr>
          </w:p>
        </w:tc>
        <w:tc>
          <w:tcPr>
            <w:tcW w:w="1743" w:type="dxa"/>
            <w:vMerge w:val="continue"/>
            <w:tcBorders>
              <w:left w:val="single" w:color="auto" w:sz="4" w:space="0"/>
              <w:bottom w:val="single" w:color="auto" w:sz="4" w:space="0"/>
              <w:right w:val="single" w:color="auto" w:sz="4" w:space="0"/>
            </w:tcBorders>
            <w:noWrap w:val="0"/>
            <w:vAlign w:val="center"/>
          </w:tcPr>
          <w:p w14:paraId="7D4E2AA9">
            <w:pPr>
              <w:spacing w:line="300" w:lineRule="exact"/>
              <w:ind w:firstLine="0" w:firstLineChars="0"/>
              <w:jc w:val="center"/>
              <w:rPr>
                <w:rFonts w:ascii="Times New Roman" w:hAnsi="Times New Roman" w:eastAsia="宋体" w:cs="Times New Roman"/>
                <w:color w:val="auto"/>
                <w:sz w:val="21"/>
                <w:szCs w:val="21"/>
              </w:rPr>
            </w:pPr>
          </w:p>
        </w:tc>
        <w:tc>
          <w:tcPr>
            <w:tcW w:w="720" w:type="dxa"/>
            <w:tcBorders>
              <w:top w:val="single" w:color="auto" w:sz="4" w:space="0"/>
              <w:left w:val="single" w:color="auto" w:sz="4" w:space="0"/>
              <w:bottom w:val="single" w:color="auto" w:sz="4" w:space="0"/>
              <w:right w:val="single" w:color="auto" w:sz="4" w:space="0"/>
            </w:tcBorders>
            <w:noWrap w:val="0"/>
            <w:vAlign w:val="center"/>
          </w:tcPr>
          <w:p w14:paraId="4B882A3A">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L</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5A06DEC0">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E</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22EB324F">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C</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162715AB">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D</w:t>
            </w:r>
          </w:p>
        </w:tc>
        <w:tc>
          <w:tcPr>
            <w:tcW w:w="1440" w:type="dxa"/>
            <w:vMerge w:val="continue"/>
            <w:tcBorders>
              <w:left w:val="single" w:color="auto" w:sz="4" w:space="0"/>
              <w:bottom w:val="single" w:color="auto" w:sz="4" w:space="0"/>
              <w:right w:val="single" w:color="auto" w:sz="4" w:space="0"/>
            </w:tcBorders>
            <w:noWrap w:val="0"/>
            <w:vAlign w:val="center"/>
          </w:tcPr>
          <w:p w14:paraId="1533ED7C">
            <w:pPr>
              <w:spacing w:line="300" w:lineRule="exact"/>
              <w:ind w:firstLine="0" w:firstLineChars="0"/>
              <w:jc w:val="center"/>
              <w:rPr>
                <w:rFonts w:ascii="Times New Roman" w:hAnsi="Times New Roman" w:eastAsia="宋体" w:cs="Times New Roman"/>
                <w:color w:val="auto"/>
                <w:sz w:val="21"/>
                <w:szCs w:val="21"/>
              </w:rPr>
            </w:pPr>
          </w:p>
        </w:tc>
        <w:tc>
          <w:tcPr>
            <w:tcW w:w="1635" w:type="dxa"/>
            <w:vMerge w:val="continue"/>
            <w:tcBorders>
              <w:left w:val="single" w:color="auto" w:sz="4" w:space="0"/>
              <w:bottom w:val="single" w:color="auto" w:sz="4" w:space="0"/>
              <w:right w:val="single" w:color="auto" w:sz="4" w:space="0"/>
            </w:tcBorders>
            <w:noWrap w:val="0"/>
            <w:vAlign w:val="center"/>
          </w:tcPr>
          <w:p w14:paraId="59A6CE4E">
            <w:pPr>
              <w:spacing w:line="300" w:lineRule="exact"/>
              <w:ind w:firstLine="0" w:firstLineChars="0"/>
              <w:jc w:val="center"/>
              <w:rPr>
                <w:rFonts w:ascii="Times New Roman" w:hAnsi="Times New Roman" w:eastAsia="宋体" w:cs="Times New Roman"/>
                <w:color w:val="auto"/>
                <w:sz w:val="21"/>
                <w:szCs w:val="21"/>
              </w:rPr>
            </w:pPr>
          </w:p>
        </w:tc>
      </w:tr>
      <w:tr w14:paraId="2431E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82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BAD180D">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174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2809F8">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雷电</w:t>
            </w:r>
          </w:p>
        </w:tc>
        <w:tc>
          <w:tcPr>
            <w:tcW w:w="7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AE187B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7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E342364">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w:t>
            </w:r>
          </w:p>
        </w:tc>
        <w:tc>
          <w:tcPr>
            <w:tcW w:w="7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385921F">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15</w:t>
            </w:r>
          </w:p>
        </w:tc>
        <w:tc>
          <w:tcPr>
            <w:tcW w:w="7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87D14F1">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90</w:t>
            </w:r>
          </w:p>
        </w:tc>
        <w:tc>
          <w:tcPr>
            <w:tcW w:w="144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515FBC36">
            <w:pPr>
              <w:spacing w:line="300" w:lineRule="exact"/>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三</w:t>
            </w:r>
            <w:r>
              <w:rPr>
                <w:rFonts w:ascii="Times New Roman" w:hAnsi="Times New Roman" w:eastAsia="宋体" w:cs="Times New Roman"/>
                <w:color w:val="auto"/>
                <w:sz w:val="21"/>
                <w:szCs w:val="21"/>
              </w:rPr>
              <w:t>级</w:t>
            </w:r>
          </w:p>
        </w:tc>
        <w:tc>
          <w:tcPr>
            <w:tcW w:w="1635" w:type="dxa"/>
            <w:tcBorders>
              <w:top w:val="single" w:color="auto" w:sz="4" w:space="0"/>
              <w:left w:val="single" w:color="auto" w:sz="4" w:space="0"/>
              <w:bottom w:val="single" w:color="auto" w:sz="4" w:space="0"/>
              <w:right w:val="single" w:color="auto" w:sz="4" w:space="0"/>
            </w:tcBorders>
            <w:noWrap w:val="0"/>
            <w:vAlign w:val="center"/>
          </w:tcPr>
          <w:p w14:paraId="7AF960DB">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库区、个别员工</w:t>
            </w:r>
          </w:p>
        </w:tc>
      </w:tr>
    </w:tbl>
    <w:p w14:paraId="1F9794B2">
      <w:pPr>
        <w:bidi w:val="0"/>
        <w:rPr>
          <w:rFonts w:hint="default"/>
          <w:color w:val="auto"/>
          <w:lang w:val="en-US" w:eastAsia="zh-CN"/>
        </w:rPr>
      </w:pPr>
      <w:r>
        <w:rPr>
          <w:rFonts w:hint="default"/>
          <w:color w:val="auto"/>
          <w:lang w:val="en-US" w:eastAsia="zh-CN"/>
        </w:rPr>
        <w:t>四、动植物危害</w:t>
      </w:r>
    </w:p>
    <w:p w14:paraId="103B16A6">
      <w:pPr>
        <w:bidi w:val="0"/>
        <w:rPr>
          <w:rFonts w:hint="default"/>
          <w:color w:val="auto"/>
          <w:lang w:val="en-US" w:eastAsia="zh-CN"/>
        </w:rPr>
      </w:pPr>
      <w:r>
        <w:rPr>
          <w:rFonts w:hint="default"/>
          <w:color w:val="auto"/>
          <w:lang w:val="en-US" w:eastAsia="zh-CN"/>
        </w:rPr>
        <w:t>4.1</w:t>
      </w:r>
      <w:r>
        <w:rPr>
          <w:rFonts w:hint="eastAsia"/>
          <w:color w:val="auto"/>
          <w:lang w:val="en-US" w:eastAsia="zh-CN"/>
        </w:rPr>
        <w:t xml:space="preserve"> </w:t>
      </w:r>
      <w:r>
        <w:rPr>
          <w:rFonts w:hint="default"/>
          <w:color w:val="auto"/>
          <w:lang w:val="en-US" w:eastAsia="zh-CN"/>
        </w:rPr>
        <w:t>动植物危害</w:t>
      </w:r>
    </w:p>
    <w:p w14:paraId="1F456C35">
      <w:pPr>
        <w:bidi w:val="0"/>
        <w:rPr>
          <w:rFonts w:hint="default"/>
          <w:color w:val="auto"/>
          <w:lang w:val="en-US" w:eastAsia="zh-CN"/>
        </w:rPr>
      </w:pPr>
      <w:r>
        <w:rPr>
          <w:rFonts w:hint="default"/>
          <w:color w:val="auto"/>
          <w:lang w:val="en-US" w:eastAsia="zh-CN"/>
        </w:rPr>
        <w:t>人员受伤，可能死亡（被蛇咬）。</w:t>
      </w:r>
    </w:p>
    <w:p w14:paraId="51DC1AE5">
      <w:pPr>
        <w:bidi w:val="0"/>
        <w:rPr>
          <w:rFonts w:hint="default"/>
          <w:color w:val="auto"/>
          <w:lang w:val="en-US" w:eastAsia="zh-CN"/>
        </w:rPr>
      </w:pPr>
      <w:r>
        <w:rPr>
          <w:rFonts w:hint="default"/>
          <w:color w:val="auto"/>
          <w:lang w:val="en-US" w:eastAsia="zh-CN"/>
        </w:rPr>
        <w:t>4.2</w:t>
      </w:r>
      <w:r>
        <w:rPr>
          <w:rFonts w:hint="eastAsia"/>
          <w:color w:val="auto"/>
          <w:lang w:val="en-US" w:eastAsia="zh-CN"/>
        </w:rPr>
        <w:t xml:space="preserve"> </w:t>
      </w:r>
      <w:r>
        <w:rPr>
          <w:rFonts w:hint="default"/>
          <w:color w:val="auto"/>
          <w:lang w:val="en-US" w:eastAsia="zh-CN"/>
        </w:rPr>
        <w:t>风险分析</w:t>
      </w:r>
    </w:p>
    <w:p w14:paraId="78EB881F">
      <w:pPr>
        <w:bidi w:val="0"/>
        <w:rPr>
          <w:rFonts w:hint="default"/>
          <w:color w:val="auto"/>
          <w:lang w:val="en-US" w:eastAsia="zh-CN"/>
        </w:rPr>
      </w:pPr>
      <w:r>
        <w:rPr>
          <w:rFonts w:hint="default"/>
          <w:color w:val="auto"/>
          <w:lang w:val="en-US" w:eastAsia="zh-CN"/>
        </w:rPr>
        <w:t>事故或危险事件发生可能性分值L，取1；</w:t>
      </w:r>
    </w:p>
    <w:p w14:paraId="216CC612">
      <w:pPr>
        <w:bidi w:val="0"/>
        <w:rPr>
          <w:rFonts w:hint="default"/>
          <w:color w:val="auto"/>
          <w:lang w:val="en-US" w:eastAsia="zh-CN"/>
        </w:rPr>
      </w:pPr>
      <w:r>
        <w:rPr>
          <w:rFonts w:hint="default"/>
          <w:color w:val="auto"/>
          <w:lang w:val="en-US" w:eastAsia="zh-CN"/>
        </w:rPr>
        <w:t>暴露于危险环境的频率分值E，取3；</w:t>
      </w:r>
    </w:p>
    <w:p w14:paraId="0C12945F">
      <w:pPr>
        <w:bidi w:val="0"/>
        <w:rPr>
          <w:rFonts w:hint="default"/>
          <w:color w:val="auto"/>
          <w:lang w:val="en-US" w:eastAsia="zh-CN"/>
        </w:rPr>
      </w:pPr>
      <w:r>
        <w:rPr>
          <w:rFonts w:hint="default"/>
          <w:color w:val="auto"/>
          <w:lang w:val="en-US" w:eastAsia="zh-CN"/>
        </w:rPr>
        <w:t>发生事故或危险事件可能结果分值C，取15。</w:t>
      </w:r>
    </w:p>
    <w:p w14:paraId="3887C85F">
      <w:pPr>
        <w:bidi w:val="0"/>
        <w:rPr>
          <w:rFonts w:hint="default"/>
          <w:color w:val="auto"/>
          <w:lang w:val="en-US" w:eastAsia="zh-CN"/>
        </w:rPr>
      </w:pPr>
      <w:r>
        <w:rPr>
          <w:rFonts w:hint="default"/>
          <w:color w:val="auto"/>
          <w:lang w:val="en-US" w:eastAsia="zh-CN"/>
        </w:rPr>
        <w:t>作业条件的危险性D=1×3×15=45，属于轻度危险，需要定期检查。</w:t>
      </w:r>
    </w:p>
    <w:tbl>
      <w:tblPr>
        <w:tblStyle w:val="19"/>
        <w:tblW w:w="85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6"/>
        <w:gridCol w:w="1923"/>
        <w:gridCol w:w="540"/>
        <w:gridCol w:w="540"/>
        <w:gridCol w:w="540"/>
        <w:gridCol w:w="540"/>
        <w:gridCol w:w="2340"/>
        <w:gridCol w:w="1275"/>
      </w:tblGrid>
      <w:tr w14:paraId="2D02A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826" w:type="dxa"/>
            <w:vMerge w:val="restart"/>
            <w:tcBorders>
              <w:top w:val="single" w:color="auto" w:sz="4" w:space="0"/>
              <w:left w:val="single" w:color="auto" w:sz="4" w:space="0"/>
              <w:right w:val="single" w:color="auto" w:sz="4" w:space="0"/>
            </w:tcBorders>
            <w:noWrap w:val="0"/>
            <w:vAlign w:val="center"/>
          </w:tcPr>
          <w:p w14:paraId="77539581">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序号</w:t>
            </w:r>
          </w:p>
        </w:tc>
        <w:tc>
          <w:tcPr>
            <w:tcW w:w="1923" w:type="dxa"/>
            <w:vMerge w:val="restart"/>
            <w:tcBorders>
              <w:top w:val="single" w:color="auto" w:sz="4" w:space="0"/>
              <w:left w:val="single" w:color="auto" w:sz="4" w:space="0"/>
              <w:right w:val="single" w:color="auto" w:sz="4" w:space="0"/>
            </w:tcBorders>
            <w:noWrap w:val="0"/>
            <w:vAlign w:val="center"/>
          </w:tcPr>
          <w:p w14:paraId="7C2373BB">
            <w:pPr>
              <w:spacing w:line="300" w:lineRule="exact"/>
              <w:ind w:firstLine="0" w:firstLineChars="0"/>
              <w:jc w:val="center"/>
              <w:rPr>
                <w:rFonts w:hint="eastAsia" w:ascii="Times New Roman" w:hAnsi="Times New Roman" w:eastAsia="宋体" w:cs="Times New Roman"/>
                <w:color w:val="auto"/>
                <w:sz w:val="21"/>
                <w:szCs w:val="21"/>
              </w:rPr>
            </w:pPr>
            <w:r>
              <w:rPr>
                <w:rFonts w:ascii="Times New Roman" w:hAnsi="Times New Roman" w:eastAsia="宋体" w:cs="Times New Roman"/>
                <w:color w:val="auto"/>
                <w:sz w:val="21"/>
                <w:szCs w:val="21"/>
              </w:rPr>
              <w:t>场所</w:t>
            </w:r>
            <w:r>
              <w:rPr>
                <w:rFonts w:hint="eastAsia" w:ascii="Times New Roman" w:hAnsi="Times New Roman" w:eastAsia="宋体" w:cs="Times New Roman"/>
                <w:color w:val="auto"/>
                <w:sz w:val="21"/>
                <w:szCs w:val="21"/>
              </w:rPr>
              <w:t>（周边环境）</w:t>
            </w:r>
          </w:p>
        </w:tc>
        <w:tc>
          <w:tcPr>
            <w:tcW w:w="2160" w:type="dxa"/>
            <w:gridSpan w:val="4"/>
            <w:tcBorders>
              <w:top w:val="single" w:color="auto" w:sz="4" w:space="0"/>
              <w:left w:val="single" w:color="auto" w:sz="4" w:space="0"/>
              <w:bottom w:val="single" w:color="auto" w:sz="4" w:space="0"/>
              <w:right w:val="single" w:color="auto" w:sz="4" w:space="0"/>
            </w:tcBorders>
            <w:noWrap w:val="0"/>
            <w:vAlign w:val="center"/>
          </w:tcPr>
          <w:p w14:paraId="4EFA38A5">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风险值D=L·E·C</w:t>
            </w:r>
          </w:p>
        </w:tc>
        <w:tc>
          <w:tcPr>
            <w:tcW w:w="2340" w:type="dxa"/>
            <w:vMerge w:val="restart"/>
            <w:tcBorders>
              <w:top w:val="single" w:color="auto" w:sz="4" w:space="0"/>
              <w:left w:val="single" w:color="auto" w:sz="4" w:space="0"/>
              <w:right w:val="single" w:color="auto" w:sz="4" w:space="0"/>
            </w:tcBorders>
            <w:noWrap w:val="0"/>
            <w:vAlign w:val="center"/>
          </w:tcPr>
          <w:p w14:paraId="65F42E9E">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危险性程度</w:t>
            </w:r>
          </w:p>
        </w:tc>
        <w:tc>
          <w:tcPr>
            <w:tcW w:w="1275" w:type="dxa"/>
            <w:vMerge w:val="restart"/>
            <w:tcBorders>
              <w:top w:val="single" w:color="auto" w:sz="4" w:space="0"/>
              <w:left w:val="single" w:color="auto" w:sz="4" w:space="0"/>
              <w:right w:val="single" w:color="auto" w:sz="4" w:space="0"/>
            </w:tcBorders>
            <w:noWrap w:val="0"/>
            <w:vAlign w:val="center"/>
          </w:tcPr>
          <w:p w14:paraId="787F83CF">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影响范围</w:t>
            </w:r>
          </w:p>
        </w:tc>
      </w:tr>
      <w:tr w14:paraId="6E3FA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826" w:type="dxa"/>
            <w:vMerge w:val="continue"/>
            <w:tcBorders>
              <w:left w:val="single" w:color="auto" w:sz="4" w:space="0"/>
              <w:bottom w:val="single" w:color="auto" w:sz="4" w:space="0"/>
              <w:right w:val="single" w:color="auto" w:sz="4" w:space="0"/>
            </w:tcBorders>
            <w:noWrap w:val="0"/>
            <w:vAlign w:val="center"/>
          </w:tcPr>
          <w:p w14:paraId="29CD2116">
            <w:pPr>
              <w:spacing w:line="300" w:lineRule="exact"/>
              <w:ind w:firstLine="0" w:firstLineChars="0"/>
              <w:jc w:val="center"/>
              <w:rPr>
                <w:rFonts w:ascii="Times New Roman" w:hAnsi="Times New Roman" w:eastAsia="宋体" w:cs="Times New Roman"/>
                <w:color w:val="auto"/>
                <w:sz w:val="21"/>
                <w:szCs w:val="21"/>
              </w:rPr>
            </w:pPr>
          </w:p>
        </w:tc>
        <w:tc>
          <w:tcPr>
            <w:tcW w:w="1923" w:type="dxa"/>
            <w:vMerge w:val="continue"/>
            <w:tcBorders>
              <w:left w:val="single" w:color="auto" w:sz="4" w:space="0"/>
              <w:bottom w:val="single" w:color="auto" w:sz="4" w:space="0"/>
              <w:right w:val="single" w:color="auto" w:sz="4" w:space="0"/>
            </w:tcBorders>
            <w:noWrap w:val="0"/>
            <w:vAlign w:val="center"/>
          </w:tcPr>
          <w:p w14:paraId="2D94469C">
            <w:pPr>
              <w:spacing w:line="300" w:lineRule="exact"/>
              <w:ind w:firstLine="0" w:firstLineChars="0"/>
              <w:jc w:val="center"/>
              <w:rPr>
                <w:rFonts w:ascii="Times New Roman" w:hAnsi="Times New Roman" w:eastAsia="宋体" w:cs="Times New Roman"/>
                <w:color w:val="auto"/>
                <w:sz w:val="21"/>
                <w:szCs w:val="21"/>
              </w:rPr>
            </w:pPr>
          </w:p>
        </w:tc>
        <w:tc>
          <w:tcPr>
            <w:tcW w:w="540" w:type="dxa"/>
            <w:tcBorders>
              <w:top w:val="single" w:color="auto" w:sz="4" w:space="0"/>
              <w:left w:val="single" w:color="auto" w:sz="4" w:space="0"/>
              <w:bottom w:val="single" w:color="auto" w:sz="4" w:space="0"/>
              <w:right w:val="single" w:color="auto" w:sz="4" w:space="0"/>
            </w:tcBorders>
            <w:noWrap w:val="0"/>
            <w:vAlign w:val="center"/>
          </w:tcPr>
          <w:p w14:paraId="0912D236">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L</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6B31B0AE">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E</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207F458C">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C</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6D963845">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D</w:t>
            </w:r>
          </w:p>
        </w:tc>
        <w:tc>
          <w:tcPr>
            <w:tcW w:w="2340" w:type="dxa"/>
            <w:vMerge w:val="continue"/>
            <w:tcBorders>
              <w:left w:val="single" w:color="auto" w:sz="4" w:space="0"/>
              <w:bottom w:val="single" w:color="auto" w:sz="4" w:space="0"/>
              <w:right w:val="single" w:color="auto" w:sz="4" w:space="0"/>
            </w:tcBorders>
            <w:noWrap w:val="0"/>
            <w:vAlign w:val="center"/>
          </w:tcPr>
          <w:p w14:paraId="0022280F">
            <w:pPr>
              <w:spacing w:line="300" w:lineRule="exact"/>
              <w:ind w:firstLine="0" w:firstLineChars="0"/>
              <w:jc w:val="center"/>
              <w:rPr>
                <w:rFonts w:ascii="Times New Roman" w:hAnsi="Times New Roman" w:eastAsia="宋体" w:cs="Times New Roman"/>
                <w:color w:val="auto"/>
                <w:sz w:val="21"/>
                <w:szCs w:val="21"/>
              </w:rPr>
            </w:pPr>
          </w:p>
        </w:tc>
        <w:tc>
          <w:tcPr>
            <w:tcW w:w="1275" w:type="dxa"/>
            <w:vMerge w:val="continue"/>
            <w:tcBorders>
              <w:left w:val="single" w:color="auto" w:sz="4" w:space="0"/>
              <w:bottom w:val="single" w:color="auto" w:sz="4" w:space="0"/>
              <w:right w:val="single" w:color="auto" w:sz="4" w:space="0"/>
            </w:tcBorders>
            <w:noWrap w:val="0"/>
            <w:vAlign w:val="center"/>
          </w:tcPr>
          <w:p w14:paraId="70C68292">
            <w:pPr>
              <w:spacing w:line="300" w:lineRule="exact"/>
              <w:ind w:firstLine="0" w:firstLineChars="0"/>
              <w:jc w:val="center"/>
              <w:rPr>
                <w:rFonts w:ascii="Times New Roman" w:hAnsi="Times New Roman" w:eastAsia="宋体" w:cs="Times New Roman"/>
                <w:color w:val="auto"/>
                <w:sz w:val="21"/>
                <w:szCs w:val="21"/>
              </w:rPr>
            </w:pPr>
          </w:p>
        </w:tc>
      </w:tr>
      <w:tr w14:paraId="700AA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82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2A2416D">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192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36D136E">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动植物危害</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FC74382">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654BB80">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6381F0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15</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4CF0F30">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45</w:t>
            </w:r>
          </w:p>
        </w:tc>
        <w:tc>
          <w:tcPr>
            <w:tcW w:w="23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7838CFFE">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四级</w:t>
            </w:r>
          </w:p>
        </w:tc>
        <w:tc>
          <w:tcPr>
            <w:tcW w:w="1275" w:type="dxa"/>
            <w:tcBorders>
              <w:top w:val="single" w:color="auto" w:sz="4" w:space="0"/>
              <w:left w:val="single" w:color="auto" w:sz="4" w:space="0"/>
              <w:bottom w:val="single" w:color="auto" w:sz="4" w:space="0"/>
              <w:right w:val="single" w:color="auto" w:sz="4" w:space="0"/>
            </w:tcBorders>
            <w:noWrap w:val="0"/>
            <w:vAlign w:val="center"/>
          </w:tcPr>
          <w:p w14:paraId="08FA60B8">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个别员工</w:t>
            </w:r>
          </w:p>
        </w:tc>
      </w:tr>
    </w:tbl>
    <w:p w14:paraId="056E72CC">
      <w:pPr>
        <w:bidi w:val="0"/>
        <w:rPr>
          <w:rFonts w:hint="default"/>
          <w:color w:val="auto"/>
          <w:lang w:val="en-US" w:eastAsia="zh-CN"/>
        </w:rPr>
      </w:pPr>
      <w:r>
        <w:rPr>
          <w:rFonts w:hint="default"/>
          <w:color w:val="auto"/>
          <w:lang w:val="en-US" w:eastAsia="zh-CN"/>
        </w:rPr>
        <w:t>五、尾矿坝事故（事件）</w:t>
      </w:r>
    </w:p>
    <w:p w14:paraId="6512E7CE">
      <w:pPr>
        <w:bidi w:val="0"/>
        <w:rPr>
          <w:rFonts w:hint="default"/>
          <w:color w:val="auto"/>
          <w:lang w:val="en-US" w:eastAsia="zh-CN"/>
        </w:rPr>
      </w:pPr>
      <w:r>
        <w:rPr>
          <w:rFonts w:hint="default"/>
          <w:color w:val="auto"/>
          <w:lang w:val="en-US" w:eastAsia="zh-CN"/>
        </w:rPr>
        <w:t>5.1</w:t>
      </w:r>
      <w:r>
        <w:rPr>
          <w:rFonts w:hint="eastAsia"/>
          <w:color w:val="auto"/>
          <w:lang w:val="en-US" w:eastAsia="zh-CN"/>
        </w:rPr>
        <w:t xml:space="preserve"> </w:t>
      </w:r>
      <w:r>
        <w:rPr>
          <w:rFonts w:hint="default"/>
          <w:color w:val="auto"/>
          <w:lang w:val="en-US" w:eastAsia="zh-CN"/>
        </w:rPr>
        <w:t>尾矿坝事故（事件）危害</w:t>
      </w:r>
    </w:p>
    <w:p w14:paraId="749E96AA">
      <w:pPr>
        <w:bidi w:val="0"/>
        <w:rPr>
          <w:rFonts w:hint="default"/>
          <w:color w:val="auto"/>
          <w:lang w:val="en-US" w:eastAsia="zh-CN"/>
        </w:rPr>
      </w:pPr>
      <w:r>
        <w:rPr>
          <w:rFonts w:hint="default"/>
          <w:color w:val="auto"/>
          <w:lang w:val="en-US" w:eastAsia="zh-CN"/>
        </w:rPr>
        <w:t>高处坠落导致人员受伤，渗漏、裂缝、坝坡失稳（滑坡）、坝体垮塌、溃坝，继而污染下游，导致停产。</w:t>
      </w:r>
    </w:p>
    <w:p w14:paraId="1A377C7E">
      <w:pPr>
        <w:bidi w:val="0"/>
        <w:rPr>
          <w:rFonts w:hint="default"/>
          <w:color w:val="auto"/>
          <w:lang w:val="en-US" w:eastAsia="zh-CN"/>
        </w:rPr>
      </w:pPr>
      <w:r>
        <w:rPr>
          <w:rFonts w:hint="default"/>
          <w:color w:val="auto"/>
          <w:lang w:val="en-US" w:eastAsia="zh-CN"/>
        </w:rPr>
        <w:t>5.2</w:t>
      </w:r>
      <w:r>
        <w:rPr>
          <w:rFonts w:hint="eastAsia"/>
          <w:color w:val="auto"/>
          <w:lang w:val="en-US" w:eastAsia="zh-CN"/>
        </w:rPr>
        <w:t xml:space="preserve"> </w:t>
      </w:r>
      <w:r>
        <w:rPr>
          <w:rFonts w:hint="default"/>
          <w:color w:val="auto"/>
          <w:lang w:val="en-US" w:eastAsia="zh-CN"/>
        </w:rPr>
        <w:t>风险分析</w:t>
      </w:r>
    </w:p>
    <w:p w14:paraId="7FAE81B4">
      <w:pPr>
        <w:bidi w:val="0"/>
        <w:rPr>
          <w:rFonts w:hint="default"/>
          <w:color w:val="auto"/>
          <w:lang w:val="en-US" w:eastAsia="zh-CN"/>
        </w:rPr>
      </w:pPr>
      <w:r>
        <w:rPr>
          <w:rFonts w:hint="default"/>
          <w:color w:val="auto"/>
          <w:lang w:val="en-US" w:eastAsia="zh-CN"/>
        </w:rPr>
        <w:t>（1）高处坠落</w:t>
      </w:r>
    </w:p>
    <w:p w14:paraId="1474EAE1">
      <w:pPr>
        <w:bidi w:val="0"/>
        <w:rPr>
          <w:rFonts w:hint="default"/>
          <w:color w:val="auto"/>
          <w:lang w:val="en-US" w:eastAsia="zh-CN"/>
        </w:rPr>
      </w:pPr>
      <w:r>
        <w:rPr>
          <w:rFonts w:hint="default"/>
          <w:color w:val="auto"/>
          <w:lang w:val="en-US" w:eastAsia="zh-CN"/>
        </w:rPr>
        <w:t>事故或危险事件发生可能性分值L，取1；</w:t>
      </w:r>
    </w:p>
    <w:p w14:paraId="59106063">
      <w:pPr>
        <w:bidi w:val="0"/>
        <w:rPr>
          <w:rFonts w:hint="default"/>
          <w:color w:val="auto"/>
          <w:lang w:val="en-US" w:eastAsia="zh-CN"/>
        </w:rPr>
      </w:pPr>
      <w:r>
        <w:rPr>
          <w:rFonts w:hint="default"/>
          <w:color w:val="auto"/>
          <w:lang w:val="en-US" w:eastAsia="zh-CN"/>
        </w:rPr>
        <w:t>暴露于危险环境的频率分值E，取6；</w:t>
      </w:r>
    </w:p>
    <w:p w14:paraId="5DDBFE2B">
      <w:pPr>
        <w:bidi w:val="0"/>
        <w:rPr>
          <w:rFonts w:hint="default"/>
          <w:color w:val="auto"/>
          <w:lang w:val="en-US" w:eastAsia="zh-CN"/>
        </w:rPr>
      </w:pPr>
      <w:r>
        <w:rPr>
          <w:rFonts w:hint="default"/>
          <w:color w:val="auto"/>
          <w:lang w:val="en-US" w:eastAsia="zh-CN"/>
        </w:rPr>
        <w:t>发生事故或危险事件可能结果分值C，取7。</w:t>
      </w:r>
    </w:p>
    <w:p w14:paraId="1CE6E91A">
      <w:pPr>
        <w:bidi w:val="0"/>
        <w:rPr>
          <w:rFonts w:hint="default"/>
          <w:color w:val="auto"/>
          <w:lang w:val="en-US" w:eastAsia="zh-CN"/>
        </w:rPr>
      </w:pPr>
      <w:r>
        <w:rPr>
          <w:rFonts w:hint="default"/>
          <w:color w:val="auto"/>
          <w:lang w:val="en-US" w:eastAsia="zh-CN"/>
        </w:rPr>
        <w:t>作业条件的危险性D=1×6×7=42，属于轻度危险，需要定期检查。</w:t>
      </w:r>
    </w:p>
    <w:tbl>
      <w:tblPr>
        <w:tblStyle w:val="19"/>
        <w:tblW w:w="85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6"/>
        <w:gridCol w:w="1383"/>
        <w:gridCol w:w="720"/>
        <w:gridCol w:w="720"/>
        <w:gridCol w:w="720"/>
        <w:gridCol w:w="720"/>
        <w:gridCol w:w="2160"/>
        <w:gridCol w:w="1275"/>
      </w:tblGrid>
      <w:tr w14:paraId="3570C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826" w:type="dxa"/>
            <w:vMerge w:val="restart"/>
            <w:tcBorders>
              <w:top w:val="single" w:color="auto" w:sz="4" w:space="0"/>
              <w:left w:val="single" w:color="auto" w:sz="4" w:space="0"/>
              <w:right w:val="single" w:color="auto" w:sz="4" w:space="0"/>
            </w:tcBorders>
            <w:noWrap w:val="0"/>
            <w:vAlign w:val="center"/>
          </w:tcPr>
          <w:p w14:paraId="0D5DA7C1">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序号</w:t>
            </w:r>
          </w:p>
        </w:tc>
        <w:tc>
          <w:tcPr>
            <w:tcW w:w="1383" w:type="dxa"/>
            <w:vMerge w:val="restart"/>
            <w:tcBorders>
              <w:top w:val="single" w:color="auto" w:sz="4" w:space="0"/>
              <w:left w:val="single" w:color="auto" w:sz="4" w:space="0"/>
              <w:right w:val="single" w:color="auto" w:sz="4" w:space="0"/>
            </w:tcBorders>
            <w:noWrap w:val="0"/>
            <w:vAlign w:val="center"/>
          </w:tcPr>
          <w:p w14:paraId="10567DF5">
            <w:pPr>
              <w:spacing w:line="300" w:lineRule="exact"/>
              <w:ind w:firstLine="0" w:firstLineChars="0"/>
              <w:jc w:val="center"/>
              <w:rPr>
                <w:rFonts w:hint="eastAsia" w:ascii="Times New Roman" w:hAnsi="Times New Roman" w:eastAsia="宋体" w:cs="Times New Roman"/>
                <w:color w:val="auto"/>
                <w:sz w:val="21"/>
                <w:szCs w:val="21"/>
              </w:rPr>
            </w:pPr>
            <w:r>
              <w:rPr>
                <w:rFonts w:ascii="Times New Roman" w:hAnsi="Times New Roman" w:eastAsia="宋体" w:cs="Times New Roman"/>
                <w:color w:val="auto"/>
                <w:sz w:val="21"/>
                <w:szCs w:val="21"/>
              </w:rPr>
              <w:t>作业活动</w:t>
            </w:r>
          </w:p>
        </w:tc>
        <w:tc>
          <w:tcPr>
            <w:tcW w:w="2880" w:type="dxa"/>
            <w:gridSpan w:val="4"/>
            <w:tcBorders>
              <w:top w:val="single" w:color="auto" w:sz="4" w:space="0"/>
              <w:left w:val="single" w:color="auto" w:sz="4" w:space="0"/>
              <w:bottom w:val="single" w:color="auto" w:sz="4" w:space="0"/>
              <w:right w:val="single" w:color="auto" w:sz="4" w:space="0"/>
            </w:tcBorders>
            <w:noWrap w:val="0"/>
            <w:vAlign w:val="center"/>
          </w:tcPr>
          <w:p w14:paraId="7F472DD5">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风险值D=L·E·C</w:t>
            </w:r>
          </w:p>
        </w:tc>
        <w:tc>
          <w:tcPr>
            <w:tcW w:w="2160" w:type="dxa"/>
            <w:vMerge w:val="restart"/>
            <w:tcBorders>
              <w:top w:val="single" w:color="auto" w:sz="4" w:space="0"/>
              <w:left w:val="single" w:color="auto" w:sz="4" w:space="0"/>
              <w:right w:val="single" w:color="auto" w:sz="4" w:space="0"/>
            </w:tcBorders>
            <w:noWrap w:val="0"/>
            <w:vAlign w:val="center"/>
          </w:tcPr>
          <w:p w14:paraId="0A5CAAAD">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危险性程度</w:t>
            </w:r>
          </w:p>
        </w:tc>
        <w:tc>
          <w:tcPr>
            <w:tcW w:w="1275" w:type="dxa"/>
            <w:vMerge w:val="restart"/>
            <w:tcBorders>
              <w:top w:val="single" w:color="auto" w:sz="4" w:space="0"/>
              <w:left w:val="single" w:color="auto" w:sz="4" w:space="0"/>
              <w:right w:val="single" w:color="auto" w:sz="4" w:space="0"/>
            </w:tcBorders>
            <w:noWrap w:val="0"/>
            <w:vAlign w:val="center"/>
          </w:tcPr>
          <w:p w14:paraId="74B7E5BA">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影响范围</w:t>
            </w:r>
          </w:p>
        </w:tc>
      </w:tr>
      <w:tr w14:paraId="0EC6C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826" w:type="dxa"/>
            <w:vMerge w:val="continue"/>
            <w:tcBorders>
              <w:left w:val="single" w:color="auto" w:sz="4" w:space="0"/>
              <w:bottom w:val="single" w:color="auto" w:sz="4" w:space="0"/>
              <w:right w:val="single" w:color="auto" w:sz="4" w:space="0"/>
            </w:tcBorders>
            <w:noWrap w:val="0"/>
            <w:vAlign w:val="center"/>
          </w:tcPr>
          <w:p w14:paraId="413AA8E5">
            <w:pPr>
              <w:spacing w:line="300" w:lineRule="exact"/>
              <w:ind w:firstLine="0" w:firstLineChars="0"/>
              <w:jc w:val="center"/>
              <w:rPr>
                <w:rFonts w:ascii="Times New Roman" w:hAnsi="Times New Roman" w:eastAsia="宋体" w:cs="Times New Roman"/>
                <w:color w:val="auto"/>
                <w:sz w:val="21"/>
                <w:szCs w:val="21"/>
              </w:rPr>
            </w:pPr>
          </w:p>
        </w:tc>
        <w:tc>
          <w:tcPr>
            <w:tcW w:w="1383" w:type="dxa"/>
            <w:vMerge w:val="continue"/>
            <w:tcBorders>
              <w:left w:val="single" w:color="auto" w:sz="4" w:space="0"/>
              <w:bottom w:val="single" w:color="auto" w:sz="4" w:space="0"/>
              <w:right w:val="single" w:color="auto" w:sz="4" w:space="0"/>
            </w:tcBorders>
            <w:noWrap w:val="0"/>
            <w:vAlign w:val="center"/>
          </w:tcPr>
          <w:p w14:paraId="34186C5F">
            <w:pPr>
              <w:spacing w:line="300" w:lineRule="exact"/>
              <w:ind w:firstLine="0" w:firstLineChars="0"/>
              <w:jc w:val="center"/>
              <w:rPr>
                <w:rFonts w:ascii="Times New Roman" w:hAnsi="Times New Roman" w:eastAsia="宋体" w:cs="Times New Roman"/>
                <w:color w:val="auto"/>
                <w:sz w:val="21"/>
                <w:szCs w:val="21"/>
              </w:rPr>
            </w:pPr>
          </w:p>
        </w:tc>
        <w:tc>
          <w:tcPr>
            <w:tcW w:w="720" w:type="dxa"/>
            <w:tcBorders>
              <w:top w:val="single" w:color="auto" w:sz="4" w:space="0"/>
              <w:left w:val="single" w:color="auto" w:sz="4" w:space="0"/>
              <w:bottom w:val="single" w:color="auto" w:sz="4" w:space="0"/>
              <w:right w:val="single" w:color="auto" w:sz="4" w:space="0"/>
            </w:tcBorders>
            <w:noWrap w:val="0"/>
            <w:vAlign w:val="center"/>
          </w:tcPr>
          <w:p w14:paraId="007C25A4">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L</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41DF6CC4">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E</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31F15B73">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C</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54052814">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D</w:t>
            </w:r>
          </w:p>
        </w:tc>
        <w:tc>
          <w:tcPr>
            <w:tcW w:w="2160" w:type="dxa"/>
            <w:vMerge w:val="continue"/>
            <w:tcBorders>
              <w:left w:val="single" w:color="auto" w:sz="4" w:space="0"/>
              <w:bottom w:val="single" w:color="auto" w:sz="4" w:space="0"/>
              <w:right w:val="single" w:color="auto" w:sz="4" w:space="0"/>
            </w:tcBorders>
            <w:noWrap w:val="0"/>
            <w:vAlign w:val="center"/>
          </w:tcPr>
          <w:p w14:paraId="554F23DC">
            <w:pPr>
              <w:spacing w:line="300" w:lineRule="exact"/>
              <w:ind w:firstLine="0" w:firstLineChars="0"/>
              <w:jc w:val="center"/>
              <w:rPr>
                <w:rFonts w:ascii="Times New Roman" w:hAnsi="Times New Roman" w:eastAsia="宋体" w:cs="Times New Roman"/>
                <w:color w:val="auto"/>
                <w:sz w:val="21"/>
                <w:szCs w:val="21"/>
              </w:rPr>
            </w:pPr>
          </w:p>
        </w:tc>
        <w:tc>
          <w:tcPr>
            <w:tcW w:w="1275" w:type="dxa"/>
            <w:vMerge w:val="continue"/>
            <w:tcBorders>
              <w:left w:val="single" w:color="auto" w:sz="4" w:space="0"/>
              <w:bottom w:val="single" w:color="auto" w:sz="4" w:space="0"/>
              <w:right w:val="single" w:color="auto" w:sz="4" w:space="0"/>
            </w:tcBorders>
            <w:noWrap w:val="0"/>
            <w:vAlign w:val="center"/>
          </w:tcPr>
          <w:p w14:paraId="29E98BDA">
            <w:pPr>
              <w:spacing w:line="300" w:lineRule="exact"/>
              <w:ind w:firstLine="0" w:firstLineChars="0"/>
              <w:jc w:val="center"/>
              <w:rPr>
                <w:rFonts w:ascii="Times New Roman" w:hAnsi="Times New Roman" w:eastAsia="宋体" w:cs="Times New Roman"/>
                <w:color w:val="auto"/>
                <w:sz w:val="21"/>
                <w:szCs w:val="21"/>
              </w:rPr>
            </w:pPr>
          </w:p>
        </w:tc>
      </w:tr>
      <w:tr w14:paraId="4013A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82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5707A18">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B16812">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高处坠落</w:t>
            </w:r>
          </w:p>
        </w:tc>
        <w:tc>
          <w:tcPr>
            <w:tcW w:w="7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67D140D">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7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B1699DA">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w:t>
            </w:r>
          </w:p>
        </w:tc>
        <w:tc>
          <w:tcPr>
            <w:tcW w:w="7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441CA0F">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7</w:t>
            </w:r>
          </w:p>
        </w:tc>
        <w:tc>
          <w:tcPr>
            <w:tcW w:w="7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338C824">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42</w:t>
            </w:r>
          </w:p>
        </w:tc>
        <w:tc>
          <w:tcPr>
            <w:tcW w:w="216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3D002BCF">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四级</w:t>
            </w:r>
          </w:p>
        </w:tc>
        <w:tc>
          <w:tcPr>
            <w:tcW w:w="1275" w:type="dxa"/>
            <w:tcBorders>
              <w:top w:val="single" w:color="auto" w:sz="4" w:space="0"/>
              <w:left w:val="single" w:color="auto" w:sz="4" w:space="0"/>
              <w:bottom w:val="single" w:color="auto" w:sz="4" w:space="0"/>
              <w:right w:val="single" w:color="auto" w:sz="4" w:space="0"/>
            </w:tcBorders>
            <w:noWrap w:val="0"/>
            <w:vAlign w:val="center"/>
          </w:tcPr>
          <w:p w14:paraId="520846A8">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个别员工</w:t>
            </w:r>
          </w:p>
        </w:tc>
      </w:tr>
    </w:tbl>
    <w:p w14:paraId="3222B309">
      <w:pPr>
        <w:bidi w:val="0"/>
        <w:rPr>
          <w:rFonts w:hint="default"/>
          <w:color w:val="auto"/>
          <w:lang w:val="en-US" w:eastAsia="zh-CN"/>
        </w:rPr>
      </w:pPr>
      <w:r>
        <w:rPr>
          <w:rFonts w:hint="default"/>
          <w:color w:val="auto"/>
          <w:lang w:val="en-US" w:eastAsia="zh-CN"/>
        </w:rPr>
        <w:t>（2）渗漏</w:t>
      </w:r>
    </w:p>
    <w:p w14:paraId="134A82F3">
      <w:pPr>
        <w:bidi w:val="0"/>
        <w:rPr>
          <w:rFonts w:hint="default"/>
          <w:color w:val="auto"/>
          <w:lang w:val="en-US" w:eastAsia="zh-CN"/>
        </w:rPr>
      </w:pPr>
      <w:r>
        <w:rPr>
          <w:rFonts w:hint="default"/>
          <w:color w:val="auto"/>
          <w:lang w:val="en-US" w:eastAsia="zh-CN"/>
        </w:rPr>
        <w:t>事故或危险事件发生可能性分值L，取0.5；</w:t>
      </w:r>
    </w:p>
    <w:p w14:paraId="6CC533AF">
      <w:pPr>
        <w:bidi w:val="0"/>
        <w:rPr>
          <w:rFonts w:hint="default"/>
          <w:color w:val="auto"/>
          <w:lang w:val="en-US" w:eastAsia="zh-CN"/>
        </w:rPr>
      </w:pPr>
      <w:r>
        <w:rPr>
          <w:rFonts w:hint="default"/>
          <w:color w:val="auto"/>
          <w:lang w:val="en-US" w:eastAsia="zh-CN"/>
        </w:rPr>
        <w:t>暴露于危险环境的频率分值E，取6；</w:t>
      </w:r>
    </w:p>
    <w:p w14:paraId="6FB22658">
      <w:pPr>
        <w:bidi w:val="0"/>
        <w:rPr>
          <w:rFonts w:hint="default"/>
          <w:color w:val="auto"/>
          <w:lang w:val="en-US" w:eastAsia="zh-CN"/>
        </w:rPr>
      </w:pPr>
      <w:r>
        <w:rPr>
          <w:rFonts w:hint="default"/>
          <w:color w:val="auto"/>
          <w:lang w:val="en-US" w:eastAsia="zh-CN"/>
        </w:rPr>
        <w:t>发生事故或危险事件可能结果分值C，取3。</w:t>
      </w:r>
    </w:p>
    <w:p w14:paraId="12D53DDC">
      <w:pPr>
        <w:bidi w:val="0"/>
        <w:rPr>
          <w:rFonts w:hint="default"/>
          <w:color w:val="auto"/>
          <w:lang w:val="en-US" w:eastAsia="zh-CN"/>
        </w:rPr>
      </w:pPr>
      <w:r>
        <w:rPr>
          <w:rFonts w:hint="default"/>
          <w:color w:val="auto"/>
          <w:lang w:val="en-US" w:eastAsia="zh-CN"/>
        </w:rPr>
        <w:t>作业条件的危险性D=0.5×6×3=21，属于可忽略危险，保存记录。</w:t>
      </w:r>
    </w:p>
    <w:tbl>
      <w:tblPr>
        <w:tblStyle w:val="19"/>
        <w:tblpPr w:leftFromText="180" w:rightFromText="180" w:vertAnchor="text" w:horzAnchor="margin" w:tblpXSpec="center" w:tblpY="313"/>
        <w:tblW w:w="88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6"/>
        <w:gridCol w:w="1743"/>
        <w:gridCol w:w="720"/>
        <w:gridCol w:w="720"/>
        <w:gridCol w:w="720"/>
        <w:gridCol w:w="720"/>
        <w:gridCol w:w="1980"/>
        <w:gridCol w:w="1379"/>
      </w:tblGrid>
      <w:tr w14:paraId="719D3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826" w:type="dxa"/>
            <w:vMerge w:val="restart"/>
            <w:tcBorders>
              <w:top w:val="single" w:color="auto" w:sz="4" w:space="0"/>
              <w:left w:val="single" w:color="auto" w:sz="4" w:space="0"/>
              <w:right w:val="single" w:color="auto" w:sz="4" w:space="0"/>
            </w:tcBorders>
            <w:noWrap w:val="0"/>
            <w:vAlign w:val="center"/>
          </w:tcPr>
          <w:p w14:paraId="08E4B321">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序号</w:t>
            </w:r>
          </w:p>
        </w:tc>
        <w:tc>
          <w:tcPr>
            <w:tcW w:w="1743" w:type="dxa"/>
            <w:vMerge w:val="restart"/>
            <w:tcBorders>
              <w:top w:val="single" w:color="auto" w:sz="4" w:space="0"/>
              <w:left w:val="single" w:color="auto" w:sz="4" w:space="0"/>
              <w:right w:val="single" w:color="auto" w:sz="4" w:space="0"/>
            </w:tcBorders>
            <w:noWrap w:val="0"/>
            <w:vAlign w:val="center"/>
          </w:tcPr>
          <w:p w14:paraId="1C411972">
            <w:pPr>
              <w:spacing w:line="300" w:lineRule="exact"/>
              <w:ind w:firstLine="0" w:firstLineChars="0"/>
              <w:jc w:val="center"/>
              <w:rPr>
                <w:rFonts w:hint="eastAsia" w:ascii="Times New Roman" w:hAnsi="Times New Roman" w:eastAsia="宋体" w:cs="Times New Roman"/>
                <w:color w:val="auto"/>
                <w:sz w:val="21"/>
                <w:szCs w:val="21"/>
              </w:rPr>
            </w:pPr>
            <w:r>
              <w:rPr>
                <w:rFonts w:ascii="Times New Roman" w:hAnsi="Times New Roman" w:eastAsia="宋体" w:cs="Times New Roman"/>
                <w:color w:val="auto"/>
                <w:sz w:val="21"/>
                <w:szCs w:val="21"/>
              </w:rPr>
              <w:t>场所</w:t>
            </w:r>
            <w:r>
              <w:rPr>
                <w:rFonts w:hint="eastAsia" w:ascii="Times New Roman" w:hAnsi="Times New Roman" w:eastAsia="宋体" w:cs="Times New Roman"/>
                <w:color w:val="auto"/>
                <w:sz w:val="21"/>
                <w:szCs w:val="21"/>
              </w:rPr>
              <w:t>（设备设施）</w:t>
            </w:r>
          </w:p>
        </w:tc>
        <w:tc>
          <w:tcPr>
            <w:tcW w:w="2880" w:type="dxa"/>
            <w:gridSpan w:val="4"/>
            <w:tcBorders>
              <w:top w:val="single" w:color="auto" w:sz="4" w:space="0"/>
              <w:left w:val="single" w:color="auto" w:sz="4" w:space="0"/>
              <w:bottom w:val="single" w:color="auto" w:sz="4" w:space="0"/>
              <w:right w:val="single" w:color="auto" w:sz="4" w:space="0"/>
            </w:tcBorders>
            <w:noWrap w:val="0"/>
            <w:vAlign w:val="center"/>
          </w:tcPr>
          <w:p w14:paraId="1C586971">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风险值D=L·E·C</w:t>
            </w:r>
          </w:p>
        </w:tc>
        <w:tc>
          <w:tcPr>
            <w:tcW w:w="1980" w:type="dxa"/>
            <w:vMerge w:val="restart"/>
            <w:tcBorders>
              <w:top w:val="single" w:color="auto" w:sz="4" w:space="0"/>
              <w:left w:val="single" w:color="auto" w:sz="4" w:space="0"/>
              <w:right w:val="single" w:color="auto" w:sz="4" w:space="0"/>
            </w:tcBorders>
            <w:noWrap w:val="0"/>
            <w:vAlign w:val="center"/>
          </w:tcPr>
          <w:p w14:paraId="4CF991B3">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危险性程度</w:t>
            </w:r>
          </w:p>
        </w:tc>
        <w:tc>
          <w:tcPr>
            <w:tcW w:w="1379" w:type="dxa"/>
            <w:vMerge w:val="restart"/>
            <w:tcBorders>
              <w:top w:val="single" w:color="auto" w:sz="4" w:space="0"/>
              <w:left w:val="single" w:color="auto" w:sz="4" w:space="0"/>
              <w:right w:val="single" w:color="auto" w:sz="4" w:space="0"/>
            </w:tcBorders>
            <w:noWrap w:val="0"/>
            <w:vAlign w:val="center"/>
          </w:tcPr>
          <w:p w14:paraId="161FAEC1">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影响范围</w:t>
            </w:r>
          </w:p>
        </w:tc>
      </w:tr>
      <w:tr w14:paraId="5116E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826" w:type="dxa"/>
            <w:vMerge w:val="continue"/>
            <w:tcBorders>
              <w:left w:val="single" w:color="auto" w:sz="4" w:space="0"/>
              <w:bottom w:val="single" w:color="auto" w:sz="4" w:space="0"/>
              <w:right w:val="single" w:color="auto" w:sz="4" w:space="0"/>
            </w:tcBorders>
            <w:noWrap w:val="0"/>
            <w:vAlign w:val="center"/>
          </w:tcPr>
          <w:p w14:paraId="3DDBBF96">
            <w:pPr>
              <w:spacing w:line="300" w:lineRule="exact"/>
              <w:ind w:firstLine="0" w:firstLineChars="0"/>
              <w:jc w:val="center"/>
              <w:rPr>
                <w:rFonts w:ascii="Times New Roman" w:hAnsi="Times New Roman" w:eastAsia="宋体" w:cs="Times New Roman"/>
                <w:color w:val="auto"/>
                <w:sz w:val="21"/>
                <w:szCs w:val="21"/>
              </w:rPr>
            </w:pPr>
          </w:p>
        </w:tc>
        <w:tc>
          <w:tcPr>
            <w:tcW w:w="1743" w:type="dxa"/>
            <w:vMerge w:val="continue"/>
            <w:tcBorders>
              <w:left w:val="single" w:color="auto" w:sz="4" w:space="0"/>
              <w:bottom w:val="single" w:color="auto" w:sz="4" w:space="0"/>
              <w:right w:val="single" w:color="auto" w:sz="4" w:space="0"/>
            </w:tcBorders>
            <w:noWrap w:val="0"/>
            <w:vAlign w:val="center"/>
          </w:tcPr>
          <w:p w14:paraId="2F958384">
            <w:pPr>
              <w:spacing w:line="300" w:lineRule="exact"/>
              <w:ind w:firstLine="0" w:firstLineChars="0"/>
              <w:jc w:val="center"/>
              <w:rPr>
                <w:rFonts w:ascii="Times New Roman" w:hAnsi="Times New Roman" w:eastAsia="宋体" w:cs="Times New Roman"/>
                <w:color w:val="auto"/>
                <w:sz w:val="21"/>
                <w:szCs w:val="21"/>
              </w:rPr>
            </w:pPr>
          </w:p>
        </w:tc>
        <w:tc>
          <w:tcPr>
            <w:tcW w:w="720" w:type="dxa"/>
            <w:tcBorders>
              <w:top w:val="single" w:color="auto" w:sz="4" w:space="0"/>
              <w:left w:val="single" w:color="auto" w:sz="4" w:space="0"/>
              <w:bottom w:val="single" w:color="auto" w:sz="4" w:space="0"/>
              <w:right w:val="single" w:color="auto" w:sz="4" w:space="0"/>
            </w:tcBorders>
            <w:noWrap w:val="0"/>
            <w:vAlign w:val="center"/>
          </w:tcPr>
          <w:p w14:paraId="162D65E2">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L</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37E741A6">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E</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4D550D2D">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C</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027B80D2">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D</w:t>
            </w:r>
          </w:p>
        </w:tc>
        <w:tc>
          <w:tcPr>
            <w:tcW w:w="1980" w:type="dxa"/>
            <w:vMerge w:val="continue"/>
            <w:tcBorders>
              <w:left w:val="single" w:color="auto" w:sz="4" w:space="0"/>
              <w:bottom w:val="single" w:color="auto" w:sz="4" w:space="0"/>
              <w:right w:val="single" w:color="auto" w:sz="4" w:space="0"/>
            </w:tcBorders>
            <w:noWrap w:val="0"/>
            <w:vAlign w:val="center"/>
          </w:tcPr>
          <w:p w14:paraId="57E79B42">
            <w:pPr>
              <w:spacing w:line="300" w:lineRule="exact"/>
              <w:ind w:firstLine="0" w:firstLineChars="0"/>
              <w:jc w:val="center"/>
              <w:rPr>
                <w:rFonts w:ascii="Times New Roman" w:hAnsi="Times New Roman" w:eastAsia="宋体" w:cs="Times New Roman"/>
                <w:color w:val="auto"/>
                <w:sz w:val="21"/>
                <w:szCs w:val="21"/>
              </w:rPr>
            </w:pPr>
          </w:p>
        </w:tc>
        <w:tc>
          <w:tcPr>
            <w:tcW w:w="1379" w:type="dxa"/>
            <w:vMerge w:val="continue"/>
            <w:tcBorders>
              <w:left w:val="single" w:color="auto" w:sz="4" w:space="0"/>
              <w:bottom w:val="single" w:color="auto" w:sz="4" w:space="0"/>
              <w:right w:val="single" w:color="auto" w:sz="4" w:space="0"/>
            </w:tcBorders>
            <w:noWrap w:val="0"/>
            <w:vAlign w:val="center"/>
          </w:tcPr>
          <w:p w14:paraId="06DFF02C">
            <w:pPr>
              <w:spacing w:line="300" w:lineRule="exact"/>
              <w:ind w:firstLine="0" w:firstLineChars="0"/>
              <w:jc w:val="center"/>
              <w:rPr>
                <w:rFonts w:ascii="Times New Roman" w:hAnsi="Times New Roman" w:eastAsia="宋体" w:cs="Times New Roman"/>
                <w:color w:val="auto"/>
                <w:sz w:val="21"/>
                <w:szCs w:val="21"/>
              </w:rPr>
            </w:pPr>
          </w:p>
        </w:tc>
      </w:tr>
      <w:tr w14:paraId="4289D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2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D4B81AD">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174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428A6A">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坝体渗漏</w:t>
            </w:r>
          </w:p>
        </w:tc>
        <w:tc>
          <w:tcPr>
            <w:tcW w:w="7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F27DAA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0.5</w:t>
            </w:r>
          </w:p>
        </w:tc>
        <w:tc>
          <w:tcPr>
            <w:tcW w:w="7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818DBC0">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w:t>
            </w:r>
          </w:p>
        </w:tc>
        <w:tc>
          <w:tcPr>
            <w:tcW w:w="7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98E79B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7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2285EB7">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9</w:t>
            </w:r>
          </w:p>
        </w:tc>
        <w:tc>
          <w:tcPr>
            <w:tcW w:w="198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03940785">
            <w:pPr>
              <w:spacing w:line="300" w:lineRule="exact"/>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五</w:t>
            </w:r>
            <w:r>
              <w:rPr>
                <w:rFonts w:ascii="Times New Roman" w:hAnsi="Times New Roman" w:eastAsia="宋体" w:cs="Times New Roman"/>
                <w:color w:val="auto"/>
                <w:sz w:val="21"/>
                <w:szCs w:val="21"/>
              </w:rPr>
              <w:t>级</w:t>
            </w:r>
          </w:p>
        </w:tc>
        <w:tc>
          <w:tcPr>
            <w:tcW w:w="1379" w:type="dxa"/>
            <w:tcBorders>
              <w:top w:val="single" w:color="auto" w:sz="4" w:space="0"/>
              <w:left w:val="single" w:color="auto" w:sz="4" w:space="0"/>
              <w:bottom w:val="single" w:color="auto" w:sz="4" w:space="0"/>
              <w:right w:val="single" w:color="auto" w:sz="4" w:space="0"/>
            </w:tcBorders>
            <w:noWrap w:val="0"/>
            <w:vAlign w:val="center"/>
          </w:tcPr>
          <w:p w14:paraId="5524E39B">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尾矿坝</w:t>
            </w:r>
          </w:p>
        </w:tc>
      </w:tr>
    </w:tbl>
    <w:p w14:paraId="5827D6F3">
      <w:pPr>
        <w:bidi w:val="0"/>
        <w:rPr>
          <w:rFonts w:hint="default"/>
          <w:color w:val="auto"/>
          <w:lang w:val="en-US" w:eastAsia="zh-CN"/>
        </w:rPr>
      </w:pPr>
      <w:r>
        <w:rPr>
          <w:rFonts w:hint="default"/>
          <w:color w:val="auto"/>
          <w:lang w:val="en-US" w:eastAsia="zh-CN"/>
        </w:rPr>
        <w:t>（3）裂缝</w:t>
      </w:r>
    </w:p>
    <w:p w14:paraId="72CDDE79">
      <w:pPr>
        <w:bidi w:val="0"/>
        <w:rPr>
          <w:rFonts w:hint="default"/>
          <w:color w:val="auto"/>
          <w:lang w:val="en-US" w:eastAsia="zh-CN"/>
        </w:rPr>
      </w:pPr>
      <w:r>
        <w:rPr>
          <w:rFonts w:hint="default"/>
          <w:color w:val="auto"/>
          <w:lang w:val="en-US" w:eastAsia="zh-CN"/>
        </w:rPr>
        <w:t>事故或危险事件发生可能性分值L，取3；</w:t>
      </w:r>
    </w:p>
    <w:p w14:paraId="59BDC2D0">
      <w:pPr>
        <w:bidi w:val="0"/>
        <w:rPr>
          <w:rFonts w:hint="default"/>
          <w:color w:val="auto"/>
          <w:lang w:val="en-US" w:eastAsia="zh-CN"/>
        </w:rPr>
      </w:pPr>
      <w:r>
        <w:rPr>
          <w:rFonts w:hint="default"/>
          <w:color w:val="auto"/>
          <w:lang w:val="en-US" w:eastAsia="zh-CN"/>
        </w:rPr>
        <w:t>暴露于危险环境的频率分值E，取6；</w:t>
      </w:r>
    </w:p>
    <w:p w14:paraId="2D3F70E6">
      <w:pPr>
        <w:bidi w:val="0"/>
        <w:rPr>
          <w:rFonts w:hint="default"/>
          <w:color w:val="auto"/>
          <w:lang w:val="en-US" w:eastAsia="zh-CN"/>
        </w:rPr>
      </w:pPr>
      <w:r>
        <w:rPr>
          <w:rFonts w:hint="default"/>
          <w:color w:val="auto"/>
          <w:lang w:val="en-US" w:eastAsia="zh-CN"/>
        </w:rPr>
        <w:t>发生事故或危险事件可能结果分值C，取3。</w:t>
      </w:r>
    </w:p>
    <w:p w14:paraId="2BAEDB5B">
      <w:pPr>
        <w:bidi w:val="0"/>
        <w:rPr>
          <w:rFonts w:hint="default"/>
          <w:color w:val="auto"/>
          <w:lang w:val="en-US" w:eastAsia="zh-CN"/>
        </w:rPr>
      </w:pPr>
      <w:r>
        <w:rPr>
          <w:rFonts w:hint="default"/>
          <w:color w:val="auto"/>
          <w:lang w:val="en-US" w:eastAsia="zh-CN"/>
        </w:rPr>
        <w:t>作业条件的危险性D=3×6×3=54，属于轻度危险，需要定期检查。</w:t>
      </w:r>
    </w:p>
    <w:tbl>
      <w:tblPr>
        <w:tblStyle w:val="19"/>
        <w:tblW w:w="85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6"/>
        <w:gridCol w:w="1743"/>
        <w:gridCol w:w="720"/>
        <w:gridCol w:w="720"/>
        <w:gridCol w:w="720"/>
        <w:gridCol w:w="720"/>
        <w:gridCol w:w="1800"/>
        <w:gridCol w:w="1275"/>
      </w:tblGrid>
      <w:tr w14:paraId="46DF7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826" w:type="dxa"/>
            <w:vMerge w:val="restart"/>
            <w:tcBorders>
              <w:top w:val="single" w:color="auto" w:sz="4" w:space="0"/>
              <w:left w:val="single" w:color="auto" w:sz="4" w:space="0"/>
              <w:right w:val="single" w:color="auto" w:sz="4" w:space="0"/>
            </w:tcBorders>
            <w:noWrap w:val="0"/>
            <w:vAlign w:val="center"/>
          </w:tcPr>
          <w:p w14:paraId="229A68AA">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序号</w:t>
            </w:r>
          </w:p>
        </w:tc>
        <w:tc>
          <w:tcPr>
            <w:tcW w:w="1743" w:type="dxa"/>
            <w:vMerge w:val="restart"/>
            <w:tcBorders>
              <w:top w:val="single" w:color="auto" w:sz="4" w:space="0"/>
              <w:left w:val="single" w:color="auto" w:sz="4" w:space="0"/>
              <w:right w:val="single" w:color="auto" w:sz="4" w:space="0"/>
            </w:tcBorders>
            <w:noWrap w:val="0"/>
            <w:vAlign w:val="center"/>
          </w:tcPr>
          <w:p w14:paraId="767CD55D">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场所</w:t>
            </w:r>
            <w:r>
              <w:rPr>
                <w:rFonts w:hint="eastAsia" w:ascii="Times New Roman" w:hAnsi="Times New Roman" w:eastAsia="宋体" w:cs="Times New Roman"/>
                <w:color w:val="auto"/>
                <w:sz w:val="21"/>
                <w:szCs w:val="21"/>
              </w:rPr>
              <w:t>（设备设施）</w:t>
            </w:r>
          </w:p>
        </w:tc>
        <w:tc>
          <w:tcPr>
            <w:tcW w:w="2880" w:type="dxa"/>
            <w:gridSpan w:val="4"/>
            <w:tcBorders>
              <w:top w:val="single" w:color="auto" w:sz="4" w:space="0"/>
              <w:left w:val="single" w:color="auto" w:sz="4" w:space="0"/>
              <w:bottom w:val="single" w:color="auto" w:sz="4" w:space="0"/>
              <w:right w:val="single" w:color="auto" w:sz="4" w:space="0"/>
            </w:tcBorders>
            <w:noWrap w:val="0"/>
            <w:vAlign w:val="center"/>
          </w:tcPr>
          <w:p w14:paraId="55AA1E08">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风险值D=L·E·C</w:t>
            </w:r>
          </w:p>
        </w:tc>
        <w:tc>
          <w:tcPr>
            <w:tcW w:w="1800" w:type="dxa"/>
            <w:vMerge w:val="restart"/>
            <w:tcBorders>
              <w:top w:val="single" w:color="auto" w:sz="4" w:space="0"/>
              <w:left w:val="single" w:color="auto" w:sz="4" w:space="0"/>
              <w:right w:val="single" w:color="auto" w:sz="4" w:space="0"/>
            </w:tcBorders>
            <w:noWrap w:val="0"/>
            <w:vAlign w:val="center"/>
          </w:tcPr>
          <w:p w14:paraId="76F26CA3">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危险性程度</w:t>
            </w:r>
          </w:p>
        </w:tc>
        <w:tc>
          <w:tcPr>
            <w:tcW w:w="1275" w:type="dxa"/>
            <w:vMerge w:val="restart"/>
            <w:tcBorders>
              <w:top w:val="single" w:color="auto" w:sz="4" w:space="0"/>
              <w:left w:val="single" w:color="auto" w:sz="4" w:space="0"/>
              <w:right w:val="single" w:color="auto" w:sz="4" w:space="0"/>
            </w:tcBorders>
            <w:noWrap w:val="0"/>
            <w:vAlign w:val="center"/>
          </w:tcPr>
          <w:p w14:paraId="3AACFF0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影响范围</w:t>
            </w:r>
          </w:p>
        </w:tc>
      </w:tr>
      <w:tr w14:paraId="32F29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826" w:type="dxa"/>
            <w:vMerge w:val="continue"/>
            <w:tcBorders>
              <w:left w:val="single" w:color="auto" w:sz="4" w:space="0"/>
              <w:bottom w:val="single" w:color="auto" w:sz="4" w:space="0"/>
              <w:right w:val="single" w:color="auto" w:sz="4" w:space="0"/>
            </w:tcBorders>
            <w:noWrap w:val="0"/>
            <w:vAlign w:val="center"/>
          </w:tcPr>
          <w:p w14:paraId="616C05E0">
            <w:pPr>
              <w:spacing w:line="300" w:lineRule="exact"/>
              <w:ind w:firstLine="0" w:firstLineChars="0"/>
              <w:jc w:val="center"/>
              <w:rPr>
                <w:rFonts w:ascii="Times New Roman" w:hAnsi="Times New Roman" w:eastAsia="宋体" w:cs="Times New Roman"/>
                <w:color w:val="auto"/>
                <w:sz w:val="21"/>
                <w:szCs w:val="21"/>
              </w:rPr>
            </w:pPr>
          </w:p>
        </w:tc>
        <w:tc>
          <w:tcPr>
            <w:tcW w:w="1743" w:type="dxa"/>
            <w:vMerge w:val="continue"/>
            <w:tcBorders>
              <w:left w:val="single" w:color="auto" w:sz="4" w:space="0"/>
              <w:bottom w:val="single" w:color="auto" w:sz="4" w:space="0"/>
              <w:right w:val="single" w:color="auto" w:sz="4" w:space="0"/>
            </w:tcBorders>
            <w:noWrap w:val="0"/>
            <w:vAlign w:val="center"/>
          </w:tcPr>
          <w:p w14:paraId="623668D6">
            <w:pPr>
              <w:spacing w:line="300" w:lineRule="exact"/>
              <w:ind w:firstLine="0" w:firstLineChars="0"/>
              <w:jc w:val="center"/>
              <w:rPr>
                <w:rFonts w:ascii="Times New Roman" w:hAnsi="Times New Roman" w:eastAsia="宋体" w:cs="Times New Roman"/>
                <w:color w:val="auto"/>
                <w:sz w:val="21"/>
                <w:szCs w:val="21"/>
              </w:rPr>
            </w:pPr>
          </w:p>
        </w:tc>
        <w:tc>
          <w:tcPr>
            <w:tcW w:w="720" w:type="dxa"/>
            <w:tcBorders>
              <w:top w:val="single" w:color="auto" w:sz="4" w:space="0"/>
              <w:left w:val="single" w:color="auto" w:sz="4" w:space="0"/>
              <w:bottom w:val="single" w:color="auto" w:sz="4" w:space="0"/>
              <w:right w:val="single" w:color="auto" w:sz="4" w:space="0"/>
            </w:tcBorders>
            <w:noWrap w:val="0"/>
            <w:vAlign w:val="center"/>
          </w:tcPr>
          <w:p w14:paraId="2553C216">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L</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3331CDA9">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E</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71B57FAD">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C</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33330623">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D</w:t>
            </w:r>
          </w:p>
        </w:tc>
        <w:tc>
          <w:tcPr>
            <w:tcW w:w="1800" w:type="dxa"/>
            <w:vMerge w:val="continue"/>
            <w:tcBorders>
              <w:left w:val="single" w:color="auto" w:sz="4" w:space="0"/>
              <w:bottom w:val="single" w:color="auto" w:sz="4" w:space="0"/>
              <w:right w:val="single" w:color="auto" w:sz="4" w:space="0"/>
            </w:tcBorders>
            <w:noWrap w:val="0"/>
            <w:vAlign w:val="center"/>
          </w:tcPr>
          <w:p w14:paraId="1D0B71AE">
            <w:pPr>
              <w:spacing w:line="300" w:lineRule="exact"/>
              <w:ind w:firstLine="0" w:firstLineChars="0"/>
              <w:jc w:val="center"/>
              <w:rPr>
                <w:rFonts w:ascii="Times New Roman" w:hAnsi="Times New Roman" w:eastAsia="宋体" w:cs="Times New Roman"/>
                <w:color w:val="auto"/>
                <w:sz w:val="21"/>
                <w:szCs w:val="21"/>
              </w:rPr>
            </w:pPr>
          </w:p>
        </w:tc>
        <w:tc>
          <w:tcPr>
            <w:tcW w:w="1275" w:type="dxa"/>
            <w:vMerge w:val="continue"/>
            <w:tcBorders>
              <w:left w:val="single" w:color="auto" w:sz="4" w:space="0"/>
              <w:bottom w:val="single" w:color="auto" w:sz="4" w:space="0"/>
              <w:right w:val="single" w:color="auto" w:sz="4" w:space="0"/>
            </w:tcBorders>
            <w:noWrap w:val="0"/>
            <w:vAlign w:val="center"/>
          </w:tcPr>
          <w:p w14:paraId="2CF913A2">
            <w:pPr>
              <w:spacing w:line="300" w:lineRule="exact"/>
              <w:ind w:firstLine="0" w:firstLineChars="0"/>
              <w:jc w:val="center"/>
              <w:rPr>
                <w:rFonts w:ascii="Times New Roman" w:hAnsi="Times New Roman" w:eastAsia="宋体" w:cs="Times New Roman"/>
                <w:color w:val="auto"/>
                <w:sz w:val="21"/>
                <w:szCs w:val="21"/>
              </w:rPr>
            </w:pPr>
          </w:p>
        </w:tc>
      </w:tr>
      <w:tr w14:paraId="52191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82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07039CD">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174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5E301A">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坝体裂缝</w:t>
            </w:r>
          </w:p>
        </w:tc>
        <w:tc>
          <w:tcPr>
            <w:tcW w:w="7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43AE35">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0.5</w:t>
            </w:r>
          </w:p>
        </w:tc>
        <w:tc>
          <w:tcPr>
            <w:tcW w:w="7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B24A6A0">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w:t>
            </w:r>
          </w:p>
        </w:tc>
        <w:tc>
          <w:tcPr>
            <w:tcW w:w="7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78D70C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7</w:t>
            </w:r>
          </w:p>
        </w:tc>
        <w:tc>
          <w:tcPr>
            <w:tcW w:w="7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5EDB82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21</w:t>
            </w:r>
          </w:p>
        </w:tc>
        <w:tc>
          <w:tcPr>
            <w:tcW w:w="180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4A075449">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四级</w:t>
            </w:r>
          </w:p>
        </w:tc>
        <w:tc>
          <w:tcPr>
            <w:tcW w:w="1275" w:type="dxa"/>
            <w:tcBorders>
              <w:top w:val="single" w:color="auto" w:sz="4" w:space="0"/>
              <w:left w:val="single" w:color="auto" w:sz="4" w:space="0"/>
              <w:bottom w:val="single" w:color="auto" w:sz="4" w:space="0"/>
              <w:right w:val="single" w:color="auto" w:sz="4" w:space="0"/>
            </w:tcBorders>
            <w:noWrap w:val="0"/>
            <w:vAlign w:val="center"/>
          </w:tcPr>
          <w:p w14:paraId="0769CCD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尾矿坝</w:t>
            </w:r>
          </w:p>
        </w:tc>
      </w:tr>
    </w:tbl>
    <w:p w14:paraId="6795EBA5">
      <w:pPr>
        <w:spacing w:line="600" w:lineRule="exact"/>
        <w:ind w:firstLine="560"/>
        <w:rPr>
          <w:rFonts w:hint="eastAsia" w:hAnsi="宋体"/>
          <w:color w:val="auto"/>
          <w:sz w:val="28"/>
          <w:szCs w:val="28"/>
        </w:rPr>
      </w:pPr>
      <w:r>
        <w:rPr>
          <w:rFonts w:hint="eastAsia" w:hAnsi="宋体"/>
          <w:color w:val="auto"/>
          <w:sz w:val="28"/>
          <w:szCs w:val="28"/>
        </w:rPr>
        <w:t>（4）坝坡失稳（滑坡）</w:t>
      </w:r>
    </w:p>
    <w:p w14:paraId="2C63A438">
      <w:pPr>
        <w:bidi w:val="0"/>
        <w:rPr>
          <w:rFonts w:hint="default"/>
          <w:color w:val="auto"/>
          <w:lang w:val="en-US" w:eastAsia="zh-CN"/>
        </w:rPr>
      </w:pPr>
      <w:r>
        <w:rPr>
          <w:rFonts w:hint="default"/>
          <w:color w:val="auto"/>
          <w:lang w:val="en-US" w:eastAsia="zh-CN"/>
        </w:rPr>
        <w:t>事故或危险事件发生可能性分值L，取3；</w:t>
      </w:r>
    </w:p>
    <w:p w14:paraId="58F8EB90">
      <w:pPr>
        <w:bidi w:val="0"/>
        <w:rPr>
          <w:rFonts w:hint="default"/>
          <w:color w:val="auto"/>
          <w:lang w:val="en-US" w:eastAsia="zh-CN"/>
        </w:rPr>
      </w:pPr>
      <w:r>
        <w:rPr>
          <w:rFonts w:hint="default"/>
          <w:color w:val="auto"/>
          <w:lang w:val="en-US" w:eastAsia="zh-CN"/>
        </w:rPr>
        <w:t>暴露于危险环境的频率分值E，取6；</w:t>
      </w:r>
    </w:p>
    <w:p w14:paraId="5C57953E">
      <w:pPr>
        <w:bidi w:val="0"/>
        <w:rPr>
          <w:rFonts w:hint="default"/>
          <w:color w:val="auto"/>
          <w:lang w:val="en-US" w:eastAsia="zh-CN"/>
        </w:rPr>
      </w:pPr>
      <w:r>
        <w:rPr>
          <w:rFonts w:hint="default"/>
          <w:color w:val="auto"/>
          <w:lang w:val="en-US" w:eastAsia="zh-CN"/>
        </w:rPr>
        <w:t>发生事故或危险事件可能结果分值C，取7。</w:t>
      </w:r>
    </w:p>
    <w:p w14:paraId="515959E0">
      <w:pPr>
        <w:bidi w:val="0"/>
        <w:rPr>
          <w:rFonts w:hint="default"/>
          <w:color w:val="auto"/>
          <w:lang w:val="en-US" w:eastAsia="zh-CN"/>
        </w:rPr>
      </w:pPr>
      <w:r>
        <w:rPr>
          <w:rFonts w:hint="default"/>
          <w:color w:val="auto"/>
          <w:lang w:val="en-US" w:eastAsia="zh-CN"/>
        </w:rPr>
        <w:t>作业条件的危险性D=3×6×7=126，属于一般危险，需要加强检查、整改。</w:t>
      </w:r>
    </w:p>
    <w:tbl>
      <w:tblPr>
        <w:tblStyle w:val="19"/>
        <w:tblW w:w="85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6"/>
        <w:gridCol w:w="1743"/>
        <w:gridCol w:w="720"/>
        <w:gridCol w:w="720"/>
        <w:gridCol w:w="720"/>
        <w:gridCol w:w="720"/>
        <w:gridCol w:w="1800"/>
        <w:gridCol w:w="1275"/>
      </w:tblGrid>
      <w:tr w14:paraId="75BDB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826" w:type="dxa"/>
            <w:vMerge w:val="restart"/>
            <w:tcBorders>
              <w:top w:val="single" w:color="auto" w:sz="4" w:space="0"/>
              <w:left w:val="single" w:color="auto" w:sz="4" w:space="0"/>
              <w:right w:val="single" w:color="auto" w:sz="4" w:space="0"/>
            </w:tcBorders>
            <w:noWrap w:val="0"/>
            <w:vAlign w:val="center"/>
          </w:tcPr>
          <w:p w14:paraId="608C23D3">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序号</w:t>
            </w:r>
          </w:p>
        </w:tc>
        <w:tc>
          <w:tcPr>
            <w:tcW w:w="1743" w:type="dxa"/>
            <w:vMerge w:val="restart"/>
            <w:tcBorders>
              <w:top w:val="single" w:color="auto" w:sz="4" w:space="0"/>
              <w:left w:val="single" w:color="auto" w:sz="4" w:space="0"/>
              <w:right w:val="single" w:color="auto" w:sz="4" w:space="0"/>
            </w:tcBorders>
            <w:noWrap w:val="0"/>
            <w:vAlign w:val="center"/>
          </w:tcPr>
          <w:p w14:paraId="6EE58752">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场所</w:t>
            </w:r>
            <w:r>
              <w:rPr>
                <w:rFonts w:hint="eastAsia" w:ascii="Times New Roman" w:hAnsi="Times New Roman" w:eastAsia="宋体" w:cs="Times New Roman"/>
                <w:color w:val="auto"/>
                <w:sz w:val="21"/>
                <w:szCs w:val="21"/>
              </w:rPr>
              <w:t>（设备设施）</w:t>
            </w:r>
          </w:p>
        </w:tc>
        <w:tc>
          <w:tcPr>
            <w:tcW w:w="2880" w:type="dxa"/>
            <w:gridSpan w:val="4"/>
            <w:tcBorders>
              <w:top w:val="single" w:color="auto" w:sz="4" w:space="0"/>
              <w:left w:val="single" w:color="auto" w:sz="4" w:space="0"/>
              <w:bottom w:val="single" w:color="auto" w:sz="4" w:space="0"/>
              <w:right w:val="single" w:color="auto" w:sz="4" w:space="0"/>
            </w:tcBorders>
            <w:noWrap w:val="0"/>
            <w:vAlign w:val="center"/>
          </w:tcPr>
          <w:p w14:paraId="60EAA615">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风险值D=L·E·C</w:t>
            </w:r>
          </w:p>
        </w:tc>
        <w:tc>
          <w:tcPr>
            <w:tcW w:w="1800" w:type="dxa"/>
            <w:vMerge w:val="restart"/>
            <w:tcBorders>
              <w:top w:val="single" w:color="auto" w:sz="4" w:space="0"/>
              <w:left w:val="single" w:color="auto" w:sz="4" w:space="0"/>
              <w:right w:val="single" w:color="auto" w:sz="4" w:space="0"/>
            </w:tcBorders>
            <w:noWrap w:val="0"/>
            <w:vAlign w:val="center"/>
          </w:tcPr>
          <w:p w14:paraId="598A583E">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危险性程度</w:t>
            </w:r>
          </w:p>
        </w:tc>
        <w:tc>
          <w:tcPr>
            <w:tcW w:w="1275" w:type="dxa"/>
            <w:vMerge w:val="restart"/>
            <w:tcBorders>
              <w:top w:val="single" w:color="auto" w:sz="4" w:space="0"/>
              <w:left w:val="single" w:color="auto" w:sz="4" w:space="0"/>
              <w:right w:val="single" w:color="auto" w:sz="4" w:space="0"/>
            </w:tcBorders>
            <w:noWrap w:val="0"/>
            <w:vAlign w:val="center"/>
          </w:tcPr>
          <w:p w14:paraId="19692E1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影响范围</w:t>
            </w:r>
          </w:p>
        </w:tc>
      </w:tr>
      <w:tr w14:paraId="7591F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826" w:type="dxa"/>
            <w:vMerge w:val="continue"/>
            <w:tcBorders>
              <w:left w:val="single" w:color="auto" w:sz="4" w:space="0"/>
              <w:bottom w:val="single" w:color="auto" w:sz="4" w:space="0"/>
              <w:right w:val="single" w:color="auto" w:sz="4" w:space="0"/>
            </w:tcBorders>
            <w:noWrap w:val="0"/>
            <w:vAlign w:val="center"/>
          </w:tcPr>
          <w:p w14:paraId="25DEA29B">
            <w:pPr>
              <w:spacing w:line="300" w:lineRule="exact"/>
              <w:ind w:firstLine="0" w:firstLineChars="0"/>
              <w:jc w:val="center"/>
              <w:rPr>
                <w:rFonts w:ascii="Times New Roman" w:hAnsi="Times New Roman" w:eastAsia="宋体" w:cs="Times New Roman"/>
                <w:color w:val="auto"/>
                <w:sz w:val="21"/>
                <w:szCs w:val="21"/>
              </w:rPr>
            </w:pPr>
          </w:p>
        </w:tc>
        <w:tc>
          <w:tcPr>
            <w:tcW w:w="1743" w:type="dxa"/>
            <w:vMerge w:val="continue"/>
            <w:tcBorders>
              <w:left w:val="single" w:color="auto" w:sz="4" w:space="0"/>
              <w:bottom w:val="single" w:color="auto" w:sz="4" w:space="0"/>
              <w:right w:val="single" w:color="auto" w:sz="4" w:space="0"/>
            </w:tcBorders>
            <w:noWrap w:val="0"/>
            <w:vAlign w:val="center"/>
          </w:tcPr>
          <w:p w14:paraId="0BD9D76D">
            <w:pPr>
              <w:spacing w:line="300" w:lineRule="exact"/>
              <w:ind w:firstLine="0" w:firstLineChars="0"/>
              <w:jc w:val="center"/>
              <w:rPr>
                <w:rFonts w:ascii="Times New Roman" w:hAnsi="Times New Roman" w:eastAsia="宋体" w:cs="Times New Roman"/>
                <w:color w:val="auto"/>
                <w:sz w:val="21"/>
                <w:szCs w:val="21"/>
              </w:rPr>
            </w:pPr>
          </w:p>
        </w:tc>
        <w:tc>
          <w:tcPr>
            <w:tcW w:w="720" w:type="dxa"/>
            <w:tcBorders>
              <w:top w:val="single" w:color="auto" w:sz="4" w:space="0"/>
              <w:left w:val="single" w:color="auto" w:sz="4" w:space="0"/>
              <w:bottom w:val="single" w:color="auto" w:sz="4" w:space="0"/>
              <w:right w:val="single" w:color="auto" w:sz="4" w:space="0"/>
            </w:tcBorders>
            <w:noWrap w:val="0"/>
            <w:vAlign w:val="center"/>
          </w:tcPr>
          <w:p w14:paraId="232EB661">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L</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222DCA51">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E</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4FA45710">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C</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0E817C29">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D</w:t>
            </w:r>
          </w:p>
        </w:tc>
        <w:tc>
          <w:tcPr>
            <w:tcW w:w="1800" w:type="dxa"/>
            <w:vMerge w:val="continue"/>
            <w:tcBorders>
              <w:left w:val="single" w:color="auto" w:sz="4" w:space="0"/>
              <w:bottom w:val="single" w:color="auto" w:sz="4" w:space="0"/>
              <w:right w:val="single" w:color="auto" w:sz="4" w:space="0"/>
            </w:tcBorders>
            <w:noWrap w:val="0"/>
            <w:vAlign w:val="center"/>
          </w:tcPr>
          <w:p w14:paraId="19206DDA">
            <w:pPr>
              <w:spacing w:line="300" w:lineRule="exact"/>
              <w:ind w:firstLine="0" w:firstLineChars="0"/>
              <w:jc w:val="center"/>
              <w:rPr>
                <w:rFonts w:ascii="Times New Roman" w:hAnsi="Times New Roman" w:eastAsia="宋体" w:cs="Times New Roman"/>
                <w:color w:val="auto"/>
                <w:sz w:val="21"/>
                <w:szCs w:val="21"/>
              </w:rPr>
            </w:pPr>
          </w:p>
        </w:tc>
        <w:tc>
          <w:tcPr>
            <w:tcW w:w="1275" w:type="dxa"/>
            <w:vMerge w:val="continue"/>
            <w:tcBorders>
              <w:left w:val="single" w:color="auto" w:sz="4" w:space="0"/>
              <w:bottom w:val="single" w:color="auto" w:sz="4" w:space="0"/>
              <w:right w:val="single" w:color="auto" w:sz="4" w:space="0"/>
            </w:tcBorders>
            <w:noWrap w:val="0"/>
            <w:vAlign w:val="center"/>
          </w:tcPr>
          <w:p w14:paraId="73359949">
            <w:pPr>
              <w:spacing w:line="300" w:lineRule="exact"/>
              <w:ind w:firstLine="0" w:firstLineChars="0"/>
              <w:jc w:val="center"/>
              <w:rPr>
                <w:rFonts w:ascii="Times New Roman" w:hAnsi="Times New Roman" w:eastAsia="宋体" w:cs="Times New Roman"/>
                <w:color w:val="auto"/>
                <w:sz w:val="21"/>
                <w:szCs w:val="21"/>
              </w:rPr>
            </w:pPr>
          </w:p>
        </w:tc>
      </w:tr>
      <w:tr w14:paraId="4D8E4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82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AF22F4D">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174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AFE3F65">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坝坡失稳（滑坡）</w:t>
            </w:r>
          </w:p>
        </w:tc>
        <w:tc>
          <w:tcPr>
            <w:tcW w:w="7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1E4B48">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7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1CA3CAA">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w:t>
            </w:r>
          </w:p>
        </w:tc>
        <w:tc>
          <w:tcPr>
            <w:tcW w:w="7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DF559A2">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7</w:t>
            </w:r>
          </w:p>
        </w:tc>
        <w:tc>
          <w:tcPr>
            <w:tcW w:w="7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6725224">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126</w:t>
            </w:r>
          </w:p>
        </w:tc>
        <w:tc>
          <w:tcPr>
            <w:tcW w:w="180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092DA9DE">
            <w:pPr>
              <w:spacing w:line="300" w:lineRule="exact"/>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三</w:t>
            </w:r>
            <w:r>
              <w:rPr>
                <w:rFonts w:ascii="Times New Roman" w:hAnsi="Times New Roman" w:eastAsia="宋体" w:cs="Times New Roman"/>
                <w:color w:val="auto"/>
                <w:sz w:val="21"/>
                <w:szCs w:val="21"/>
              </w:rPr>
              <w:t>级</w:t>
            </w:r>
          </w:p>
        </w:tc>
        <w:tc>
          <w:tcPr>
            <w:tcW w:w="1275" w:type="dxa"/>
            <w:tcBorders>
              <w:top w:val="single" w:color="auto" w:sz="4" w:space="0"/>
              <w:left w:val="single" w:color="auto" w:sz="4" w:space="0"/>
              <w:bottom w:val="single" w:color="auto" w:sz="4" w:space="0"/>
              <w:right w:val="single" w:color="auto" w:sz="4" w:space="0"/>
            </w:tcBorders>
            <w:noWrap w:val="0"/>
            <w:vAlign w:val="center"/>
          </w:tcPr>
          <w:p w14:paraId="470458C5">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尾矿坝</w:t>
            </w:r>
          </w:p>
        </w:tc>
      </w:tr>
    </w:tbl>
    <w:p w14:paraId="6BBF43D7">
      <w:pPr>
        <w:bidi w:val="0"/>
        <w:rPr>
          <w:rFonts w:hint="default"/>
          <w:color w:val="auto"/>
          <w:lang w:val="en-US" w:eastAsia="zh-CN"/>
        </w:rPr>
      </w:pPr>
      <w:r>
        <w:rPr>
          <w:rFonts w:hint="default"/>
          <w:color w:val="auto"/>
          <w:lang w:val="en-US" w:eastAsia="zh-CN"/>
        </w:rPr>
        <w:t>（5）坝体垮塌</w:t>
      </w:r>
    </w:p>
    <w:p w14:paraId="5F7289DD">
      <w:pPr>
        <w:bidi w:val="0"/>
        <w:rPr>
          <w:rFonts w:hint="default"/>
          <w:color w:val="auto"/>
          <w:lang w:val="en-US" w:eastAsia="zh-CN"/>
        </w:rPr>
      </w:pPr>
      <w:r>
        <w:rPr>
          <w:rFonts w:hint="default"/>
          <w:color w:val="auto"/>
          <w:lang w:val="en-US" w:eastAsia="zh-CN"/>
        </w:rPr>
        <w:t>事故或危险事件发生可能性分值L，取3；</w:t>
      </w:r>
    </w:p>
    <w:p w14:paraId="349D78AA">
      <w:pPr>
        <w:bidi w:val="0"/>
        <w:rPr>
          <w:rFonts w:hint="default"/>
          <w:color w:val="auto"/>
          <w:lang w:val="en-US" w:eastAsia="zh-CN"/>
        </w:rPr>
      </w:pPr>
      <w:r>
        <w:rPr>
          <w:rFonts w:hint="default"/>
          <w:color w:val="auto"/>
          <w:lang w:val="en-US" w:eastAsia="zh-CN"/>
        </w:rPr>
        <w:t>暴露于危险环境的频率分值E，取3；</w:t>
      </w:r>
    </w:p>
    <w:p w14:paraId="1AB14BC8">
      <w:pPr>
        <w:bidi w:val="0"/>
        <w:rPr>
          <w:rFonts w:hint="default"/>
          <w:color w:val="auto"/>
          <w:lang w:val="en-US" w:eastAsia="zh-CN"/>
        </w:rPr>
      </w:pPr>
      <w:r>
        <w:rPr>
          <w:rFonts w:hint="default"/>
          <w:color w:val="auto"/>
          <w:lang w:val="en-US" w:eastAsia="zh-CN"/>
        </w:rPr>
        <w:t>发生事故或危险事件可能结果分值C，取15。</w:t>
      </w:r>
    </w:p>
    <w:p w14:paraId="6A9AA976">
      <w:pPr>
        <w:bidi w:val="0"/>
        <w:rPr>
          <w:rFonts w:hint="default"/>
          <w:color w:val="auto"/>
          <w:lang w:val="en-US" w:eastAsia="zh-CN"/>
        </w:rPr>
      </w:pPr>
      <w:r>
        <w:rPr>
          <w:rFonts w:hint="default"/>
          <w:color w:val="auto"/>
          <w:lang w:val="en-US" w:eastAsia="zh-CN"/>
        </w:rPr>
        <w:t>作业条件的危险性D=3×3×15=135，属于一般危险，需要加强检查、整改。</w:t>
      </w:r>
    </w:p>
    <w:tbl>
      <w:tblPr>
        <w:tblStyle w:val="19"/>
        <w:tblW w:w="85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6"/>
        <w:gridCol w:w="1743"/>
        <w:gridCol w:w="540"/>
        <w:gridCol w:w="540"/>
        <w:gridCol w:w="540"/>
        <w:gridCol w:w="540"/>
        <w:gridCol w:w="2520"/>
        <w:gridCol w:w="1275"/>
      </w:tblGrid>
      <w:tr w14:paraId="607EF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826" w:type="dxa"/>
            <w:vMerge w:val="restart"/>
            <w:tcBorders>
              <w:top w:val="single" w:color="auto" w:sz="4" w:space="0"/>
              <w:left w:val="single" w:color="auto" w:sz="4" w:space="0"/>
              <w:right w:val="single" w:color="auto" w:sz="4" w:space="0"/>
            </w:tcBorders>
            <w:noWrap w:val="0"/>
            <w:vAlign w:val="center"/>
          </w:tcPr>
          <w:p w14:paraId="538F247D">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序号</w:t>
            </w:r>
          </w:p>
        </w:tc>
        <w:tc>
          <w:tcPr>
            <w:tcW w:w="1743" w:type="dxa"/>
            <w:vMerge w:val="restart"/>
            <w:tcBorders>
              <w:top w:val="single" w:color="auto" w:sz="4" w:space="0"/>
              <w:left w:val="single" w:color="auto" w:sz="4" w:space="0"/>
              <w:right w:val="single" w:color="auto" w:sz="4" w:space="0"/>
            </w:tcBorders>
            <w:noWrap w:val="0"/>
            <w:vAlign w:val="center"/>
          </w:tcPr>
          <w:p w14:paraId="0BA8BB74">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场所</w:t>
            </w:r>
            <w:r>
              <w:rPr>
                <w:rFonts w:hint="eastAsia" w:ascii="Times New Roman" w:hAnsi="Times New Roman" w:eastAsia="宋体" w:cs="Times New Roman"/>
                <w:color w:val="auto"/>
                <w:sz w:val="21"/>
                <w:szCs w:val="21"/>
              </w:rPr>
              <w:t>（设备设施）</w:t>
            </w:r>
          </w:p>
        </w:tc>
        <w:tc>
          <w:tcPr>
            <w:tcW w:w="2160" w:type="dxa"/>
            <w:gridSpan w:val="4"/>
            <w:tcBorders>
              <w:top w:val="single" w:color="auto" w:sz="4" w:space="0"/>
              <w:left w:val="single" w:color="auto" w:sz="4" w:space="0"/>
              <w:bottom w:val="single" w:color="auto" w:sz="4" w:space="0"/>
              <w:right w:val="single" w:color="auto" w:sz="4" w:space="0"/>
            </w:tcBorders>
            <w:noWrap w:val="0"/>
            <w:vAlign w:val="center"/>
          </w:tcPr>
          <w:p w14:paraId="1A9EA854">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风险值D=L·E·C</w:t>
            </w:r>
          </w:p>
        </w:tc>
        <w:tc>
          <w:tcPr>
            <w:tcW w:w="2520" w:type="dxa"/>
            <w:vMerge w:val="restart"/>
            <w:tcBorders>
              <w:top w:val="single" w:color="auto" w:sz="4" w:space="0"/>
              <w:left w:val="single" w:color="auto" w:sz="4" w:space="0"/>
              <w:right w:val="single" w:color="auto" w:sz="4" w:space="0"/>
            </w:tcBorders>
            <w:noWrap w:val="0"/>
            <w:vAlign w:val="center"/>
          </w:tcPr>
          <w:p w14:paraId="516C8442">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危险性程度</w:t>
            </w:r>
          </w:p>
        </w:tc>
        <w:tc>
          <w:tcPr>
            <w:tcW w:w="1275" w:type="dxa"/>
            <w:vMerge w:val="restart"/>
            <w:tcBorders>
              <w:top w:val="single" w:color="auto" w:sz="4" w:space="0"/>
              <w:left w:val="single" w:color="auto" w:sz="4" w:space="0"/>
              <w:right w:val="single" w:color="auto" w:sz="4" w:space="0"/>
            </w:tcBorders>
            <w:noWrap w:val="0"/>
            <w:vAlign w:val="center"/>
          </w:tcPr>
          <w:p w14:paraId="0B2E941B">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影响范围</w:t>
            </w:r>
          </w:p>
        </w:tc>
      </w:tr>
      <w:tr w14:paraId="0FECF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826" w:type="dxa"/>
            <w:vMerge w:val="continue"/>
            <w:tcBorders>
              <w:left w:val="single" w:color="auto" w:sz="4" w:space="0"/>
              <w:bottom w:val="single" w:color="auto" w:sz="4" w:space="0"/>
              <w:right w:val="single" w:color="auto" w:sz="4" w:space="0"/>
            </w:tcBorders>
            <w:noWrap w:val="0"/>
            <w:vAlign w:val="center"/>
          </w:tcPr>
          <w:p w14:paraId="2C735A76">
            <w:pPr>
              <w:spacing w:line="300" w:lineRule="exact"/>
              <w:ind w:firstLine="0" w:firstLineChars="0"/>
              <w:jc w:val="center"/>
              <w:rPr>
                <w:rFonts w:ascii="Times New Roman" w:hAnsi="Times New Roman" w:eastAsia="宋体" w:cs="Times New Roman"/>
                <w:color w:val="auto"/>
                <w:sz w:val="21"/>
                <w:szCs w:val="21"/>
              </w:rPr>
            </w:pPr>
          </w:p>
        </w:tc>
        <w:tc>
          <w:tcPr>
            <w:tcW w:w="1743" w:type="dxa"/>
            <w:vMerge w:val="continue"/>
            <w:tcBorders>
              <w:left w:val="single" w:color="auto" w:sz="4" w:space="0"/>
              <w:bottom w:val="single" w:color="auto" w:sz="4" w:space="0"/>
              <w:right w:val="single" w:color="auto" w:sz="4" w:space="0"/>
            </w:tcBorders>
            <w:noWrap w:val="0"/>
            <w:vAlign w:val="center"/>
          </w:tcPr>
          <w:p w14:paraId="7A20E026">
            <w:pPr>
              <w:spacing w:line="300" w:lineRule="exact"/>
              <w:ind w:firstLine="0" w:firstLineChars="0"/>
              <w:jc w:val="center"/>
              <w:rPr>
                <w:rFonts w:ascii="Times New Roman" w:hAnsi="Times New Roman" w:eastAsia="宋体" w:cs="Times New Roman"/>
                <w:color w:val="auto"/>
                <w:sz w:val="21"/>
                <w:szCs w:val="21"/>
              </w:rPr>
            </w:pPr>
          </w:p>
        </w:tc>
        <w:tc>
          <w:tcPr>
            <w:tcW w:w="540" w:type="dxa"/>
            <w:tcBorders>
              <w:top w:val="single" w:color="auto" w:sz="4" w:space="0"/>
              <w:left w:val="single" w:color="auto" w:sz="4" w:space="0"/>
              <w:bottom w:val="single" w:color="auto" w:sz="4" w:space="0"/>
              <w:right w:val="single" w:color="auto" w:sz="4" w:space="0"/>
            </w:tcBorders>
            <w:noWrap w:val="0"/>
            <w:vAlign w:val="center"/>
          </w:tcPr>
          <w:p w14:paraId="0E7A43D2">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L</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3F67B25C">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E</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6CE40B9C">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C</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2AF24714">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D</w:t>
            </w:r>
          </w:p>
        </w:tc>
        <w:tc>
          <w:tcPr>
            <w:tcW w:w="2520" w:type="dxa"/>
            <w:vMerge w:val="continue"/>
            <w:tcBorders>
              <w:left w:val="single" w:color="auto" w:sz="4" w:space="0"/>
              <w:bottom w:val="single" w:color="auto" w:sz="4" w:space="0"/>
              <w:right w:val="single" w:color="auto" w:sz="4" w:space="0"/>
            </w:tcBorders>
            <w:noWrap w:val="0"/>
            <w:vAlign w:val="center"/>
          </w:tcPr>
          <w:p w14:paraId="6A7402C9">
            <w:pPr>
              <w:spacing w:line="300" w:lineRule="exact"/>
              <w:ind w:firstLine="0" w:firstLineChars="0"/>
              <w:jc w:val="center"/>
              <w:rPr>
                <w:rFonts w:ascii="Times New Roman" w:hAnsi="Times New Roman" w:eastAsia="宋体" w:cs="Times New Roman"/>
                <w:color w:val="auto"/>
                <w:sz w:val="21"/>
                <w:szCs w:val="21"/>
              </w:rPr>
            </w:pPr>
          </w:p>
        </w:tc>
        <w:tc>
          <w:tcPr>
            <w:tcW w:w="1275" w:type="dxa"/>
            <w:vMerge w:val="continue"/>
            <w:tcBorders>
              <w:left w:val="single" w:color="auto" w:sz="4" w:space="0"/>
              <w:bottom w:val="single" w:color="auto" w:sz="4" w:space="0"/>
              <w:right w:val="single" w:color="auto" w:sz="4" w:space="0"/>
            </w:tcBorders>
            <w:noWrap w:val="0"/>
            <w:vAlign w:val="center"/>
          </w:tcPr>
          <w:p w14:paraId="59BCA2B6">
            <w:pPr>
              <w:spacing w:line="300" w:lineRule="exact"/>
              <w:ind w:firstLine="0" w:firstLineChars="0"/>
              <w:jc w:val="center"/>
              <w:rPr>
                <w:rFonts w:ascii="Times New Roman" w:hAnsi="Times New Roman" w:eastAsia="宋体" w:cs="Times New Roman"/>
                <w:color w:val="auto"/>
                <w:sz w:val="21"/>
                <w:szCs w:val="21"/>
              </w:rPr>
            </w:pPr>
          </w:p>
        </w:tc>
      </w:tr>
      <w:tr w14:paraId="04BD1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82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5ECFC46">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174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4B4992">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坝体垮塌</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C57BED0">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4FDA75A">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7C9D2B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15</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B782C9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135</w:t>
            </w:r>
          </w:p>
        </w:tc>
        <w:tc>
          <w:tcPr>
            <w:tcW w:w="252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50A63E02">
            <w:pPr>
              <w:spacing w:line="300" w:lineRule="exact"/>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三</w:t>
            </w:r>
            <w:r>
              <w:rPr>
                <w:rFonts w:ascii="Times New Roman" w:hAnsi="Times New Roman" w:eastAsia="宋体" w:cs="Times New Roman"/>
                <w:color w:val="auto"/>
                <w:sz w:val="21"/>
                <w:szCs w:val="21"/>
              </w:rPr>
              <w:t>级</w:t>
            </w:r>
          </w:p>
        </w:tc>
        <w:tc>
          <w:tcPr>
            <w:tcW w:w="1275" w:type="dxa"/>
            <w:tcBorders>
              <w:top w:val="single" w:color="auto" w:sz="4" w:space="0"/>
              <w:left w:val="single" w:color="auto" w:sz="4" w:space="0"/>
              <w:bottom w:val="single" w:color="auto" w:sz="4" w:space="0"/>
              <w:right w:val="single" w:color="auto" w:sz="4" w:space="0"/>
            </w:tcBorders>
            <w:noWrap w:val="0"/>
            <w:vAlign w:val="center"/>
          </w:tcPr>
          <w:p w14:paraId="41307D3D">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尾矿坝</w:t>
            </w:r>
          </w:p>
        </w:tc>
      </w:tr>
    </w:tbl>
    <w:p w14:paraId="407FC218">
      <w:pPr>
        <w:bidi w:val="0"/>
        <w:rPr>
          <w:rFonts w:hint="eastAsia"/>
          <w:color w:val="auto"/>
        </w:rPr>
      </w:pPr>
      <w:r>
        <w:rPr>
          <w:rFonts w:hint="eastAsia"/>
          <w:color w:val="auto"/>
        </w:rPr>
        <w:t>（6）溃坝</w:t>
      </w:r>
    </w:p>
    <w:p w14:paraId="544DB6E2">
      <w:pPr>
        <w:bidi w:val="0"/>
        <w:rPr>
          <w:rFonts w:hint="default"/>
          <w:color w:val="auto"/>
          <w:lang w:val="en-US" w:eastAsia="zh-CN"/>
        </w:rPr>
      </w:pPr>
      <w:r>
        <w:rPr>
          <w:rFonts w:hint="default"/>
          <w:color w:val="auto"/>
          <w:lang w:val="en-US" w:eastAsia="zh-CN"/>
        </w:rPr>
        <w:t>事故或危险事件发生可能性分值L，取1；</w:t>
      </w:r>
    </w:p>
    <w:p w14:paraId="132A2596">
      <w:pPr>
        <w:bidi w:val="0"/>
        <w:rPr>
          <w:rFonts w:hint="default"/>
          <w:color w:val="auto"/>
          <w:lang w:val="en-US" w:eastAsia="zh-CN"/>
        </w:rPr>
      </w:pPr>
      <w:r>
        <w:rPr>
          <w:rFonts w:hint="default"/>
          <w:color w:val="auto"/>
          <w:lang w:val="en-US" w:eastAsia="zh-CN"/>
        </w:rPr>
        <w:t>暴露于危险环境的频率分值E，取6；</w:t>
      </w:r>
    </w:p>
    <w:p w14:paraId="22D1A101">
      <w:pPr>
        <w:bidi w:val="0"/>
        <w:rPr>
          <w:rFonts w:hint="default"/>
          <w:color w:val="auto"/>
          <w:lang w:val="en-US" w:eastAsia="zh-CN"/>
        </w:rPr>
      </w:pPr>
      <w:r>
        <w:rPr>
          <w:rFonts w:hint="default"/>
          <w:color w:val="auto"/>
          <w:lang w:val="en-US" w:eastAsia="zh-CN"/>
        </w:rPr>
        <w:t>发生事故或危险事件可能结果分值C，取40。</w:t>
      </w:r>
    </w:p>
    <w:p w14:paraId="20D54386">
      <w:pPr>
        <w:bidi w:val="0"/>
        <w:rPr>
          <w:rFonts w:hint="default"/>
          <w:color w:val="auto"/>
          <w:lang w:val="en-US" w:eastAsia="zh-CN"/>
        </w:rPr>
      </w:pPr>
      <w:r>
        <w:rPr>
          <w:rFonts w:hint="default"/>
          <w:color w:val="auto"/>
          <w:lang w:val="en-US" w:eastAsia="zh-CN"/>
        </w:rPr>
        <w:t>作业条件的危险性D=1×6×40=240，属于高度危险，需要加强检查、限期整改。</w:t>
      </w:r>
    </w:p>
    <w:tbl>
      <w:tblPr>
        <w:tblStyle w:val="19"/>
        <w:tblW w:w="85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6"/>
        <w:gridCol w:w="1743"/>
        <w:gridCol w:w="540"/>
        <w:gridCol w:w="540"/>
        <w:gridCol w:w="540"/>
        <w:gridCol w:w="540"/>
        <w:gridCol w:w="2520"/>
        <w:gridCol w:w="1275"/>
      </w:tblGrid>
      <w:tr w14:paraId="7BF1E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826" w:type="dxa"/>
            <w:vMerge w:val="restart"/>
            <w:tcBorders>
              <w:top w:val="single" w:color="auto" w:sz="4" w:space="0"/>
              <w:left w:val="single" w:color="auto" w:sz="4" w:space="0"/>
              <w:right w:val="single" w:color="auto" w:sz="4" w:space="0"/>
            </w:tcBorders>
            <w:noWrap w:val="0"/>
            <w:vAlign w:val="center"/>
          </w:tcPr>
          <w:p w14:paraId="79899236">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序号</w:t>
            </w:r>
          </w:p>
        </w:tc>
        <w:tc>
          <w:tcPr>
            <w:tcW w:w="1743" w:type="dxa"/>
            <w:vMerge w:val="restart"/>
            <w:tcBorders>
              <w:top w:val="single" w:color="auto" w:sz="4" w:space="0"/>
              <w:left w:val="single" w:color="auto" w:sz="4" w:space="0"/>
              <w:right w:val="single" w:color="auto" w:sz="4" w:space="0"/>
            </w:tcBorders>
            <w:noWrap w:val="0"/>
            <w:vAlign w:val="center"/>
          </w:tcPr>
          <w:p w14:paraId="61BFDE96">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场所</w:t>
            </w:r>
            <w:r>
              <w:rPr>
                <w:rFonts w:hint="eastAsia" w:ascii="Times New Roman" w:hAnsi="Times New Roman" w:eastAsia="宋体" w:cs="Times New Roman"/>
                <w:color w:val="auto"/>
                <w:sz w:val="21"/>
                <w:szCs w:val="21"/>
              </w:rPr>
              <w:t>（设备设施）</w:t>
            </w:r>
          </w:p>
        </w:tc>
        <w:tc>
          <w:tcPr>
            <w:tcW w:w="2160" w:type="dxa"/>
            <w:gridSpan w:val="4"/>
            <w:tcBorders>
              <w:top w:val="single" w:color="auto" w:sz="4" w:space="0"/>
              <w:left w:val="single" w:color="auto" w:sz="4" w:space="0"/>
              <w:bottom w:val="single" w:color="auto" w:sz="4" w:space="0"/>
              <w:right w:val="single" w:color="auto" w:sz="4" w:space="0"/>
            </w:tcBorders>
            <w:noWrap w:val="0"/>
            <w:vAlign w:val="center"/>
          </w:tcPr>
          <w:p w14:paraId="1CCE78F1">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风险值D=L·E·C</w:t>
            </w:r>
          </w:p>
        </w:tc>
        <w:tc>
          <w:tcPr>
            <w:tcW w:w="2520" w:type="dxa"/>
            <w:vMerge w:val="restart"/>
            <w:tcBorders>
              <w:top w:val="single" w:color="auto" w:sz="4" w:space="0"/>
              <w:left w:val="single" w:color="auto" w:sz="4" w:space="0"/>
              <w:right w:val="single" w:color="auto" w:sz="4" w:space="0"/>
            </w:tcBorders>
            <w:noWrap w:val="0"/>
            <w:vAlign w:val="center"/>
          </w:tcPr>
          <w:p w14:paraId="296E557B">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危险性程度</w:t>
            </w:r>
          </w:p>
        </w:tc>
        <w:tc>
          <w:tcPr>
            <w:tcW w:w="1275" w:type="dxa"/>
            <w:vMerge w:val="restart"/>
            <w:tcBorders>
              <w:top w:val="single" w:color="auto" w:sz="4" w:space="0"/>
              <w:left w:val="single" w:color="auto" w:sz="4" w:space="0"/>
              <w:right w:val="single" w:color="auto" w:sz="4" w:space="0"/>
            </w:tcBorders>
            <w:noWrap w:val="0"/>
            <w:vAlign w:val="center"/>
          </w:tcPr>
          <w:p w14:paraId="5D805490">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影响范围</w:t>
            </w:r>
          </w:p>
        </w:tc>
      </w:tr>
      <w:tr w14:paraId="3F970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826" w:type="dxa"/>
            <w:vMerge w:val="continue"/>
            <w:tcBorders>
              <w:left w:val="single" w:color="auto" w:sz="4" w:space="0"/>
              <w:bottom w:val="single" w:color="auto" w:sz="4" w:space="0"/>
              <w:right w:val="single" w:color="auto" w:sz="4" w:space="0"/>
            </w:tcBorders>
            <w:noWrap w:val="0"/>
            <w:vAlign w:val="center"/>
          </w:tcPr>
          <w:p w14:paraId="3C693EF7">
            <w:pPr>
              <w:spacing w:line="300" w:lineRule="exact"/>
              <w:ind w:firstLine="0" w:firstLineChars="0"/>
              <w:jc w:val="center"/>
              <w:rPr>
                <w:rFonts w:ascii="Times New Roman" w:hAnsi="Times New Roman" w:eastAsia="宋体" w:cs="Times New Roman"/>
                <w:color w:val="auto"/>
                <w:sz w:val="21"/>
                <w:szCs w:val="21"/>
              </w:rPr>
            </w:pPr>
          </w:p>
        </w:tc>
        <w:tc>
          <w:tcPr>
            <w:tcW w:w="1743" w:type="dxa"/>
            <w:vMerge w:val="continue"/>
            <w:tcBorders>
              <w:left w:val="single" w:color="auto" w:sz="4" w:space="0"/>
              <w:bottom w:val="single" w:color="auto" w:sz="4" w:space="0"/>
              <w:right w:val="single" w:color="auto" w:sz="4" w:space="0"/>
            </w:tcBorders>
            <w:noWrap w:val="0"/>
            <w:vAlign w:val="center"/>
          </w:tcPr>
          <w:p w14:paraId="2C8AAAF9">
            <w:pPr>
              <w:spacing w:line="300" w:lineRule="exact"/>
              <w:ind w:firstLine="0" w:firstLineChars="0"/>
              <w:jc w:val="center"/>
              <w:rPr>
                <w:rFonts w:ascii="Times New Roman" w:hAnsi="Times New Roman" w:eastAsia="宋体" w:cs="Times New Roman"/>
                <w:color w:val="auto"/>
                <w:sz w:val="21"/>
                <w:szCs w:val="21"/>
              </w:rPr>
            </w:pPr>
          </w:p>
        </w:tc>
        <w:tc>
          <w:tcPr>
            <w:tcW w:w="540" w:type="dxa"/>
            <w:tcBorders>
              <w:top w:val="single" w:color="auto" w:sz="4" w:space="0"/>
              <w:left w:val="single" w:color="auto" w:sz="4" w:space="0"/>
              <w:bottom w:val="single" w:color="auto" w:sz="4" w:space="0"/>
              <w:right w:val="single" w:color="auto" w:sz="4" w:space="0"/>
            </w:tcBorders>
            <w:noWrap w:val="0"/>
            <w:vAlign w:val="center"/>
          </w:tcPr>
          <w:p w14:paraId="07207A7A">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L</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2F57D94D">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E</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20E4044C">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C</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58315F10">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D</w:t>
            </w:r>
          </w:p>
        </w:tc>
        <w:tc>
          <w:tcPr>
            <w:tcW w:w="2520" w:type="dxa"/>
            <w:vMerge w:val="continue"/>
            <w:tcBorders>
              <w:left w:val="single" w:color="auto" w:sz="4" w:space="0"/>
              <w:bottom w:val="single" w:color="auto" w:sz="4" w:space="0"/>
              <w:right w:val="single" w:color="auto" w:sz="4" w:space="0"/>
            </w:tcBorders>
            <w:noWrap w:val="0"/>
            <w:vAlign w:val="center"/>
          </w:tcPr>
          <w:p w14:paraId="27081FBC">
            <w:pPr>
              <w:spacing w:line="300" w:lineRule="exact"/>
              <w:ind w:firstLine="0" w:firstLineChars="0"/>
              <w:jc w:val="center"/>
              <w:rPr>
                <w:rFonts w:ascii="Times New Roman" w:hAnsi="Times New Roman" w:eastAsia="宋体" w:cs="Times New Roman"/>
                <w:color w:val="auto"/>
                <w:sz w:val="21"/>
                <w:szCs w:val="21"/>
              </w:rPr>
            </w:pPr>
          </w:p>
        </w:tc>
        <w:tc>
          <w:tcPr>
            <w:tcW w:w="1275" w:type="dxa"/>
            <w:vMerge w:val="continue"/>
            <w:tcBorders>
              <w:left w:val="single" w:color="auto" w:sz="4" w:space="0"/>
              <w:bottom w:val="single" w:color="auto" w:sz="4" w:space="0"/>
              <w:right w:val="single" w:color="auto" w:sz="4" w:space="0"/>
            </w:tcBorders>
            <w:noWrap w:val="0"/>
            <w:vAlign w:val="center"/>
          </w:tcPr>
          <w:p w14:paraId="24264AFF">
            <w:pPr>
              <w:spacing w:line="300" w:lineRule="exact"/>
              <w:ind w:firstLine="0" w:firstLineChars="0"/>
              <w:jc w:val="center"/>
              <w:rPr>
                <w:rFonts w:ascii="Times New Roman" w:hAnsi="Times New Roman" w:eastAsia="宋体" w:cs="Times New Roman"/>
                <w:color w:val="auto"/>
                <w:sz w:val="21"/>
                <w:szCs w:val="21"/>
              </w:rPr>
            </w:pPr>
          </w:p>
        </w:tc>
      </w:tr>
      <w:tr w14:paraId="636C9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82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B2F5F07">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174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9EB4F86">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溃坝</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CBE9110">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FAE1C3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2BD7FE0">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40</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3D5F07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240</w:t>
            </w:r>
          </w:p>
        </w:tc>
        <w:tc>
          <w:tcPr>
            <w:tcW w:w="2520"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4BC269E3">
            <w:pPr>
              <w:spacing w:line="300" w:lineRule="exact"/>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二</w:t>
            </w:r>
            <w:r>
              <w:rPr>
                <w:rFonts w:ascii="Times New Roman" w:hAnsi="Times New Roman" w:eastAsia="宋体" w:cs="Times New Roman"/>
                <w:color w:val="auto"/>
                <w:sz w:val="21"/>
                <w:szCs w:val="21"/>
              </w:rPr>
              <w:t>级</w:t>
            </w:r>
          </w:p>
        </w:tc>
        <w:tc>
          <w:tcPr>
            <w:tcW w:w="1275" w:type="dxa"/>
            <w:tcBorders>
              <w:top w:val="single" w:color="auto" w:sz="4" w:space="0"/>
              <w:left w:val="single" w:color="auto" w:sz="4" w:space="0"/>
              <w:bottom w:val="single" w:color="auto" w:sz="4" w:space="0"/>
              <w:right w:val="single" w:color="auto" w:sz="4" w:space="0"/>
            </w:tcBorders>
            <w:noWrap w:val="0"/>
            <w:vAlign w:val="center"/>
          </w:tcPr>
          <w:p w14:paraId="704ADB0E">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库下游</w:t>
            </w:r>
          </w:p>
        </w:tc>
      </w:tr>
    </w:tbl>
    <w:p w14:paraId="5CF78919">
      <w:pPr>
        <w:numPr>
          <w:ilvl w:val="0"/>
          <w:numId w:val="4"/>
        </w:numPr>
        <w:bidi w:val="0"/>
        <w:rPr>
          <w:rFonts w:hint="default"/>
          <w:color w:val="auto"/>
          <w:lang w:val="en-US" w:eastAsia="zh-CN"/>
        </w:rPr>
      </w:pPr>
      <w:r>
        <w:rPr>
          <w:rFonts w:hint="default"/>
          <w:color w:val="auto"/>
          <w:lang w:val="en-US" w:eastAsia="zh-CN"/>
        </w:rPr>
        <w:t>排水构筑物事故（事件）</w:t>
      </w:r>
    </w:p>
    <w:p w14:paraId="60A68BB4">
      <w:pPr>
        <w:bidi w:val="0"/>
        <w:rPr>
          <w:rFonts w:hint="default"/>
          <w:color w:val="auto"/>
          <w:lang w:val="en-US" w:eastAsia="zh-CN"/>
        </w:rPr>
      </w:pPr>
      <w:r>
        <w:rPr>
          <w:rFonts w:hint="default"/>
          <w:color w:val="auto"/>
          <w:lang w:val="en-US" w:eastAsia="zh-CN"/>
        </w:rPr>
        <w:t>6.1</w:t>
      </w:r>
      <w:r>
        <w:rPr>
          <w:rFonts w:hint="eastAsia"/>
          <w:color w:val="auto"/>
          <w:lang w:val="en-US" w:eastAsia="zh-CN"/>
        </w:rPr>
        <w:t xml:space="preserve"> </w:t>
      </w:r>
      <w:r>
        <w:rPr>
          <w:rFonts w:hint="default"/>
          <w:color w:val="auto"/>
          <w:lang w:val="en-US" w:eastAsia="zh-CN"/>
        </w:rPr>
        <w:t>排水构筑物事故（事件）危害</w:t>
      </w:r>
    </w:p>
    <w:p w14:paraId="71324EDA">
      <w:pPr>
        <w:bidi w:val="0"/>
        <w:rPr>
          <w:rFonts w:hint="default"/>
          <w:color w:val="auto"/>
          <w:lang w:val="en-US" w:eastAsia="zh-CN"/>
        </w:rPr>
      </w:pPr>
      <w:r>
        <w:rPr>
          <w:rFonts w:hint="default"/>
          <w:color w:val="auto"/>
          <w:lang w:val="en-US" w:eastAsia="zh-CN"/>
        </w:rPr>
        <w:t>（1）排水构筑物堵塞、断裂、垮塌，继而洪水漫顶、溃坝，污染下游，造成厂群纠纷。</w:t>
      </w:r>
    </w:p>
    <w:p w14:paraId="12ED9451">
      <w:pPr>
        <w:bidi w:val="0"/>
        <w:rPr>
          <w:rFonts w:hint="default"/>
          <w:color w:val="auto"/>
          <w:lang w:val="en-US" w:eastAsia="zh-CN"/>
        </w:rPr>
      </w:pPr>
      <w:r>
        <w:rPr>
          <w:rFonts w:hint="default"/>
          <w:color w:val="auto"/>
          <w:lang w:val="en-US" w:eastAsia="zh-CN"/>
        </w:rPr>
        <w:t>（2）淹溺，导致人员伤亡。</w:t>
      </w:r>
    </w:p>
    <w:p w14:paraId="436026AF">
      <w:pPr>
        <w:bidi w:val="0"/>
        <w:rPr>
          <w:rFonts w:hint="default"/>
          <w:color w:val="auto"/>
          <w:lang w:val="en-US" w:eastAsia="zh-CN"/>
        </w:rPr>
      </w:pPr>
      <w:r>
        <w:rPr>
          <w:rFonts w:hint="default"/>
          <w:color w:val="auto"/>
          <w:lang w:val="en-US" w:eastAsia="zh-CN"/>
        </w:rPr>
        <w:t>6.2</w:t>
      </w:r>
      <w:r>
        <w:rPr>
          <w:rFonts w:hint="eastAsia"/>
          <w:color w:val="auto"/>
          <w:lang w:val="en-US" w:eastAsia="zh-CN"/>
        </w:rPr>
        <w:t xml:space="preserve"> </w:t>
      </w:r>
      <w:r>
        <w:rPr>
          <w:rFonts w:hint="default"/>
          <w:color w:val="auto"/>
          <w:lang w:val="en-US" w:eastAsia="zh-CN"/>
        </w:rPr>
        <w:t>风险分析</w:t>
      </w:r>
    </w:p>
    <w:p w14:paraId="27386DB0">
      <w:pPr>
        <w:bidi w:val="0"/>
        <w:rPr>
          <w:rFonts w:hint="default"/>
          <w:color w:val="auto"/>
          <w:lang w:val="en-US" w:eastAsia="zh-CN"/>
        </w:rPr>
      </w:pPr>
      <w:r>
        <w:rPr>
          <w:rFonts w:hint="default"/>
          <w:color w:val="auto"/>
          <w:lang w:val="en-US" w:eastAsia="zh-CN"/>
        </w:rPr>
        <w:t>（1）排水构筑物堵塞、断裂、垮塌</w:t>
      </w:r>
    </w:p>
    <w:p w14:paraId="167C249B">
      <w:pPr>
        <w:bidi w:val="0"/>
        <w:rPr>
          <w:rFonts w:hint="default"/>
          <w:color w:val="auto"/>
          <w:lang w:val="en-US" w:eastAsia="zh-CN"/>
        </w:rPr>
      </w:pPr>
      <w:r>
        <w:rPr>
          <w:rFonts w:hint="default"/>
          <w:color w:val="auto"/>
          <w:lang w:val="en-US" w:eastAsia="zh-CN"/>
        </w:rPr>
        <w:t>事故或危险事件发生可能性分值L，取1；</w:t>
      </w:r>
    </w:p>
    <w:p w14:paraId="7BBF4EED">
      <w:pPr>
        <w:bidi w:val="0"/>
        <w:rPr>
          <w:rFonts w:hint="default"/>
          <w:color w:val="auto"/>
          <w:lang w:val="en-US" w:eastAsia="zh-CN"/>
        </w:rPr>
      </w:pPr>
      <w:r>
        <w:rPr>
          <w:rFonts w:hint="default"/>
          <w:color w:val="auto"/>
          <w:lang w:val="en-US" w:eastAsia="zh-CN"/>
        </w:rPr>
        <w:t>暴露于危险环境的频率分值E，取6；</w:t>
      </w:r>
    </w:p>
    <w:p w14:paraId="155C2775">
      <w:pPr>
        <w:bidi w:val="0"/>
        <w:rPr>
          <w:rFonts w:hint="default"/>
          <w:color w:val="auto"/>
          <w:lang w:val="en-US" w:eastAsia="zh-CN"/>
        </w:rPr>
      </w:pPr>
      <w:r>
        <w:rPr>
          <w:rFonts w:hint="default"/>
          <w:color w:val="auto"/>
          <w:lang w:val="en-US" w:eastAsia="zh-CN"/>
        </w:rPr>
        <w:t>发生事故或危险事件可能结果分值C，取40。</w:t>
      </w:r>
    </w:p>
    <w:p w14:paraId="3C05DDD9">
      <w:pPr>
        <w:bidi w:val="0"/>
        <w:rPr>
          <w:rFonts w:hint="default"/>
          <w:color w:val="auto"/>
          <w:lang w:val="en-US" w:eastAsia="zh-CN"/>
        </w:rPr>
      </w:pPr>
      <w:r>
        <w:rPr>
          <w:rFonts w:hint="default"/>
          <w:color w:val="auto"/>
          <w:lang w:val="en-US" w:eastAsia="zh-CN"/>
        </w:rPr>
        <w:t>作业条件的危险性D=1×6×40=240，属于一般危险，需要加强检查、整改。</w:t>
      </w:r>
    </w:p>
    <w:tbl>
      <w:tblPr>
        <w:tblStyle w:val="19"/>
        <w:tblpPr w:leftFromText="180" w:rightFromText="180" w:vertAnchor="text" w:horzAnchor="margin" w:tblpXSpec="center" w:tblpY="313"/>
        <w:tblW w:w="85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6"/>
        <w:gridCol w:w="1923"/>
        <w:gridCol w:w="540"/>
        <w:gridCol w:w="540"/>
        <w:gridCol w:w="540"/>
        <w:gridCol w:w="540"/>
        <w:gridCol w:w="2340"/>
        <w:gridCol w:w="1275"/>
      </w:tblGrid>
      <w:tr w14:paraId="719F3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826" w:type="dxa"/>
            <w:vMerge w:val="restart"/>
            <w:tcBorders>
              <w:top w:val="single" w:color="auto" w:sz="4" w:space="0"/>
              <w:left w:val="single" w:color="auto" w:sz="4" w:space="0"/>
              <w:right w:val="single" w:color="auto" w:sz="4" w:space="0"/>
            </w:tcBorders>
            <w:noWrap w:val="0"/>
            <w:vAlign w:val="center"/>
          </w:tcPr>
          <w:p w14:paraId="5EA3F9ED">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序号</w:t>
            </w:r>
          </w:p>
        </w:tc>
        <w:tc>
          <w:tcPr>
            <w:tcW w:w="1923" w:type="dxa"/>
            <w:vMerge w:val="restart"/>
            <w:tcBorders>
              <w:top w:val="single" w:color="auto" w:sz="4" w:space="0"/>
              <w:left w:val="single" w:color="auto" w:sz="4" w:space="0"/>
              <w:right w:val="single" w:color="auto" w:sz="4" w:space="0"/>
            </w:tcBorders>
            <w:noWrap w:val="0"/>
            <w:vAlign w:val="center"/>
          </w:tcPr>
          <w:p w14:paraId="44E1BB47">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场所</w:t>
            </w:r>
            <w:r>
              <w:rPr>
                <w:rFonts w:hint="eastAsia" w:ascii="Times New Roman" w:hAnsi="Times New Roman" w:eastAsia="宋体" w:cs="Times New Roman"/>
                <w:color w:val="auto"/>
                <w:sz w:val="21"/>
                <w:szCs w:val="21"/>
              </w:rPr>
              <w:t>（设备设施）</w:t>
            </w:r>
          </w:p>
        </w:tc>
        <w:tc>
          <w:tcPr>
            <w:tcW w:w="2160" w:type="dxa"/>
            <w:gridSpan w:val="4"/>
            <w:tcBorders>
              <w:top w:val="single" w:color="auto" w:sz="4" w:space="0"/>
              <w:left w:val="single" w:color="auto" w:sz="4" w:space="0"/>
              <w:bottom w:val="single" w:color="auto" w:sz="4" w:space="0"/>
              <w:right w:val="single" w:color="auto" w:sz="4" w:space="0"/>
            </w:tcBorders>
            <w:noWrap w:val="0"/>
            <w:vAlign w:val="center"/>
          </w:tcPr>
          <w:p w14:paraId="36AD6B9D">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风险值D=L·E·C</w:t>
            </w:r>
          </w:p>
        </w:tc>
        <w:tc>
          <w:tcPr>
            <w:tcW w:w="2340" w:type="dxa"/>
            <w:vMerge w:val="restart"/>
            <w:tcBorders>
              <w:top w:val="single" w:color="auto" w:sz="4" w:space="0"/>
              <w:left w:val="single" w:color="auto" w:sz="4" w:space="0"/>
              <w:right w:val="single" w:color="auto" w:sz="4" w:space="0"/>
            </w:tcBorders>
            <w:noWrap w:val="0"/>
            <w:vAlign w:val="center"/>
          </w:tcPr>
          <w:p w14:paraId="41575F89">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危险性程度</w:t>
            </w:r>
          </w:p>
        </w:tc>
        <w:tc>
          <w:tcPr>
            <w:tcW w:w="1275" w:type="dxa"/>
            <w:vMerge w:val="restart"/>
            <w:tcBorders>
              <w:top w:val="single" w:color="auto" w:sz="4" w:space="0"/>
              <w:left w:val="single" w:color="auto" w:sz="4" w:space="0"/>
              <w:right w:val="single" w:color="auto" w:sz="4" w:space="0"/>
            </w:tcBorders>
            <w:noWrap w:val="0"/>
            <w:vAlign w:val="center"/>
          </w:tcPr>
          <w:p w14:paraId="04F9988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影响范围</w:t>
            </w:r>
          </w:p>
        </w:tc>
      </w:tr>
      <w:tr w14:paraId="16B12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826" w:type="dxa"/>
            <w:vMerge w:val="continue"/>
            <w:tcBorders>
              <w:left w:val="single" w:color="auto" w:sz="4" w:space="0"/>
              <w:bottom w:val="single" w:color="auto" w:sz="4" w:space="0"/>
              <w:right w:val="single" w:color="auto" w:sz="4" w:space="0"/>
            </w:tcBorders>
            <w:noWrap w:val="0"/>
            <w:vAlign w:val="center"/>
          </w:tcPr>
          <w:p w14:paraId="127FC31B">
            <w:pPr>
              <w:spacing w:line="300" w:lineRule="exact"/>
              <w:ind w:firstLine="0" w:firstLineChars="0"/>
              <w:jc w:val="center"/>
              <w:rPr>
                <w:rFonts w:ascii="Times New Roman" w:hAnsi="Times New Roman" w:eastAsia="宋体" w:cs="Times New Roman"/>
                <w:color w:val="auto"/>
                <w:sz w:val="21"/>
                <w:szCs w:val="21"/>
              </w:rPr>
            </w:pPr>
          </w:p>
        </w:tc>
        <w:tc>
          <w:tcPr>
            <w:tcW w:w="1923" w:type="dxa"/>
            <w:vMerge w:val="continue"/>
            <w:tcBorders>
              <w:left w:val="single" w:color="auto" w:sz="4" w:space="0"/>
              <w:bottom w:val="single" w:color="auto" w:sz="4" w:space="0"/>
              <w:right w:val="single" w:color="auto" w:sz="4" w:space="0"/>
            </w:tcBorders>
            <w:noWrap w:val="0"/>
            <w:vAlign w:val="center"/>
          </w:tcPr>
          <w:p w14:paraId="6F1C03E3">
            <w:pPr>
              <w:spacing w:line="300" w:lineRule="exact"/>
              <w:ind w:firstLine="0" w:firstLineChars="0"/>
              <w:jc w:val="center"/>
              <w:rPr>
                <w:rFonts w:ascii="Times New Roman" w:hAnsi="Times New Roman" w:eastAsia="宋体" w:cs="Times New Roman"/>
                <w:color w:val="auto"/>
                <w:sz w:val="21"/>
                <w:szCs w:val="21"/>
              </w:rPr>
            </w:pPr>
          </w:p>
        </w:tc>
        <w:tc>
          <w:tcPr>
            <w:tcW w:w="540" w:type="dxa"/>
            <w:tcBorders>
              <w:top w:val="single" w:color="auto" w:sz="4" w:space="0"/>
              <w:left w:val="single" w:color="auto" w:sz="4" w:space="0"/>
              <w:bottom w:val="single" w:color="auto" w:sz="4" w:space="0"/>
              <w:right w:val="single" w:color="auto" w:sz="4" w:space="0"/>
            </w:tcBorders>
            <w:noWrap w:val="0"/>
            <w:vAlign w:val="center"/>
          </w:tcPr>
          <w:p w14:paraId="0B70C696">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L</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2FF81121">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E</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1E5FCEFD">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C</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1C257018">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D</w:t>
            </w:r>
          </w:p>
        </w:tc>
        <w:tc>
          <w:tcPr>
            <w:tcW w:w="2340" w:type="dxa"/>
            <w:vMerge w:val="continue"/>
            <w:tcBorders>
              <w:left w:val="single" w:color="auto" w:sz="4" w:space="0"/>
              <w:bottom w:val="single" w:color="auto" w:sz="4" w:space="0"/>
              <w:right w:val="single" w:color="auto" w:sz="4" w:space="0"/>
            </w:tcBorders>
            <w:noWrap w:val="0"/>
            <w:vAlign w:val="center"/>
          </w:tcPr>
          <w:p w14:paraId="23E64B78">
            <w:pPr>
              <w:spacing w:line="300" w:lineRule="exact"/>
              <w:ind w:firstLine="0" w:firstLineChars="0"/>
              <w:jc w:val="center"/>
              <w:rPr>
                <w:rFonts w:ascii="Times New Roman" w:hAnsi="Times New Roman" w:eastAsia="宋体" w:cs="Times New Roman"/>
                <w:color w:val="auto"/>
                <w:sz w:val="21"/>
                <w:szCs w:val="21"/>
              </w:rPr>
            </w:pPr>
          </w:p>
        </w:tc>
        <w:tc>
          <w:tcPr>
            <w:tcW w:w="1275" w:type="dxa"/>
            <w:vMerge w:val="continue"/>
            <w:tcBorders>
              <w:left w:val="single" w:color="auto" w:sz="4" w:space="0"/>
              <w:bottom w:val="single" w:color="auto" w:sz="4" w:space="0"/>
              <w:right w:val="single" w:color="auto" w:sz="4" w:space="0"/>
            </w:tcBorders>
            <w:noWrap w:val="0"/>
            <w:vAlign w:val="center"/>
          </w:tcPr>
          <w:p w14:paraId="34DFD88F">
            <w:pPr>
              <w:spacing w:line="300" w:lineRule="exact"/>
              <w:ind w:firstLine="0" w:firstLineChars="0"/>
              <w:jc w:val="center"/>
              <w:rPr>
                <w:rFonts w:ascii="Times New Roman" w:hAnsi="Times New Roman" w:eastAsia="宋体" w:cs="Times New Roman"/>
                <w:color w:val="auto"/>
                <w:sz w:val="21"/>
                <w:szCs w:val="21"/>
              </w:rPr>
            </w:pPr>
          </w:p>
        </w:tc>
      </w:tr>
      <w:tr w14:paraId="33CF2D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82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1D5F322">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192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6997408">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排水构筑物</w:t>
            </w:r>
          </w:p>
          <w:p w14:paraId="252DC7DF">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堵塞、断裂、垮塌</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2619F60">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5D5F121">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A8678F2">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40</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647C962">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240</w:t>
            </w:r>
          </w:p>
        </w:tc>
        <w:tc>
          <w:tcPr>
            <w:tcW w:w="2340"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76153BF1">
            <w:pPr>
              <w:spacing w:line="300" w:lineRule="exact"/>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二</w:t>
            </w:r>
            <w:r>
              <w:rPr>
                <w:rFonts w:ascii="Times New Roman" w:hAnsi="Times New Roman" w:eastAsia="宋体" w:cs="Times New Roman"/>
                <w:color w:val="auto"/>
                <w:sz w:val="21"/>
                <w:szCs w:val="21"/>
              </w:rPr>
              <w:t>级</w:t>
            </w:r>
          </w:p>
        </w:tc>
        <w:tc>
          <w:tcPr>
            <w:tcW w:w="1275" w:type="dxa"/>
            <w:tcBorders>
              <w:top w:val="single" w:color="auto" w:sz="4" w:space="0"/>
              <w:left w:val="single" w:color="auto" w:sz="4" w:space="0"/>
              <w:bottom w:val="single" w:color="auto" w:sz="4" w:space="0"/>
              <w:right w:val="single" w:color="auto" w:sz="4" w:space="0"/>
            </w:tcBorders>
            <w:noWrap w:val="0"/>
            <w:vAlign w:val="center"/>
          </w:tcPr>
          <w:p w14:paraId="10E96E6F">
            <w:pPr>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排水井</w:t>
            </w:r>
          </w:p>
        </w:tc>
      </w:tr>
    </w:tbl>
    <w:p w14:paraId="3C45B3B0">
      <w:pPr>
        <w:bidi w:val="0"/>
        <w:rPr>
          <w:rFonts w:hint="default"/>
          <w:color w:val="auto"/>
          <w:lang w:val="en-US" w:eastAsia="zh-CN"/>
        </w:rPr>
      </w:pPr>
      <w:r>
        <w:rPr>
          <w:rFonts w:hint="default"/>
          <w:color w:val="auto"/>
          <w:lang w:val="en-US" w:eastAsia="zh-CN"/>
        </w:rPr>
        <w:t>（2）洪水漫顶、溃坝</w:t>
      </w:r>
    </w:p>
    <w:p w14:paraId="47A0B8C5">
      <w:pPr>
        <w:bidi w:val="0"/>
        <w:rPr>
          <w:rFonts w:hint="default"/>
          <w:color w:val="auto"/>
          <w:lang w:val="en-US" w:eastAsia="zh-CN"/>
        </w:rPr>
      </w:pPr>
      <w:r>
        <w:rPr>
          <w:rFonts w:hint="default"/>
          <w:color w:val="auto"/>
          <w:lang w:val="en-US" w:eastAsia="zh-CN"/>
        </w:rPr>
        <w:t>事故或危险事件发生可能性分值L，取1；</w:t>
      </w:r>
    </w:p>
    <w:p w14:paraId="5D193316">
      <w:pPr>
        <w:bidi w:val="0"/>
        <w:rPr>
          <w:rFonts w:hint="default"/>
          <w:color w:val="auto"/>
          <w:lang w:val="en-US" w:eastAsia="zh-CN"/>
        </w:rPr>
      </w:pPr>
      <w:r>
        <w:rPr>
          <w:rFonts w:hint="default"/>
          <w:color w:val="auto"/>
          <w:lang w:val="en-US" w:eastAsia="zh-CN"/>
        </w:rPr>
        <w:t>暴露于危险环境的频率分值E，取6；</w:t>
      </w:r>
    </w:p>
    <w:p w14:paraId="45096094">
      <w:pPr>
        <w:bidi w:val="0"/>
        <w:rPr>
          <w:rFonts w:hint="default"/>
          <w:color w:val="auto"/>
          <w:lang w:val="en-US" w:eastAsia="zh-CN"/>
        </w:rPr>
      </w:pPr>
      <w:r>
        <w:rPr>
          <w:rFonts w:hint="default"/>
          <w:color w:val="auto"/>
          <w:lang w:val="en-US" w:eastAsia="zh-CN"/>
        </w:rPr>
        <w:t>发生事故或危险事件可能结果分值C，取40。</w:t>
      </w:r>
    </w:p>
    <w:p w14:paraId="538E52FA">
      <w:pPr>
        <w:bidi w:val="0"/>
        <w:rPr>
          <w:rFonts w:hint="default"/>
          <w:color w:val="auto"/>
          <w:lang w:val="en-US" w:eastAsia="zh-CN"/>
        </w:rPr>
      </w:pPr>
      <w:r>
        <w:rPr>
          <w:rFonts w:hint="default"/>
          <w:color w:val="auto"/>
          <w:lang w:val="en-US" w:eastAsia="zh-CN"/>
        </w:rPr>
        <w:t>作业条件的危险性D=1×6×40=120，属于高度危险，需要加强检查、限期整改。</w:t>
      </w:r>
    </w:p>
    <w:tbl>
      <w:tblPr>
        <w:tblStyle w:val="19"/>
        <w:tblW w:w="85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6"/>
        <w:gridCol w:w="1743"/>
        <w:gridCol w:w="540"/>
        <w:gridCol w:w="540"/>
        <w:gridCol w:w="540"/>
        <w:gridCol w:w="540"/>
        <w:gridCol w:w="2520"/>
        <w:gridCol w:w="1275"/>
      </w:tblGrid>
      <w:tr w14:paraId="3DEB8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826" w:type="dxa"/>
            <w:vMerge w:val="restart"/>
            <w:tcBorders>
              <w:top w:val="single" w:color="auto" w:sz="4" w:space="0"/>
              <w:left w:val="single" w:color="auto" w:sz="4" w:space="0"/>
              <w:right w:val="single" w:color="auto" w:sz="4" w:space="0"/>
            </w:tcBorders>
            <w:noWrap w:val="0"/>
            <w:vAlign w:val="center"/>
          </w:tcPr>
          <w:p w14:paraId="6EAE3156">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序号</w:t>
            </w:r>
          </w:p>
        </w:tc>
        <w:tc>
          <w:tcPr>
            <w:tcW w:w="1743" w:type="dxa"/>
            <w:vMerge w:val="restart"/>
            <w:tcBorders>
              <w:top w:val="single" w:color="auto" w:sz="4" w:space="0"/>
              <w:left w:val="single" w:color="auto" w:sz="4" w:space="0"/>
              <w:right w:val="single" w:color="auto" w:sz="4" w:space="0"/>
            </w:tcBorders>
            <w:noWrap w:val="0"/>
            <w:vAlign w:val="center"/>
          </w:tcPr>
          <w:p w14:paraId="3A79B9B7">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场所</w:t>
            </w:r>
            <w:r>
              <w:rPr>
                <w:rFonts w:hint="eastAsia" w:ascii="Times New Roman" w:hAnsi="Times New Roman" w:eastAsia="宋体" w:cs="Times New Roman"/>
                <w:color w:val="auto"/>
                <w:sz w:val="21"/>
                <w:szCs w:val="21"/>
              </w:rPr>
              <w:t>（设备设施）</w:t>
            </w:r>
          </w:p>
        </w:tc>
        <w:tc>
          <w:tcPr>
            <w:tcW w:w="2160" w:type="dxa"/>
            <w:gridSpan w:val="4"/>
            <w:tcBorders>
              <w:top w:val="single" w:color="auto" w:sz="4" w:space="0"/>
              <w:left w:val="single" w:color="auto" w:sz="4" w:space="0"/>
              <w:bottom w:val="single" w:color="auto" w:sz="4" w:space="0"/>
              <w:right w:val="single" w:color="auto" w:sz="4" w:space="0"/>
            </w:tcBorders>
            <w:noWrap w:val="0"/>
            <w:vAlign w:val="center"/>
          </w:tcPr>
          <w:p w14:paraId="081570ED">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风险值D=L·E·C</w:t>
            </w:r>
          </w:p>
        </w:tc>
        <w:tc>
          <w:tcPr>
            <w:tcW w:w="2520" w:type="dxa"/>
            <w:vMerge w:val="restart"/>
            <w:tcBorders>
              <w:top w:val="single" w:color="auto" w:sz="4" w:space="0"/>
              <w:left w:val="single" w:color="auto" w:sz="4" w:space="0"/>
              <w:right w:val="single" w:color="auto" w:sz="4" w:space="0"/>
            </w:tcBorders>
            <w:noWrap w:val="0"/>
            <w:vAlign w:val="center"/>
          </w:tcPr>
          <w:p w14:paraId="64A0676A">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危险性程度</w:t>
            </w:r>
          </w:p>
        </w:tc>
        <w:tc>
          <w:tcPr>
            <w:tcW w:w="1275" w:type="dxa"/>
            <w:vMerge w:val="restart"/>
            <w:tcBorders>
              <w:top w:val="single" w:color="auto" w:sz="4" w:space="0"/>
              <w:left w:val="single" w:color="auto" w:sz="4" w:space="0"/>
              <w:right w:val="single" w:color="auto" w:sz="4" w:space="0"/>
            </w:tcBorders>
            <w:noWrap w:val="0"/>
            <w:vAlign w:val="center"/>
          </w:tcPr>
          <w:p w14:paraId="3A15370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影响范围</w:t>
            </w:r>
          </w:p>
        </w:tc>
      </w:tr>
      <w:tr w14:paraId="36AA4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826" w:type="dxa"/>
            <w:vMerge w:val="continue"/>
            <w:tcBorders>
              <w:left w:val="single" w:color="auto" w:sz="4" w:space="0"/>
              <w:bottom w:val="single" w:color="auto" w:sz="4" w:space="0"/>
              <w:right w:val="single" w:color="auto" w:sz="4" w:space="0"/>
            </w:tcBorders>
            <w:noWrap w:val="0"/>
            <w:vAlign w:val="center"/>
          </w:tcPr>
          <w:p w14:paraId="69A34365">
            <w:pPr>
              <w:spacing w:line="300" w:lineRule="exact"/>
              <w:ind w:firstLine="0" w:firstLineChars="0"/>
              <w:jc w:val="center"/>
              <w:rPr>
                <w:rFonts w:ascii="Times New Roman" w:hAnsi="Times New Roman" w:eastAsia="宋体" w:cs="Times New Roman"/>
                <w:color w:val="auto"/>
                <w:sz w:val="21"/>
                <w:szCs w:val="21"/>
              </w:rPr>
            </w:pPr>
          </w:p>
        </w:tc>
        <w:tc>
          <w:tcPr>
            <w:tcW w:w="1743" w:type="dxa"/>
            <w:vMerge w:val="continue"/>
            <w:tcBorders>
              <w:left w:val="single" w:color="auto" w:sz="4" w:space="0"/>
              <w:bottom w:val="single" w:color="auto" w:sz="4" w:space="0"/>
              <w:right w:val="single" w:color="auto" w:sz="4" w:space="0"/>
            </w:tcBorders>
            <w:noWrap w:val="0"/>
            <w:vAlign w:val="center"/>
          </w:tcPr>
          <w:p w14:paraId="6062F841">
            <w:pPr>
              <w:spacing w:line="300" w:lineRule="exact"/>
              <w:ind w:firstLine="0" w:firstLineChars="0"/>
              <w:jc w:val="center"/>
              <w:rPr>
                <w:rFonts w:ascii="Times New Roman" w:hAnsi="Times New Roman" w:eastAsia="宋体" w:cs="Times New Roman"/>
                <w:color w:val="auto"/>
                <w:sz w:val="21"/>
                <w:szCs w:val="21"/>
              </w:rPr>
            </w:pPr>
          </w:p>
        </w:tc>
        <w:tc>
          <w:tcPr>
            <w:tcW w:w="540" w:type="dxa"/>
            <w:tcBorders>
              <w:top w:val="single" w:color="auto" w:sz="4" w:space="0"/>
              <w:left w:val="single" w:color="auto" w:sz="4" w:space="0"/>
              <w:bottom w:val="single" w:color="auto" w:sz="4" w:space="0"/>
              <w:right w:val="single" w:color="auto" w:sz="4" w:space="0"/>
            </w:tcBorders>
            <w:noWrap w:val="0"/>
            <w:vAlign w:val="center"/>
          </w:tcPr>
          <w:p w14:paraId="24C76CB5">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L</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0D13B3CD">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E</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76AAF613">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C</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7BC67945">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D</w:t>
            </w:r>
          </w:p>
        </w:tc>
        <w:tc>
          <w:tcPr>
            <w:tcW w:w="2520" w:type="dxa"/>
            <w:vMerge w:val="continue"/>
            <w:tcBorders>
              <w:left w:val="single" w:color="auto" w:sz="4" w:space="0"/>
              <w:bottom w:val="single" w:color="auto" w:sz="4" w:space="0"/>
              <w:right w:val="single" w:color="auto" w:sz="4" w:space="0"/>
            </w:tcBorders>
            <w:noWrap w:val="0"/>
            <w:vAlign w:val="center"/>
          </w:tcPr>
          <w:p w14:paraId="1C89E525">
            <w:pPr>
              <w:spacing w:line="300" w:lineRule="exact"/>
              <w:ind w:firstLine="0" w:firstLineChars="0"/>
              <w:jc w:val="center"/>
              <w:rPr>
                <w:rFonts w:ascii="Times New Roman" w:hAnsi="Times New Roman" w:eastAsia="宋体" w:cs="Times New Roman"/>
                <w:color w:val="auto"/>
                <w:sz w:val="21"/>
                <w:szCs w:val="21"/>
              </w:rPr>
            </w:pPr>
          </w:p>
        </w:tc>
        <w:tc>
          <w:tcPr>
            <w:tcW w:w="1275" w:type="dxa"/>
            <w:vMerge w:val="continue"/>
            <w:tcBorders>
              <w:left w:val="single" w:color="auto" w:sz="4" w:space="0"/>
              <w:bottom w:val="single" w:color="auto" w:sz="4" w:space="0"/>
              <w:right w:val="single" w:color="auto" w:sz="4" w:space="0"/>
            </w:tcBorders>
            <w:noWrap w:val="0"/>
            <w:vAlign w:val="center"/>
          </w:tcPr>
          <w:p w14:paraId="1731D6FE">
            <w:pPr>
              <w:spacing w:line="300" w:lineRule="exact"/>
              <w:ind w:firstLine="0" w:firstLineChars="0"/>
              <w:jc w:val="center"/>
              <w:rPr>
                <w:rFonts w:ascii="Times New Roman" w:hAnsi="Times New Roman" w:eastAsia="宋体" w:cs="Times New Roman"/>
                <w:color w:val="auto"/>
                <w:sz w:val="21"/>
                <w:szCs w:val="21"/>
              </w:rPr>
            </w:pPr>
          </w:p>
        </w:tc>
      </w:tr>
      <w:tr w14:paraId="04C9F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82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57C451E">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174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CDC1AD6">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溃坝</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26F14DA">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8103640">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61D38E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40</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85C0BBA">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240</w:t>
            </w:r>
          </w:p>
        </w:tc>
        <w:tc>
          <w:tcPr>
            <w:tcW w:w="2520"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2ACA734A">
            <w:pPr>
              <w:spacing w:line="300" w:lineRule="exact"/>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二</w:t>
            </w:r>
            <w:r>
              <w:rPr>
                <w:rFonts w:ascii="Times New Roman" w:hAnsi="Times New Roman" w:eastAsia="宋体" w:cs="Times New Roman"/>
                <w:color w:val="auto"/>
                <w:sz w:val="21"/>
                <w:szCs w:val="21"/>
              </w:rPr>
              <w:t>级</w:t>
            </w:r>
          </w:p>
        </w:tc>
        <w:tc>
          <w:tcPr>
            <w:tcW w:w="1275" w:type="dxa"/>
            <w:tcBorders>
              <w:top w:val="single" w:color="auto" w:sz="4" w:space="0"/>
              <w:left w:val="single" w:color="auto" w:sz="4" w:space="0"/>
              <w:bottom w:val="single" w:color="auto" w:sz="4" w:space="0"/>
              <w:right w:val="single" w:color="auto" w:sz="4" w:space="0"/>
            </w:tcBorders>
            <w:noWrap w:val="0"/>
            <w:vAlign w:val="center"/>
          </w:tcPr>
          <w:p w14:paraId="544BF77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库下游</w:t>
            </w:r>
          </w:p>
        </w:tc>
      </w:tr>
    </w:tbl>
    <w:p w14:paraId="1834226A">
      <w:pPr>
        <w:bidi w:val="0"/>
        <w:rPr>
          <w:rFonts w:hint="default"/>
          <w:color w:val="auto"/>
          <w:lang w:val="en-US" w:eastAsia="zh-CN"/>
        </w:rPr>
      </w:pPr>
      <w:r>
        <w:rPr>
          <w:rFonts w:hint="default"/>
          <w:color w:val="auto"/>
          <w:lang w:val="en-US" w:eastAsia="zh-CN"/>
        </w:rPr>
        <w:t>（3）淹溺</w:t>
      </w:r>
    </w:p>
    <w:p w14:paraId="211B2F79">
      <w:pPr>
        <w:bidi w:val="0"/>
        <w:rPr>
          <w:rFonts w:hint="default"/>
          <w:color w:val="auto"/>
          <w:lang w:val="en-US" w:eastAsia="zh-CN"/>
        </w:rPr>
      </w:pPr>
      <w:r>
        <w:rPr>
          <w:rFonts w:hint="default"/>
          <w:color w:val="auto"/>
          <w:lang w:val="en-US" w:eastAsia="zh-CN"/>
        </w:rPr>
        <w:t>事故或危险事件发生可能性分值L，取1；</w:t>
      </w:r>
    </w:p>
    <w:p w14:paraId="44C8353F">
      <w:pPr>
        <w:bidi w:val="0"/>
        <w:rPr>
          <w:rFonts w:hint="default"/>
          <w:color w:val="auto"/>
          <w:lang w:val="en-US" w:eastAsia="zh-CN"/>
        </w:rPr>
      </w:pPr>
      <w:r>
        <w:rPr>
          <w:rFonts w:hint="default"/>
          <w:color w:val="auto"/>
          <w:lang w:val="en-US" w:eastAsia="zh-CN"/>
        </w:rPr>
        <w:t>暴露于危险环境的频率分值E，取3；</w:t>
      </w:r>
    </w:p>
    <w:p w14:paraId="7ADD838E">
      <w:pPr>
        <w:bidi w:val="0"/>
        <w:rPr>
          <w:rFonts w:hint="default"/>
          <w:color w:val="auto"/>
          <w:lang w:val="en-US" w:eastAsia="zh-CN"/>
        </w:rPr>
      </w:pPr>
      <w:r>
        <w:rPr>
          <w:rFonts w:hint="default"/>
          <w:color w:val="auto"/>
          <w:lang w:val="en-US" w:eastAsia="zh-CN"/>
        </w:rPr>
        <w:t>发生事故或危险事件可能结果分值C，取15。</w:t>
      </w:r>
    </w:p>
    <w:p w14:paraId="3FAFE057">
      <w:pPr>
        <w:bidi w:val="0"/>
        <w:rPr>
          <w:rFonts w:hint="default"/>
          <w:color w:val="auto"/>
          <w:lang w:val="en-US" w:eastAsia="zh-CN"/>
        </w:rPr>
      </w:pPr>
      <w:r>
        <w:rPr>
          <w:rFonts w:hint="default"/>
          <w:color w:val="auto"/>
          <w:lang w:val="en-US" w:eastAsia="zh-CN"/>
        </w:rPr>
        <w:t>作业条件的危险性D=1×3×15=45，属于轻度危险，需要定期检查。</w:t>
      </w:r>
    </w:p>
    <w:tbl>
      <w:tblPr>
        <w:tblStyle w:val="19"/>
        <w:tblW w:w="85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6"/>
        <w:gridCol w:w="1743"/>
        <w:gridCol w:w="720"/>
        <w:gridCol w:w="720"/>
        <w:gridCol w:w="720"/>
        <w:gridCol w:w="720"/>
        <w:gridCol w:w="1980"/>
        <w:gridCol w:w="1095"/>
      </w:tblGrid>
      <w:tr w14:paraId="457C6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826" w:type="dxa"/>
            <w:vMerge w:val="restart"/>
            <w:tcBorders>
              <w:top w:val="single" w:color="auto" w:sz="4" w:space="0"/>
              <w:left w:val="single" w:color="auto" w:sz="4" w:space="0"/>
              <w:right w:val="single" w:color="auto" w:sz="4" w:space="0"/>
            </w:tcBorders>
            <w:noWrap w:val="0"/>
            <w:vAlign w:val="center"/>
          </w:tcPr>
          <w:p w14:paraId="2EAB8FE2">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序号</w:t>
            </w:r>
          </w:p>
        </w:tc>
        <w:tc>
          <w:tcPr>
            <w:tcW w:w="1743" w:type="dxa"/>
            <w:vMerge w:val="restart"/>
            <w:tcBorders>
              <w:top w:val="single" w:color="auto" w:sz="4" w:space="0"/>
              <w:left w:val="single" w:color="auto" w:sz="4" w:space="0"/>
              <w:right w:val="single" w:color="auto" w:sz="4" w:space="0"/>
            </w:tcBorders>
            <w:noWrap w:val="0"/>
            <w:vAlign w:val="center"/>
          </w:tcPr>
          <w:p w14:paraId="3ADE206D">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场所</w:t>
            </w:r>
            <w:r>
              <w:rPr>
                <w:rFonts w:hint="eastAsia" w:ascii="Times New Roman" w:hAnsi="Times New Roman" w:eastAsia="宋体" w:cs="Times New Roman"/>
                <w:color w:val="auto"/>
                <w:sz w:val="21"/>
                <w:szCs w:val="21"/>
              </w:rPr>
              <w:t>（设备设施）</w:t>
            </w:r>
          </w:p>
        </w:tc>
        <w:tc>
          <w:tcPr>
            <w:tcW w:w="2880" w:type="dxa"/>
            <w:gridSpan w:val="4"/>
            <w:tcBorders>
              <w:top w:val="single" w:color="auto" w:sz="4" w:space="0"/>
              <w:left w:val="single" w:color="auto" w:sz="4" w:space="0"/>
              <w:bottom w:val="single" w:color="auto" w:sz="4" w:space="0"/>
              <w:right w:val="single" w:color="auto" w:sz="4" w:space="0"/>
            </w:tcBorders>
            <w:noWrap w:val="0"/>
            <w:vAlign w:val="center"/>
          </w:tcPr>
          <w:p w14:paraId="1DAA7F52">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风险值D=L·E·C</w:t>
            </w:r>
          </w:p>
        </w:tc>
        <w:tc>
          <w:tcPr>
            <w:tcW w:w="1980" w:type="dxa"/>
            <w:vMerge w:val="restart"/>
            <w:tcBorders>
              <w:top w:val="single" w:color="auto" w:sz="4" w:space="0"/>
              <w:left w:val="single" w:color="auto" w:sz="4" w:space="0"/>
              <w:right w:val="single" w:color="auto" w:sz="4" w:space="0"/>
            </w:tcBorders>
            <w:noWrap w:val="0"/>
            <w:vAlign w:val="center"/>
          </w:tcPr>
          <w:p w14:paraId="05AED87A">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危险性程度</w:t>
            </w:r>
          </w:p>
        </w:tc>
        <w:tc>
          <w:tcPr>
            <w:tcW w:w="1095" w:type="dxa"/>
            <w:vMerge w:val="restart"/>
            <w:tcBorders>
              <w:top w:val="single" w:color="auto" w:sz="4" w:space="0"/>
              <w:left w:val="single" w:color="auto" w:sz="4" w:space="0"/>
              <w:right w:val="single" w:color="auto" w:sz="4" w:space="0"/>
            </w:tcBorders>
            <w:noWrap w:val="0"/>
            <w:vAlign w:val="center"/>
          </w:tcPr>
          <w:p w14:paraId="080C3BCA">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影响范围</w:t>
            </w:r>
          </w:p>
        </w:tc>
      </w:tr>
      <w:tr w14:paraId="53D7E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826" w:type="dxa"/>
            <w:vMerge w:val="continue"/>
            <w:tcBorders>
              <w:left w:val="single" w:color="auto" w:sz="4" w:space="0"/>
              <w:bottom w:val="single" w:color="auto" w:sz="4" w:space="0"/>
              <w:right w:val="single" w:color="auto" w:sz="4" w:space="0"/>
            </w:tcBorders>
            <w:noWrap w:val="0"/>
            <w:vAlign w:val="center"/>
          </w:tcPr>
          <w:p w14:paraId="6A10896C">
            <w:pPr>
              <w:spacing w:line="300" w:lineRule="exact"/>
              <w:ind w:firstLine="0" w:firstLineChars="0"/>
              <w:jc w:val="center"/>
              <w:rPr>
                <w:rFonts w:ascii="Times New Roman" w:hAnsi="Times New Roman" w:eastAsia="宋体" w:cs="Times New Roman"/>
                <w:color w:val="auto"/>
                <w:sz w:val="21"/>
                <w:szCs w:val="21"/>
              </w:rPr>
            </w:pPr>
          </w:p>
        </w:tc>
        <w:tc>
          <w:tcPr>
            <w:tcW w:w="1743" w:type="dxa"/>
            <w:vMerge w:val="continue"/>
            <w:tcBorders>
              <w:left w:val="single" w:color="auto" w:sz="4" w:space="0"/>
              <w:bottom w:val="single" w:color="auto" w:sz="4" w:space="0"/>
              <w:right w:val="single" w:color="auto" w:sz="4" w:space="0"/>
            </w:tcBorders>
            <w:noWrap w:val="0"/>
            <w:vAlign w:val="center"/>
          </w:tcPr>
          <w:p w14:paraId="5D1F7D2E">
            <w:pPr>
              <w:spacing w:line="300" w:lineRule="exact"/>
              <w:ind w:firstLine="0" w:firstLineChars="0"/>
              <w:jc w:val="center"/>
              <w:rPr>
                <w:rFonts w:ascii="Times New Roman" w:hAnsi="Times New Roman" w:eastAsia="宋体" w:cs="Times New Roman"/>
                <w:color w:val="auto"/>
                <w:sz w:val="21"/>
                <w:szCs w:val="21"/>
              </w:rPr>
            </w:pPr>
          </w:p>
        </w:tc>
        <w:tc>
          <w:tcPr>
            <w:tcW w:w="720" w:type="dxa"/>
            <w:tcBorders>
              <w:top w:val="single" w:color="auto" w:sz="4" w:space="0"/>
              <w:left w:val="single" w:color="auto" w:sz="4" w:space="0"/>
              <w:bottom w:val="single" w:color="auto" w:sz="4" w:space="0"/>
              <w:right w:val="single" w:color="auto" w:sz="4" w:space="0"/>
            </w:tcBorders>
            <w:noWrap w:val="0"/>
            <w:vAlign w:val="center"/>
          </w:tcPr>
          <w:p w14:paraId="78433959">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L</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045864C2">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E</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74D2F626">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C</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7D877D93">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D</w:t>
            </w:r>
          </w:p>
        </w:tc>
        <w:tc>
          <w:tcPr>
            <w:tcW w:w="1980" w:type="dxa"/>
            <w:vMerge w:val="continue"/>
            <w:tcBorders>
              <w:left w:val="single" w:color="auto" w:sz="4" w:space="0"/>
              <w:bottom w:val="single" w:color="auto" w:sz="4" w:space="0"/>
              <w:right w:val="single" w:color="auto" w:sz="4" w:space="0"/>
            </w:tcBorders>
            <w:noWrap w:val="0"/>
            <w:vAlign w:val="center"/>
          </w:tcPr>
          <w:p w14:paraId="188108F3">
            <w:pPr>
              <w:spacing w:line="300" w:lineRule="exact"/>
              <w:ind w:firstLine="0" w:firstLineChars="0"/>
              <w:jc w:val="center"/>
              <w:rPr>
                <w:rFonts w:ascii="Times New Roman" w:hAnsi="Times New Roman" w:eastAsia="宋体" w:cs="Times New Roman"/>
                <w:color w:val="auto"/>
                <w:sz w:val="21"/>
                <w:szCs w:val="21"/>
              </w:rPr>
            </w:pPr>
          </w:p>
        </w:tc>
        <w:tc>
          <w:tcPr>
            <w:tcW w:w="1095" w:type="dxa"/>
            <w:vMerge w:val="continue"/>
            <w:tcBorders>
              <w:left w:val="single" w:color="auto" w:sz="4" w:space="0"/>
              <w:bottom w:val="single" w:color="auto" w:sz="4" w:space="0"/>
              <w:right w:val="single" w:color="auto" w:sz="4" w:space="0"/>
            </w:tcBorders>
            <w:noWrap w:val="0"/>
            <w:vAlign w:val="center"/>
          </w:tcPr>
          <w:p w14:paraId="6F70B4B5">
            <w:pPr>
              <w:spacing w:line="300" w:lineRule="exact"/>
              <w:ind w:firstLine="0" w:firstLineChars="0"/>
              <w:jc w:val="center"/>
              <w:rPr>
                <w:rFonts w:ascii="Times New Roman" w:hAnsi="Times New Roman" w:eastAsia="宋体" w:cs="Times New Roman"/>
                <w:color w:val="auto"/>
                <w:sz w:val="21"/>
                <w:szCs w:val="21"/>
              </w:rPr>
            </w:pPr>
          </w:p>
        </w:tc>
      </w:tr>
      <w:tr w14:paraId="61E61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82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00370D">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174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5FBC6DB">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淹溺</w:t>
            </w:r>
          </w:p>
        </w:tc>
        <w:tc>
          <w:tcPr>
            <w:tcW w:w="7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DEC51C0">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7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251C6D">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7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7A9A7FF">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15</w:t>
            </w:r>
          </w:p>
        </w:tc>
        <w:tc>
          <w:tcPr>
            <w:tcW w:w="7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3F5792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45</w:t>
            </w:r>
          </w:p>
        </w:tc>
        <w:tc>
          <w:tcPr>
            <w:tcW w:w="198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1B2BB672">
            <w:pPr>
              <w:spacing w:line="300" w:lineRule="exact"/>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四</w:t>
            </w:r>
            <w:r>
              <w:rPr>
                <w:rFonts w:ascii="Times New Roman" w:hAnsi="Times New Roman" w:eastAsia="宋体" w:cs="Times New Roman"/>
                <w:color w:val="auto"/>
                <w:sz w:val="21"/>
                <w:szCs w:val="21"/>
              </w:rPr>
              <w:t>级</w:t>
            </w:r>
          </w:p>
        </w:tc>
        <w:tc>
          <w:tcPr>
            <w:tcW w:w="1095" w:type="dxa"/>
            <w:tcBorders>
              <w:top w:val="single" w:color="auto" w:sz="4" w:space="0"/>
              <w:left w:val="single" w:color="auto" w:sz="4" w:space="0"/>
              <w:bottom w:val="single" w:color="auto" w:sz="4" w:space="0"/>
              <w:right w:val="single" w:color="auto" w:sz="4" w:space="0"/>
            </w:tcBorders>
            <w:noWrap w:val="0"/>
            <w:vAlign w:val="center"/>
          </w:tcPr>
          <w:p w14:paraId="215AAF4B">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个别员工</w:t>
            </w:r>
          </w:p>
        </w:tc>
      </w:tr>
    </w:tbl>
    <w:p w14:paraId="4576C032">
      <w:pPr>
        <w:bidi w:val="0"/>
        <w:rPr>
          <w:rFonts w:hint="default"/>
          <w:color w:val="auto"/>
          <w:lang w:val="en-US" w:eastAsia="zh-CN"/>
        </w:rPr>
      </w:pPr>
      <w:r>
        <w:rPr>
          <w:rFonts w:hint="default"/>
          <w:color w:val="auto"/>
          <w:lang w:val="en-US" w:eastAsia="zh-CN"/>
        </w:rPr>
        <w:t>七、尾矿库运行工艺事故（事件）</w:t>
      </w:r>
    </w:p>
    <w:p w14:paraId="0CEACEC1">
      <w:pPr>
        <w:bidi w:val="0"/>
        <w:rPr>
          <w:rFonts w:hint="default"/>
          <w:color w:val="auto"/>
          <w:lang w:val="en-US" w:eastAsia="zh-CN"/>
        </w:rPr>
      </w:pPr>
      <w:r>
        <w:rPr>
          <w:rFonts w:hint="default"/>
          <w:color w:val="auto"/>
          <w:lang w:val="en-US" w:eastAsia="zh-CN"/>
        </w:rPr>
        <w:t>7.1</w:t>
      </w:r>
      <w:r>
        <w:rPr>
          <w:rFonts w:hint="eastAsia"/>
          <w:color w:val="auto"/>
          <w:lang w:val="en-US" w:eastAsia="zh-CN"/>
        </w:rPr>
        <w:t xml:space="preserve"> </w:t>
      </w:r>
      <w:r>
        <w:rPr>
          <w:rFonts w:hint="default"/>
          <w:color w:val="auto"/>
          <w:lang w:val="en-US" w:eastAsia="zh-CN"/>
        </w:rPr>
        <w:t>筑坝/放矿不当危害</w:t>
      </w:r>
    </w:p>
    <w:p w14:paraId="6194090B">
      <w:pPr>
        <w:bidi w:val="0"/>
        <w:rPr>
          <w:rFonts w:hint="default"/>
          <w:color w:val="auto"/>
          <w:lang w:val="en-US" w:eastAsia="zh-CN"/>
        </w:rPr>
      </w:pPr>
      <w:r>
        <w:rPr>
          <w:rFonts w:hint="default"/>
          <w:color w:val="auto"/>
          <w:lang w:val="en-US" w:eastAsia="zh-CN"/>
        </w:rPr>
        <w:t>放矿不当导致尾矿堆积坝滩顶高程不一致，或碾压压实度不符合设计要求，或滩面坡度（坡向）不符合设计要求，以至于坝体稳定性分析差，可能坝体垮塌，或排水不畅，可能坝体浸润线偏高，影响坝体稳定性。</w:t>
      </w:r>
    </w:p>
    <w:tbl>
      <w:tblPr>
        <w:tblStyle w:val="19"/>
        <w:tblpPr w:leftFromText="180" w:rightFromText="180" w:vertAnchor="text" w:horzAnchor="margin" w:tblpX="108" w:tblpY="313"/>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8"/>
        <w:gridCol w:w="1080"/>
        <w:gridCol w:w="1333"/>
        <w:gridCol w:w="1007"/>
        <w:gridCol w:w="540"/>
        <w:gridCol w:w="540"/>
        <w:gridCol w:w="636"/>
        <w:gridCol w:w="624"/>
        <w:gridCol w:w="1440"/>
        <w:gridCol w:w="1260"/>
      </w:tblGrid>
      <w:tr w14:paraId="4314C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468" w:type="dxa"/>
            <w:vMerge w:val="restart"/>
            <w:tcBorders>
              <w:top w:val="single" w:color="auto" w:sz="4" w:space="0"/>
              <w:left w:val="single" w:color="auto" w:sz="4" w:space="0"/>
              <w:right w:val="single" w:color="auto" w:sz="4" w:space="0"/>
            </w:tcBorders>
            <w:noWrap w:val="0"/>
            <w:vAlign w:val="center"/>
          </w:tcPr>
          <w:p w14:paraId="529FD31D">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序号</w:t>
            </w:r>
          </w:p>
        </w:tc>
        <w:tc>
          <w:tcPr>
            <w:tcW w:w="1080" w:type="dxa"/>
            <w:vMerge w:val="restart"/>
            <w:tcBorders>
              <w:top w:val="single" w:color="auto" w:sz="4" w:space="0"/>
              <w:left w:val="single" w:color="auto" w:sz="4" w:space="0"/>
              <w:right w:val="single" w:color="auto" w:sz="4" w:space="0"/>
            </w:tcBorders>
            <w:noWrap w:val="0"/>
            <w:vAlign w:val="center"/>
          </w:tcPr>
          <w:p w14:paraId="3B0BE861">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作业活动/工序</w:t>
            </w:r>
          </w:p>
        </w:tc>
        <w:tc>
          <w:tcPr>
            <w:tcW w:w="1333" w:type="dxa"/>
            <w:vMerge w:val="restart"/>
            <w:tcBorders>
              <w:top w:val="single" w:color="auto" w:sz="4" w:space="0"/>
              <w:left w:val="single" w:color="auto" w:sz="4" w:space="0"/>
              <w:right w:val="single" w:color="auto" w:sz="4" w:space="0"/>
            </w:tcBorders>
            <w:noWrap w:val="0"/>
            <w:vAlign w:val="center"/>
          </w:tcPr>
          <w:p w14:paraId="0C1CABE6">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危险源</w:t>
            </w:r>
          </w:p>
          <w:p w14:paraId="744BA6F6">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及风险</w:t>
            </w:r>
          </w:p>
        </w:tc>
        <w:tc>
          <w:tcPr>
            <w:tcW w:w="1007" w:type="dxa"/>
            <w:vMerge w:val="restart"/>
            <w:tcBorders>
              <w:top w:val="single" w:color="auto" w:sz="4" w:space="0"/>
              <w:left w:val="single" w:color="auto" w:sz="4" w:space="0"/>
              <w:right w:val="single" w:color="auto" w:sz="4" w:space="0"/>
            </w:tcBorders>
            <w:noWrap w:val="0"/>
            <w:vAlign w:val="center"/>
          </w:tcPr>
          <w:p w14:paraId="16B3B5F2">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可能后果</w:t>
            </w:r>
          </w:p>
        </w:tc>
        <w:tc>
          <w:tcPr>
            <w:tcW w:w="2340" w:type="dxa"/>
            <w:gridSpan w:val="4"/>
            <w:tcBorders>
              <w:top w:val="single" w:color="auto" w:sz="4" w:space="0"/>
              <w:left w:val="single" w:color="auto" w:sz="4" w:space="0"/>
              <w:bottom w:val="single" w:color="auto" w:sz="4" w:space="0"/>
              <w:right w:val="single" w:color="auto" w:sz="4" w:space="0"/>
            </w:tcBorders>
            <w:noWrap w:val="0"/>
            <w:vAlign w:val="center"/>
          </w:tcPr>
          <w:p w14:paraId="16AEE119">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风险值D=L·E·C</w:t>
            </w:r>
          </w:p>
        </w:tc>
        <w:tc>
          <w:tcPr>
            <w:tcW w:w="1440" w:type="dxa"/>
            <w:vMerge w:val="restart"/>
            <w:tcBorders>
              <w:top w:val="single" w:color="auto" w:sz="4" w:space="0"/>
              <w:left w:val="single" w:color="auto" w:sz="4" w:space="0"/>
              <w:right w:val="single" w:color="auto" w:sz="4" w:space="0"/>
            </w:tcBorders>
            <w:noWrap w:val="0"/>
            <w:vAlign w:val="center"/>
          </w:tcPr>
          <w:p w14:paraId="3BD920DB">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危险性程度（风险等级）</w:t>
            </w:r>
          </w:p>
        </w:tc>
        <w:tc>
          <w:tcPr>
            <w:tcW w:w="1260" w:type="dxa"/>
            <w:vMerge w:val="restart"/>
            <w:tcBorders>
              <w:top w:val="single" w:color="auto" w:sz="4" w:space="0"/>
              <w:left w:val="single" w:color="auto" w:sz="4" w:space="0"/>
              <w:right w:val="single" w:color="auto" w:sz="4" w:space="0"/>
            </w:tcBorders>
            <w:noWrap w:val="0"/>
            <w:vAlign w:val="center"/>
          </w:tcPr>
          <w:p w14:paraId="6F6F0344">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影响范围</w:t>
            </w:r>
          </w:p>
        </w:tc>
      </w:tr>
      <w:tr w14:paraId="5978B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468" w:type="dxa"/>
            <w:vMerge w:val="continue"/>
            <w:tcBorders>
              <w:left w:val="single" w:color="auto" w:sz="4" w:space="0"/>
              <w:bottom w:val="single" w:color="auto" w:sz="4" w:space="0"/>
              <w:right w:val="single" w:color="auto" w:sz="4" w:space="0"/>
            </w:tcBorders>
            <w:noWrap w:val="0"/>
            <w:vAlign w:val="center"/>
          </w:tcPr>
          <w:p w14:paraId="56E32E51">
            <w:pPr>
              <w:spacing w:line="300" w:lineRule="exact"/>
              <w:ind w:firstLine="0" w:firstLineChars="0"/>
              <w:jc w:val="center"/>
              <w:rPr>
                <w:rFonts w:ascii="Times New Roman" w:hAnsi="Times New Roman" w:eastAsia="宋体" w:cs="Times New Roman"/>
                <w:color w:val="auto"/>
                <w:sz w:val="21"/>
                <w:szCs w:val="21"/>
              </w:rPr>
            </w:pPr>
          </w:p>
        </w:tc>
        <w:tc>
          <w:tcPr>
            <w:tcW w:w="1080" w:type="dxa"/>
            <w:vMerge w:val="continue"/>
            <w:tcBorders>
              <w:left w:val="single" w:color="auto" w:sz="4" w:space="0"/>
              <w:bottom w:val="single" w:color="auto" w:sz="4" w:space="0"/>
              <w:right w:val="single" w:color="auto" w:sz="4" w:space="0"/>
            </w:tcBorders>
            <w:noWrap w:val="0"/>
            <w:vAlign w:val="center"/>
          </w:tcPr>
          <w:p w14:paraId="542D1A3F">
            <w:pPr>
              <w:spacing w:line="300" w:lineRule="exact"/>
              <w:ind w:firstLine="0" w:firstLineChars="0"/>
              <w:jc w:val="center"/>
              <w:rPr>
                <w:rFonts w:ascii="Times New Roman" w:hAnsi="Times New Roman" w:eastAsia="宋体" w:cs="Times New Roman"/>
                <w:color w:val="auto"/>
                <w:sz w:val="21"/>
                <w:szCs w:val="21"/>
              </w:rPr>
            </w:pPr>
          </w:p>
        </w:tc>
        <w:tc>
          <w:tcPr>
            <w:tcW w:w="1333" w:type="dxa"/>
            <w:vMerge w:val="continue"/>
            <w:tcBorders>
              <w:left w:val="single" w:color="auto" w:sz="4" w:space="0"/>
              <w:bottom w:val="single" w:color="auto" w:sz="4" w:space="0"/>
              <w:right w:val="single" w:color="auto" w:sz="4" w:space="0"/>
            </w:tcBorders>
            <w:noWrap w:val="0"/>
            <w:vAlign w:val="center"/>
          </w:tcPr>
          <w:p w14:paraId="64AE009D">
            <w:pPr>
              <w:spacing w:line="300" w:lineRule="exact"/>
              <w:ind w:firstLine="0" w:firstLineChars="0"/>
              <w:jc w:val="center"/>
              <w:rPr>
                <w:rFonts w:ascii="Times New Roman" w:hAnsi="Times New Roman" w:eastAsia="宋体" w:cs="Times New Roman"/>
                <w:color w:val="auto"/>
                <w:sz w:val="21"/>
                <w:szCs w:val="21"/>
              </w:rPr>
            </w:pPr>
          </w:p>
        </w:tc>
        <w:tc>
          <w:tcPr>
            <w:tcW w:w="1007" w:type="dxa"/>
            <w:vMerge w:val="continue"/>
            <w:tcBorders>
              <w:left w:val="single" w:color="auto" w:sz="4" w:space="0"/>
              <w:bottom w:val="single" w:color="auto" w:sz="4" w:space="0"/>
              <w:right w:val="single" w:color="auto" w:sz="4" w:space="0"/>
            </w:tcBorders>
            <w:noWrap w:val="0"/>
            <w:vAlign w:val="center"/>
          </w:tcPr>
          <w:p w14:paraId="3B72CE15">
            <w:pPr>
              <w:spacing w:line="300" w:lineRule="exact"/>
              <w:ind w:firstLine="0" w:firstLineChars="0"/>
              <w:jc w:val="center"/>
              <w:rPr>
                <w:rFonts w:ascii="Times New Roman" w:hAnsi="Times New Roman" w:eastAsia="宋体" w:cs="Times New Roman"/>
                <w:color w:val="auto"/>
                <w:sz w:val="21"/>
                <w:szCs w:val="21"/>
              </w:rPr>
            </w:pPr>
          </w:p>
        </w:tc>
        <w:tc>
          <w:tcPr>
            <w:tcW w:w="540" w:type="dxa"/>
            <w:tcBorders>
              <w:top w:val="single" w:color="auto" w:sz="4" w:space="0"/>
              <w:left w:val="single" w:color="auto" w:sz="4" w:space="0"/>
              <w:bottom w:val="single" w:color="auto" w:sz="4" w:space="0"/>
              <w:right w:val="single" w:color="auto" w:sz="4" w:space="0"/>
            </w:tcBorders>
            <w:noWrap w:val="0"/>
            <w:vAlign w:val="center"/>
          </w:tcPr>
          <w:p w14:paraId="3975201E">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L</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7054FF1E">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E</w:t>
            </w:r>
          </w:p>
        </w:tc>
        <w:tc>
          <w:tcPr>
            <w:tcW w:w="636" w:type="dxa"/>
            <w:tcBorders>
              <w:top w:val="single" w:color="auto" w:sz="4" w:space="0"/>
              <w:left w:val="single" w:color="auto" w:sz="4" w:space="0"/>
              <w:bottom w:val="single" w:color="auto" w:sz="4" w:space="0"/>
              <w:right w:val="single" w:color="auto" w:sz="4" w:space="0"/>
            </w:tcBorders>
            <w:noWrap w:val="0"/>
            <w:vAlign w:val="center"/>
          </w:tcPr>
          <w:p w14:paraId="4E738AFB">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C</w:t>
            </w:r>
          </w:p>
        </w:tc>
        <w:tc>
          <w:tcPr>
            <w:tcW w:w="624" w:type="dxa"/>
            <w:tcBorders>
              <w:top w:val="single" w:color="auto" w:sz="4" w:space="0"/>
              <w:left w:val="single" w:color="auto" w:sz="4" w:space="0"/>
              <w:bottom w:val="single" w:color="auto" w:sz="4" w:space="0"/>
              <w:right w:val="single" w:color="auto" w:sz="4" w:space="0"/>
            </w:tcBorders>
            <w:noWrap w:val="0"/>
            <w:vAlign w:val="center"/>
          </w:tcPr>
          <w:p w14:paraId="6BEDFF45">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D</w:t>
            </w:r>
          </w:p>
        </w:tc>
        <w:tc>
          <w:tcPr>
            <w:tcW w:w="1440" w:type="dxa"/>
            <w:vMerge w:val="continue"/>
            <w:tcBorders>
              <w:left w:val="single" w:color="auto" w:sz="4" w:space="0"/>
              <w:bottom w:val="single" w:color="auto" w:sz="4" w:space="0"/>
              <w:right w:val="single" w:color="auto" w:sz="4" w:space="0"/>
            </w:tcBorders>
            <w:noWrap w:val="0"/>
            <w:vAlign w:val="center"/>
          </w:tcPr>
          <w:p w14:paraId="5496C87C">
            <w:pPr>
              <w:spacing w:line="300" w:lineRule="exact"/>
              <w:ind w:firstLine="0" w:firstLineChars="0"/>
              <w:jc w:val="center"/>
              <w:rPr>
                <w:rFonts w:ascii="Times New Roman" w:hAnsi="Times New Roman" w:eastAsia="宋体" w:cs="Times New Roman"/>
                <w:color w:val="auto"/>
                <w:sz w:val="21"/>
                <w:szCs w:val="21"/>
              </w:rPr>
            </w:pPr>
          </w:p>
        </w:tc>
        <w:tc>
          <w:tcPr>
            <w:tcW w:w="1260" w:type="dxa"/>
            <w:vMerge w:val="continue"/>
            <w:tcBorders>
              <w:left w:val="single" w:color="auto" w:sz="4" w:space="0"/>
              <w:bottom w:val="single" w:color="auto" w:sz="4" w:space="0"/>
              <w:right w:val="single" w:color="auto" w:sz="4" w:space="0"/>
            </w:tcBorders>
            <w:noWrap w:val="0"/>
            <w:vAlign w:val="center"/>
          </w:tcPr>
          <w:p w14:paraId="014DC3FC">
            <w:pPr>
              <w:spacing w:line="300" w:lineRule="exact"/>
              <w:ind w:firstLine="0" w:firstLineChars="0"/>
              <w:jc w:val="center"/>
              <w:rPr>
                <w:rFonts w:ascii="Times New Roman" w:hAnsi="Times New Roman" w:eastAsia="宋体" w:cs="Times New Roman"/>
                <w:color w:val="auto"/>
                <w:sz w:val="21"/>
                <w:szCs w:val="21"/>
              </w:rPr>
            </w:pPr>
          </w:p>
        </w:tc>
      </w:tr>
      <w:tr w14:paraId="26851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B43F1D">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1080" w:type="dxa"/>
            <w:vMerge w:val="restart"/>
            <w:tcBorders>
              <w:top w:val="single" w:color="auto" w:sz="4" w:space="0"/>
              <w:left w:val="single" w:color="auto" w:sz="4" w:space="0"/>
              <w:right w:val="single" w:color="auto" w:sz="4" w:space="0"/>
            </w:tcBorders>
            <w:shd w:val="clear" w:color="auto" w:fill="auto"/>
            <w:noWrap w:val="0"/>
            <w:vAlign w:val="center"/>
          </w:tcPr>
          <w:p w14:paraId="4F5956BF">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筑坝</w:t>
            </w:r>
          </w:p>
          <w:p w14:paraId="418B24F1">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/放矿</w:t>
            </w:r>
          </w:p>
        </w:tc>
        <w:tc>
          <w:tcPr>
            <w:tcW w:w="133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DABA52">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无尾矿工资格证书</w:t>
            </w:r>
          </w:p>
        </w:tc>
        <w:tc>
          <w:tcPr>
            <w:tcW w:w="100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40D2C6">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违规操作</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217C476">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F46A275">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w:t>
            </w:r>
          </w:p>
        </w:tc>
        <w:tc>
          <w:tcPr>
            <w:tcW w:w="6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FD19747">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7</w:t>
            </w:r>
          </w:p>
        </w:tc>
        <w:tc>
          <w:tcPr>
            <w:tcW w:w="62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EEDA73B">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42</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2552D485">
            <w:pPr>
              <w:spacing w:line="300" w:lineRule="exact"/>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四</w:t>
            </w:r>
            <w:r>
              <w:rPr>
                <w:rFonts w:ascii="Times New Roman" w:hAnsi="Times New Roman" w:eastAsia="宋体" w:cs="Times New Roman"/>
                <w:color w:val="auto"/>
                <w:sz w:val="21"/>
                <w:szCs w:val="21"/>
              </w:rPr>
              <w:t>级</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576861C2">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尾矿坝</w:t>
            </w:r>
          </w:p>
        </w:tc>
      </w:tr>
      <w:tr w14:paraId="2A7FE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3C40748">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1080" w:type="dxa"/>
            <w:vMerge w:val="continue"/>
            <w:tcBorders>
              <w:left w:val="single" w:color="auto" w:sz="4" w:space="0"/>
              <w:right w:val="single" w:color="auto" w:sz="4" w:space="0"/>
            </w:tcBorders>
            <w:shd w:val="clear" w:color="auto" w:fill="auto"/>
            <w:noWrap w:val="0"/>
            <w:vAlign w:val="center"/>
          </w:tcPr>
          <w:p w14:paraId="59E233ED">
            <w:pPr>
              <w:spacing w:line="300" w:lineRule="exact"/>
              <w:ind w:firstLine="0" w:firstLineChars="0"/>
              <w:jc w:val="center"/>
              <w:rPr>
                <w:rFonts w:hint="eastAsia" w:ascii="Times New Roman" w:hAnsi="Times New Roman" w:eastAsia="宋体" w:cs="Times New Roman"/>
                <w:color w:val="auto"/>
                <w:sz w:val="21"/>
                <w:szCs w:val="21"/>
              </w:rPr>
            </w:pPr>
          </w:p>
        </w:tc>
        <w:tc>
          <w:tcPr>
            <w:tcW w:w="133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3CA95D5">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未经相关安全培训</w:t>
            </w:r>
          </w:p>
        </w:tc>
        <w:tc>
          <w:tcPr>
            <w:tcW w:w="100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6229657">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违规操作</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8391C5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AB531E0">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w:t>
            </w:r>
          </w:p>
        </w:tc>
        <w:tc>
          <w:tcPr>
            <w:tcW w:w="6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64FDC9E">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7</w:t>
            </w:r>
          </w:p>
        </w:tc>
        <w:tc>
          <w:tcPr>
            <w:tcW w:w="62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741A9D">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42</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79EA1882">
            <w:pPr>
              <w:spacing w:line="300" w:lineRule="exact"/>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四</w:t>
            </w:r>
            <w:r>
              <w:rPr>
                <w:rFonts w:ascii="Times New Roman" w:hAnsi="Times New Roman" w:eastAsia="宋体" w:cs="Times New Roman"/>
                <w:color w:val="auto"/>
                <w:sz w:val="21"/>
                <w:szCs w:val="21"/>
              </w:rPr>
              <w:t>级</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14A55FF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尾矿坝</w:t>
            </w:r>
          </w:p>
        </w:tc>
      </w:tr>
      <w:tr w14:paraId="4BBE5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B4B497E">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1080" w:type="dxa"/>
            <w:vMerge w:val="continue"/>
            <w:tcBorders>
              <w:left w:val="single" w:color="auto" w:sz="4" w:space="0"/>
              <w:right w:val="single" w:color="auto" w:sz="4" w:space="0"/>
            </w:tcBorders>
            <w:shd w:val="clear" w:color="auto" w:fill="auto"/>
            <w:noWrap w:val="0"/>
            <w:vAlign w:val="center"/>
          </w:tcPr>
          <w:p w14:paraId="1F3D7E1F">
            <w:pPr>
              <w:spacing w:line="300" w:lineRule="exact"/>
              <w:ind w:firstLine="0" w:firstLineChars="0"/>
              <w:jc w:val="center"/>
              <w:rPr>
                <w:rFonts w:hint="eastAsia" w:ascii="Times New Roman" w:hAnsi="Times New Roman" w:eastAsia="宋体" w:cs="Times New Roman"/>
                <w:color w:val="auto"/>
                <w:sz w:val="21"/>
                <w:szCs w:val="21"/>
              </w:rPr>
            </w:pPr>
          </w:p>
        </w:tc>
        <w:tc>
          <w:tcPr>
            <w:tcW w:w="133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29A3A2">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劳动防护用品穿戴不齐</w:t>
            </w:r>
          </w:p>
        </w:tc>
        <w:tc>
          <w:tcPr>
            <w:tcW w:w="100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803EB5F">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人身</w:t>
            </w:r>
          </w:p>
          <w:p w14:paraId="060BBD9E">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伤害</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2D38875">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09C0EDF">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w:t>
            </w:r>
          </w:p>
        </w:tc>
        <w:tc>
          <w:tcPr>
            <w:tcW w:w="6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9E50C8E">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7</w:t>
            </w:r>
          </w:p>
        </w:tc>
        <w:tc>
          <w:tcPr>
            <w:tcW w:w="62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049E5FD">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42</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67C9236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四级</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5B95C6C7">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相关人员</w:t>
            </w:r>
          </w:p>
        </w:tc>
      </w:tr>
      <w:tr w14:paraId="38A5B4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802AAE6">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1080" w:type="dxa"/>
            <w:vMerge w:val="continue"/>
            <w:tcBorders>
              <w:left w:val="single" w:color="auto" w:sz="4" w:space="0"/>
              <w:right w:val="single" w:color="auto" w:sz="4" w:space="0"/>
            </w:tcBorders>
            <w:shd w:val="clear" w:color="auto" w:fill="auto"/>
            <w:noWrap w:val="0"/>
            <w:vAlign w:val="center"/>
          </w:tcPr>
          <w:p w14:paraId="325C9C61">
            <w:pPr>
              <w:spacing w:line="300" w:lineRule="exact"/>
              <w:ind w:firstLine="0" w:firstLineChars="0"/>
              <w:jc w:val="center"/>
              <w:rPr>
                <w:rFonts w:hint="eastAsia" w:ascii="Times New Roman" w:hAnsi="Times New Roman" w:eastAsia="宋体" w:cs="Times New Roman"/>
                <w:color w:val="auto"/>
                <w:sz w:val="21"/>
                <w:szCs w:val="21"/>
              </w:rPr>
            </w:pPr>
          </w:p>
        </w:tc>
        <w:tc>
          <w:tcPr>
            <w:tcW w:w="133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CBB59CF">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架设管路支架倒塌伤人</w:t>
            </w:r>
          </w:p>
        </w:tc>
        <w:tc>
          <w:tcPr>
            <w:tcW w:w="100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26E4EA">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人员</w:t>
            </w:r>
          </w:p>
          <w:p w14:paraId="0BA808B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伤害</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605022B">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2CEA672">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6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E305A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7</w:t>
            </w:r>
          </w:p>
        </w:tc>
        <w:tc>
          <w:tcPr>
            <w:tcW w:w="62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AAC19D8">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7</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14105F30">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五级</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401E84C5">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相关人员</w:t>
            </w:r>
          </w:p>
        </w:tc>
      </w:tr>
      <w:tr w14:paraId="43AB1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523AC54">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5</w:t>
            </w:r>
          </w:p>
        </w:tc>
        <w:tc>
          <w:tcPr>
            <w:tcW w:w="1080" w:type="dxa"/>
            <w:vMerge w:val="continue"/>
            <w:tcBorders>
              <w:left w:val="single" w:color="auto" w:sz="4" w:space="0"/>
              <w:right w:val="single" w:color="auto" w:sz="4" w:space="0"/>
            </w:tcBorders>
            <w:shd w:val="clear" w:color="auto" w:fill="auto"/>
            <w:noWrap w:val="0"/>
            <w:vAlign w:val="center"/>
          </w:tcPr>
          <w:p w14:paraId="256011D4">
            <w:pPr>
              <w:spacing w:line="300" w:lineRule="exact"/>
              <w:ind w:firstLine="0" w:firstLineChars="0"/>
              <w:jc w:val="center"/>
              <w:rPr>
                <w:rFonts w:hint="eastAsia" w:ascii="Times New Roman" w:hAnsi="Times New Roman" w:eastAsia="宋体" w:cs="Times New Roman"/>
                <w:color w:val="auto"/>
                <w:sz w:val="21"/>
                <w:szCs w:val="21"/>
              </w:rPr>
            </w:pPr>
          </w:p>
        </w:tc>
        <w:tc>
          <w:tcPr>
            <w:tcW w:w="133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8709AC6">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运送管路或水泥或砖头砸伤、压伤</w:t>
            </w:r>
          </w:p>
        </w:tc>
        <w:tc>
          <w:tcPr>
            <w:tcW w:w="100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A13F6E">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人员</w:t>
            </w:r>
          </w:p>
          <w:p w14:paraId="5F632D98">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伤害</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E2DE6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F65C5D">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6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3B4AE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7</w:t>
            </w:r>
          </w:p>
        </w:tc>
        <w:tc>
          <w:tcPr>
            <w:tcW w:w="62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BE04867">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21</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33FFE16B">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四</w:t>
            </w:r>
            <w:r>
              <w:rPr>
                <w:rFonts w:ascii="Times New Roman" w:hAnsi="Times New Roman" w:eastAsia="宋体" w:cs="Times New Roman"/>
                <w:color w:val="auto"/>
                <w:sz w:val="21"/>
                <w:szCs w:val="21"/>
              </w:rPr>
              <w:t>级</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6F535CC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个别员工</w:t>
            </w:r>
          </w:p>
        </w:tc>
      </w:tr>
      <w:tr w14:paraId="3592F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381FA34">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w:t>
            </w:r>
          </w:p>
        </w:tc>
        <w:tc>
          <w:tcPr>
            <w:tcW w:w="1080" w:type="dxa"/>
            <w:vMerge w:val="continue"/>
            <w:tcBorders>
              <w:left w:val="single" w:color="auto" w:sz="4" w:space="0"/>
              <w:right w:val="single" w:color="auto" w:sz="4" w:space="0"/>
            </w:tcBorders>
            <w:shd w:val="clear" w:color="auto" w:fill="auto"/>
            <w:noWrap w:val="0"/>
            <w:vAlign w:val="center"/>
          </w:tcPr>
          <w:p w14:paraId="6534FE47">
            <w:pPr>
              <w:spacing w:line="300" w:lineRule="exact"/>
              <w:ind w:firstLine="0" w:firstLineChars="0"/>
              <w:jc w:val="center"/>
              <w:rPr>
                <w:rFonts w:hint="eastAsia" w:ascii="Times New Roman" w:hAnsi="Times New Roman" w:eastAsia="宋体" w:cs="Times New Roman"/>
                <w:color w:val="auto"/>
                <w:sz w:val="21"/>
                <w:szCs w:val="21"/>
              </w:rPr>
            </w:pPr>
          </w:p>
        </w:tc>
        <w:tc>
          <w:tcPr>
            <w:tcW w:w="133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D8F56A">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安装、移动放矿管挤、压、撞伤</w:t>
            </w:r>
          </w:p>
        </w:tc>
        <w:tc>
          <w:tcPr>
            <w:tcW w:w="100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FF1434">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人员伤害</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F658820">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D565F98">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6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CCA062B">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7</w:t>
            </w:r>
          </w:p>
        </w:tc>
        <w:tc>
          <w:tcPr>
            <w:tcW w:w="62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6578E41">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21</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468D5520">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四</w:t>
            </w:r>
            <w:r>
              <w:rPr>
                <w:rFonts w:ascii="Times New Roman" w:hAnsi="Times New Roman" w:eastAsia="宋体" w:cs="Times New Roman"/>
                <w:color w:val="auto"/>
                <w:sz w:val="21"/>
                <w:szCs w:val="21"/>
              </w:rPr>
              <w:t>级</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744B6344">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个别员工</w:t>
            </w:r>
          </w:p>
        </w:tc>
      </w:tr>
      <w:tr w14:paraId="4C957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E4BDA40">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7</w:t>
            </w:r>
          </w:p>
        </w:tc>
        <w:tc>
          <w:tcPr>
            <w:tcW w:w="1080" w:type="dxa"/>
            <w:vMerge w:val="continue"/>
            <w:tcBorders>
              <w:left w:val="single" w:color="auto" w:sz="4" w:space="0"/>
              <w:right w:val="single" w:color="auto" w:sz="4" w:space="0"/>
            </w:tcBorders>
            <w:shd w:val="clear" w:color="auto" w:fill="auto"/>
            <w:noWrap w:val="0"/>
            <w:vAlign w:val="center"/>
          </w:tcPr>
          <w:p w14:paraId="5617922F">
            <w:pPr>
              <w:spacing w:line="300" w:lineRule="exact"/>
              <w:ind w:firstLine="0" w:firstLineChars="0"/>
              <w:jc w:val="center"/>
              <w:rPr>
                <w:rFonts w:hint="eastAsia" w:ascii="Times New Roman" w:hAnsi="Times New Roman" w:eastAsia="宋体" w:cs="Times New Roman"/>
                <w:color w:val="auto"/>
                <w:sz w:val="21"/>
                <w:szCs w:val="21"/>
              </w:rPr>
            </w:pPr>
          </w:p>
        </w:tc>
        <w:tc>
          <w:tcPr>
            <w:tcW w:w="133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960781B">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埋设</w:t>
            </w:r>
          </w:p>
          <w:p w14:paraId="45E8F57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排渗管伤手</w:t>
            </w:r>
          </w:p>
        </w:tc>
        <w:tc>
          <w:tcPr>
            <w:tcW w:w="100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87007E4">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人员</w:t>
            </w:r>
          </w:p>
          <w:p w14:paraId="6109C4C0">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伤害</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CD559C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2A3472B">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6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099EB55">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7</w:t>
            </w:r>
          </w:p>
        </w:tc>
        <w:tc>
          <w:tcPr>
            <w:tcW w:w="62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9F0A32E">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7</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285ADD82">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五级</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6C20F39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相关人员</w:t>
            </w:r>
          </w:p>
        </w:tc>
      </w:tr>
      <w:tr w14:paraId="663BC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C360A6">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8</w:t>
            </w:r>
          </w:p>
        </w:tc>
        <w:tc>
          <w:tcPr>
            <w:tcW w:w="1080" w:type="dxa"/>
            <w:vMerge w:val="continue"/>
            <w:tcBorders>
              <w:left w:val="single" w:color="auto" w:sz="4" w:space="0"/>
              <w:right w:val="single" w:color="auto" w:sz="4" w:space="0"/>
            </w:tcBorders>
            <w:shd w:val="clear" w:color="auto" w:fill="auto"/>
            <w:noWrap w:val="0"/>
            <w:vAlign w:val="center"/>
          </w:tcPr>
          <w:p w14:paraId="6F59341D">
            <w:pPr>
              <w:spacing w:line="300" w:lineRule="exact"/>
              <w:ind w:firstLine="0" w:firstLineChars="0"/>
              <w:jc w:val="center"/>
              <w:rPr>
                <w:rFonts w:hint="eastAsia" w:ascii="Times New Roman" w:hAnsi="Times New Roman" w:eastAsia="宋体" w:cs="Times New Roman"/>
                <w:color w:val="auto"/>
                <w:sz w:val="21"/>
                <w:szCs w:val="21"/>
              </w:rPr>
            </w:pPr>
          </w:p>
        </w:tc>
        <w:tc>
          <w:tcPr>
            <w:tcW w:w="133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011B4F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电动/手动工具使用</w:t>
            </w:r>
          </w:p>
        </w:tc>
        <w:tc>
          <w:tcPr>
            <w:tcW w:w="100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4DD21D0">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人员伤害</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ED39278">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93F1CF8">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6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82F61E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7</w:t>
            </w:r>
          </w:p>
        </w:tc>
        <w:tc>
          <w:tcPr>
            <w:tcW w:w="62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F494C0F">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7</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515C456D">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五级</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2C52DF9E">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个别员工</w:t>
            </w:r>
          </w:p>
        </w:tc>
      </w:tr>
      <w:tr w14:paraId="2ACDC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C94F344">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9</w:t>
            </w:r>
          </w:p>
        </w:tc>
        <w:tc>
          <w:tcPr>
            <w:tcW w:w="1080" w:type="dxa"/>
            <w:vMerge w:val="continue"/>
            <w:tcBorders>
              <w:left w:val="single" w:color="auto" w:sz="4" w:space="0"/>
              <w:right w:val="single" w:color="auto" w:sz="4" w:space="0"/>
            </w:tcBorders>
            <w:shd w:val="clear" w:color="auto" w:fill="auto"/>
            <w:noWrap w:val="0"/>
            <w:vAlign w:val="center"/>
          </w:tcPr>
          <w:p w14:paraId="774A976E">
            <w:pPr>
              <w:spacing w:line="300" w:lineRule="exact"/>
              <w:ind w:firstLine="0" w:firstLineChars="0"/>
              <w:jc w:val="center"/>
              <w:rPr>
                <w:rFonts w:hint="eastAsia" w:ascii="Times New Roman" w:hAnsi="Times New Roman" w:eastAsia="宋体" w:cs="Times New Roman"/>
                <w:color w:val="auto"/>
                <w:sz w:val="21"/>
                <w:szCs w:val="21"/>
              </w:rPr>
            </w:pPr>
          </w:p>
        </w:tc>
        <w:tc>
          <w:tcPr>
            <w:tcW w:w="133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462236D">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人员</w:t>
            </w:r>
          </w:p>
          <w:p w14:paraId="7B4AC906">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交叉作业</w:t>
            </w:r>
          </w:p>
        </w:tc>
        <w:tc>
          <w:tcPr>
            <w:tcW w:w="100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AD1F1B0">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人员伤亡</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0B945FB">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DF03F8B">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6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011378">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15</w:t>
            </w:r>
          </w:p>
        </w:tc>
        <w:tc>
          <w:tcPr>
            <w:tcW w:w="62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411EC5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15</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4FE9CEC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五级</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30B6FC7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个别员工</w:t>
            </w:r>
          </w:p>
        </w:tc>
      </w:tr>
      <w:tr w14:paraId="5E5406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3CA24D0">
            <w:pPr>
              <w:spacing w:line="300" w:lineRule="exact"/>
              <w:ind w:firstLine="0" w:firstLineChars="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val="en-US" w:eastAsia="zh-CN"/>
              </w:rPr>
              <w:t>0</w:t>
            </w:r>
          </w:p>
        </w:tc>
        <w:tc>
          <w:tcPr>
            <w:tcW w:w="1080" w:type="dxa"/>
            <w:vMerge w:val="continue"/>
            <w:tcBorders>
              <w:left w:val="single" w:color="auto" w:sz="4" w:space="0"/>
              <w:right w:val="single" w:color="auto" w:sz="4" w:space="0"/>
            </w:tcBorders>
            <w:shd w:val="clear" w:color="auto" w:fill="auto"/>
            <w:noWrap w:val="0"/>
            <w:vAlign w:val="center"/>
          </w:tcPr>
          <w:p w14:paraId="39E6C79D">
            <w:pPr>
              <w:spacing w:line="300" w:lineRule="exact"/>
              <w:ind w:firstLine="0" w:firstLineChars="0"/>
              <w:jc w:val="center"/>
              <w:rPr>
                <w:rFonts w:hint="eastAsia" w:ascii="Times New Roman" w:hAnsi="Times New Roman" w:eastAsia="宋体" w:cs="Times New Roman"/>
                <w:color w:val="auto"/>
                <w:sz w:val="21"/>
                <w:szCs w:val="21"/>
              </w:rPr>
            </w:pPr>
          </w:p>
        </w:tc>
        <w:tc>
          <w:tcPr>
            <w:tcW w:w="133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5806FB8">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雨雪天气滑倒、跌伤</w:t>
            </w:r>
          </w:p>
        </w:tc>
        <w:tc>
          <w:tcPr>
            <w:tcW w:w="100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011B00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人员伤亡</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C8ED15D">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143B06">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6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DA28CA2">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15</w:t>
            </w:r>
          </w:p>
        </w:tc>
        <w:tc>
          <w:tcPr>
            <w:tcW w:w="62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16302CE">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15</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0818677F">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五级</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282C422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个别员工</w:t>
            </w:r>
          </w:p>
        </w:tc>
      </w:tr>
      <w:tr w14:paraId="58D7A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4243FF0">
            <w:pPr>
              <w:spacing w:line="300" w:lineRule="exact"/>
              <w:ind w:firstLine="0" w:firstLineChars="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val="en-US" w:eastAsia="zh-CN"/>
              </w:rPr>
              <w:t>1</w:t>
            </w:r>
          </w:p>
        </w:tc>
        <w:tc>
          <w:tcPr>
            <w:tcW w:w="1080" w:type="dxa"/>
            <w:vMerge w:val="continue"/>
            <w:tcBorders>
              <w:left w:val="single" w:color="auto" w:sz="4" w:space="0"/>
              <w:right w:val="single" w:color="auto" w:sz="4" w:space="0"/>
            </w:tcBorders>
            <w:shd w:val="clear" w:color="auto" w:fill="auto"/>
            <w:noWrap w:val="0"/>
            <w:vAlign w:val="center"/>
          </w:tcPr>
          <w:p w14:paraId="7E380464">
            <w:pPr>
              <w:spacing w:line="300" w:lineRule="exact"/>
              <w:ind w:firstLine="0" w:firstLineChars="0"/>
              <w:jc w:val="center"/>
              <w:rPr>
                <w:rFonts w:hint="eastAsia" w:ascii="Times New Roman" w:hAnsi="Times New Roman" w:eastAsia="宋体" w:cs="Times New Roman"/>
                <w:color w:val="auto"/>
                <w:sz w:val="21"/>
                <w:szCs w:val="21"/>
              </w:rPr>
            </w:pPr>
          </w:p>
        </w:tc>
        <w:tc>
          <w:tcPr>
            <w:tcW w:w="133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871DC87">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粉尘</w:t>
            </w:r>
          </w:p>
        </w:tc>
        <w:tc>
          <w:tcPr>
            <w:tcW w:w="100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DD67E6D">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矽肺</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8601C0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63C90FD">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6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AB1E95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7</w:t>
            </w:r>
          </w:p>
        </w:tc>
        <w:tc>
          <w:tcPr>
            <w:tcW w:w="62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5A84627">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63</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0C8F7F68">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四级</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424701D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相关人员</w:t>
            </w:r>
          </w:p>
        </w:tc>
      </w:tr>
      <w:tr w14:paraId="35038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E94122D">
            <w:pPr>
              <w:spacing w:line="300" w:lineRule="exact"/>
              <w:ind w:firstLine="0" w:firstLineChars="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val="en-US" w:eastAsia="zh-CN"/>
              </w:rPr>
              <w:t>2</w:t>
            </w:r>
          </w:p>
        </w:tc>
        <w:tc>
          <w:tcPr>
            <w:tcW w:w="1080" w:type="dxa"/>
            <w:vMerge w:val="continue"/>
            <w:tcBorders>
              <w:left w:val="single" w:color="auto" w:sz="4" w:space="0"/>
              <w:right w:val="single" w:color="auto" w:sz="4" w:space="0"/>
            </w:tcBorders>
            <w:shd w:val="clear" w:color="auto" w:fill="auto"/>
            <w:noWrap w:val="0"/>
            <w:vAlign w:val="center"/>
          </w:tcPr>
          <w:p w14:paraId="712B5915">
            <w:pPr>
              <w:spacing w:line="300" w:lineRule="exact"/>
              <w:ind w:firstLine="0" w:firstLineChars="0"/>
              <w:jc w:val="center"/>
              <w:rPr>
                <w:rFonts w:hint="eastAsia" w:ascii="Times New Roman" w:hAnsi="Times New Roman" w:eastAsia="宋体" w:cs="Times New Roman"/>
                <w:color w:val="auto"/>
                <w:sz w:val="21"/>
                <w:szCs w:val="21"/>
              </w:rPr>
            </w:pPr>
          </w:p>
        </w:tc>
        <w:tc>
          <w:tcPr>
            <w:tcW w:w="133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2FA96B1">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高处坠落</w:t>
            </w:r>
          </w:p>
        </w:tc>
        <w:tc>
          <w:tcPr>
            <w:tcW w:w="100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A348B2B">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人员伤亡</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E6DF8C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08731E">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w:t>
            </w:r>
          </w:p>
        </w:tc>
        <w:tc>
          <w:tcPr>
            <w:tcW w:w="6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B5B084">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7</w:t>
            </w:r>
          </w:p>
        </w:tc>
        <w:tc>
          <w:tcPr>
            <w:tcW w:w="62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3F494EE">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42</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6B5AEEE4">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四级</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1D8654DB">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相关人员</w:t>
            </w:r>
          </w:p>
        </w:tc>
      </w:tr>
      <w:tr w14:paraId="22A44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44FEA6">
            <w:pPr>
              <w:spacing w:line="300" w:lineRule="exact"/>
              <w:ind w:firstLine="0" w:firstLineChars="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val="en-US" w:eastAsia="zh-CN"/>
              </w:rPr>
              <w:t>3</w:t>
            </w:r>
          </w:p>
        </w:tc>
        <w:tc>
          <w:tcPr>
            <w:tcW w:w="1080" w:type="dxa"/>
            <w:vMerge w:val="continue"/>
            <w:tcBorders>
              <w:left w:val="single" w:color="auto" w:sz="4" w:space="0"/>
              <w:right w:val="single" w:color="auto" w:sz="4" w:space="0"/>
            </w:tcBorders>
            <w:shd w:val="clear" w:color="auto" w:fill="auto"/>
            <w:noWrap w:val="0"/>
            <w:vAlign w:val="center"/>
          </w:tcPr>
          <w:p w14:paraId="17ECE6C6">
            <w:pPr>
              <w:spacing w:line="300" w:lineRule="exact"/>
              <w:ind w:firstLine="0" w:firstLineChars="0"/>
              <w:jc w:val="center"/>
              <w:rPr>
                <w:rFonts w:hint="eastAsia" w:ascii="Times New Roman" w:hAnsi="Times New Roman" w:eastAsia="宋体" w:cs="Times New Roman"/>
                <w:color w:val="auto"/>
                <w:sz w:val="21"/>
                <w:szCs w:val="21"/>
              </w:rPr>
            </w:pPr>
          </w:p>
        </w:tc>
        <w:tc>
          <w:tcPr>
            <w:tcW w:w="133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DDBB286">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挖掘机筑坝沉陷或伤人</w:t>
            </w:r>
          </w:p>
        </w:tc>
        <w:tc>
          <w:tcPr>
            <w:tcW w:w="100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583E70">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人员</w:t>
            </w:r>
          </w:p>
          <w:p w14:paraId="23F90295">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伤亡</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A93D932">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88AC57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6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DAF7186">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15</w:t>
            </w:r>
          </w:p>
        </w:tc>
        <w:tc>
          <w:tcPr>
            <w:tcW w:w="62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B2E81E7">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15</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2E8CD6E5">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五级</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4D53C5D4">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相关人员</w:t>
            </w:r>
          </w:p>
        </w:tc>
      </w:tr>
      <w:tr w14:paraId="539A4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95433CC">
            <w:pPr>
              <w:spacing w:line="300" w:lineRule="exact"/>
              <w:ind w:firstLine="0" w:firstLineChars="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val="en-US" w:eastAsia="zh-CN"/>
              </w:rPr>
              <w:t>4</w:t>
            </w:r>
          </w:p>
        </w:tc>
        <w:tc>
          <w:tcPr>
            <w:tcW w:w="1080" w:type="dxa"/>
            <w:vMerge w:val="continue"/>
            <w:tcBorders>
              <w:left w:val="single" w:color="auto" w:sz="4" w:space="0"/>
              <w:right w:val="single" w:color="auto" w:sz="4" w:space="0"/>
            </w:tcBorders>
            <w:shd w:val="clear" w:color="auto" w:fill="auto"/>
            <w:noWrap w:val="0"/>
            <w:vAlign w:val="center"/>
          </w:tcPr>
          <w:p w14:paraId="10B28258">
            <w:pPr>
              <w:spacing w:line="300" w:lineRule="exact"/>
              <w:ind w:firstLine="0" w:firstLineChars="0"/>
              <w:jc w:val="center"/>
              <w:rPr>
                <w:rFonts w:hint="eastAsia" w:ascii="Times New Roman" w:hAnsi="Times New Roman" w:eastAsia="宋体" w:cs="Times New Roman"/>
                <w:color w:val="auto"/>
                <w:sz w:val="21"/>
                <w:szCs w:val="21"/>
              </w:rPr>
            </w:pPr>
          </w:p>
        </w:tc>
        <w:tc>
          <w:tcPr>
            <w:tcW w:w="133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E4DB85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夜间作业无照明，摔伤</w:t>
            </w:r>
          </w:p>
        </w:tc>
        <w:tc>
          <w:tcPr>
            <w:tcW w:w="100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148A552">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人员</w:t>
            </w:r>
          </w:p>
          <w:p w14:paraId="02B9F5B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伤害</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7F254AA">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CBCF132">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6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D6D8354">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7</w:t>
            </w:r>
          </w:p>
        </w:tc>
        <w:tc>
          <w:tcPr>
            <w:tcW w:w="62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2ABA08F">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7</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78101E5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五级</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1C102B26">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相关人员</w:t>
            </w:r>
          </w:p>
        </w:tc>
      </w:tr>
      <w:tr w14:paraId="43737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20AA1D6">
            <w:pPr>
              <w:spacing w:line="300" w:lineRule="exact"/>
              <w:ind w:firstLine="0" w:firstLineChars="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val="en-US" w:eastAsia="zh-CN"/>
              </w:rPr>
              <w:t>5</w:t>
            </w:r>
          </w:p>
        </w:tc>
        <w:tc>
          <w:tcPr>
            <w:tcW w:w="1080" w:type="dxa"/>
            <w:vMerge w:val="continue"/>
            <w:tcBorders>
              <w:left w:val="single" w:color="auto" w:sz="4" w:space="0"/>
              <w:right w:val="single" w:color="auto" w:sz="4" w:space="0"/>
            </w:tcBorders>
            <w:shd w:val="clear" w:color="auto" w:fill="auto"/>
            <w:noWrap w:val="0"/>
            <w:vAlign w:val="center"/>
          </w:tcPr>
          <w:p w14:paraId="522BC990">
            <w:pPr>
              <w:spacing w:line="300" w:lineRule="exact"/>
              <w:ind w:firstLine="0" w:firstLineChars="0"/>
              <w:jc w:val="center"/>
              <w:rPr>
                <w:rFonts w:hint="eastAsia" w:ascii="Times New Roman" w:hAnsi="Times New Roman" w:eastAsia="宋体" w:cs="Times New Roman"/>
                <w:color w:val="auto"/>
                <w:sz w:val="21"/>
                <w:szCs w:val="21"/>
              </w:rPr>
            </w:pPr>
          </w:p>
        </w:tc>
        <w:tc>
          <w:tcPr>
            <w:tcW w:w="133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3FC0BD2">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雷击</w:t>
            </w:r>
          </w:p>
        </w:tc>
        <w:tc>
          <w:tcPr>
            <w:tcW w:w="100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179562D">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人员伤亡</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8B6E045">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30E2C95">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w:t>
            </w:r>
          </w:p>
        </w:tc>
        <w:tc>
          <w:tcPr>
            <w:tcW w:w="6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B2303E7">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15</w:t>
            </w:r>
          </w:p>
        </w:tc>
        <w:tc>
          <w:tcPr>
            <w:tcW w:w="62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35C3A8F">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90</w:t>
            </w:r>
          </w:p>
        </w:tc>
        <w:tc>
          <w:tcPr>
            <w:tcW w:w="144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2DD752C7">
            <w:pPr>
              <w:spacing w:line="300" w:lineRule="exact"/>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三</w:t>
            </w:r>
            <w:r>
              <w:rPr>
                <w:rFonts w:ascii="Times New Roman" w:hAnsi="Times New Roman" w:eastAsia="宋体" w:cs="Times New Roman"/>
                <w:color w:val="auto"/>
                <w:sz w:val="21"/>
                <w:szCs w:val="21"/>
              </w:rPr>
              <w:t>级</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5547FB45">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库区、个别员工</w:t>
            </w:r>
          </w:p>
        </w:tc>
      </w:tr>
    </w:tbl>
    <w:p w14:paraId="54940BB6">
      <w:pPr>
        <w:bidi w:val="0"/>
        <w:rPr>
          <w:rFonts w:hint="default"/>
          <w:color w:val="auto"/>
          <w:lang w:val="en-US" w:eastAsia="zh-CN"/>
        </w:rPr>
      </w:pPr>
      <w:r>
        <w:rPr>
          <w:rFonts w:hint="default"/>
          <w:color w:val="auto"/>
          <w:lang w:val="en-US" w:eastAsia="zh-CN"/>
        </w:rPr>
        <w:t>7.2</w:t>
      </w:r>
      <w:r>
        <w:rPr>
          <w:rFonts w:hint="eastAsia"/>
          <w:color w:val="auto"/>
          <w:lang w:val="en-US" w:eastAsia="zh-CN"/>
        </w:rPr>
        <w:t xml:space="preserve"> </w:t>
      </w:r>
      <w:r>
        <w:rPr>
          <w:rFonts w:hint="default"/>
          <w:color w:val="auto"/>
          <w:lang w:val="en-US" w:eastAsia="zh-CN"/>
        </w:rPr>
        <w:t>库水位控制作业危害</w:t>
      </w:r>
    </w:p>
    <w:p w14:paraId="3B00DC1D">
      <w:pPr>
        <w:bidi w:val="0"/>
        <w:rPr>
          <w:rFonts w:hint="default"/>
          <w:color w:val="auto"/>
          <w:lang w:val="en-US" w:eastAsia="zh-CN"/>
        </w:rPr>
      </w:pPr>
      <w:r>
        <w:rPr>
          <w:rFonts w:hint="default"/>
          <w:color w:val="auto"/>
          <w:lang w:val="en-US" w:eastAsia="zh-CN"/>
        </w:rPr>
        <w:t>操作人员进行库水位控制作业（主要是排水井拱板添加或拆除）时，在拱板运送、装卸、添加、拆除过程中，注意力不集中，动作不协调、不同步，反应迟缓，导致伤手或伤脚，或竹排（小船）未固定、倾覆，或未系安全带或安全带突然断裂，或未穿戴救生衣（救生圈）而站立不稳，导致人员意外坠入积水区，造成淹溺。</w:t>
      </w:r>
    </w:p>
    <w:tbl>
      <w:tblPr>
        <w:tblStyle w:val="19"/>
        <w:tblpPr w:leftFromText="180" w:rightFromText="180" w:vertAnchor="text" w:horzAnchor="margin" w:tblpX="108" w:tblpY="313"/>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8"/>
        <w:gridCol w:w="973"/>
        <w:gridCol w:w="1250"/>
        <w:gridCol w:w="1197"/>
        <w:gridCol w:w="540"/>
        <w:gridCol w:w="540"/>
        <w:gridCol w:w="636"/>
        <w:gridCol w:w="624"/>
        <w:gridCol w:w="1440"/>
        <w:gridCol w:w="1260"/>
      </w:tblGrid>
      <w:tr w14:paraId="40351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468" w:type="dxa"/>
            <w:vMerge w:val="restart"/>
            <w:tcBorders>
              <w:top w:val="single" w:color="auto" w:sz="4" w:space="0"/>
              <w:left w:val="single" w:color="auto" w:sz="4" w:space="0"/>
              <w:right w:val="single" w:color="auto" w:sz="4" w:space="0"/>
            </w:tcBorders>
            <w:noWrap w:val="0"/>
            <w:vAlign w:val="center"/>
          </w:tcPr>
          <w:p w14:paraId="26E75DD7">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序号</w:t>
            </w:r>
          </w:p>
        </w:tc>
        <w:tc>
          <w:tcPr>
            <w:tcW w:w="973" w:type="dxa"/>
            <w:vMerge w:val="restart"/>
            <w:tcBorders>
              <w:top w:val="single" w:color="auto" w:sz="4" w:space="0"/>
              <w:left w:val="single" w:color="auto" w:sz="4" w:space="0"/>
              <w:right w:val="single" w:color="auto" w:sz="4" w:space="0"/>
            </w:tcBorders>
            <w:noWrap w:val="0"/>
            <w:vAlign w:val="center"/>
          </w:tcPr>
          <w:p w14:paraId="2ACCE03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作业活动/工序</w:t>
            </w:r>
          </w:p>
        </w:tc>
        <w:tc>
          <w:tcPr>
            <w:tcW w:w="1250" w:type="dxa"/>
            <w:vMerge w:val="restart"/>
            <w:tcBorders>
              <w:top w:val="single" w:color="auto" w:sz="4" w:space="0"/>
              <w:left w:val="single" w:color="auto" w:sz="4" w:space="0"/>
              <w:right w:val="single" w:color="auto" w:sz="4" w:space="0"/>
            </w:tcBorders>
            <w:noWrap w:val="0"/>
            <w:vAlign w:val="center"/>
          </w:tcPr>
          <w:p w14:paraId="0E7914C2">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危险源</w:t>
            </w:r>
          </w:p>
          <w:p w14:paraId="0E41D207">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及风险</w:t>
            </w:r>
          </w:p>
        </w:tc>
        <w:tc>
          <w:tcPr>
            <w:tcW w:w="1197" w:type="dxa"/>
            <w:vMerge w:val="restart"/>
            <w:tcBorders>
              <w:top w:val="single" w:color="auto" w:sz="4" w:space="0"/>
              <w:left w:val="single" w:color="auto" w:sz="4" w:space="0"/>
              <w:right w:val="single" w:color="auto" w:sz="4" w:space="0"/>
            </w:tcBorders>
            <w:noWrap w:val="0"/>
            <w:vAlign w:val="center"/>
          </w:tcPr>
          <w:p w14:paraId="4AA837AA">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可能后果</w:t>
            </w:r>
          </w:p>
        </w:tc>
        <w:tc>
          <w:tcPr>
            <w:tcW w:w="2340" w:type="dxa"/>
            <w:gridSpan w:val="4"/>
            <w:tcBorders>
              <w:top w:val="single" w:color="auto" w:sz="4" w:space="0"/>
              <w:left w:val="single" w:color="auto" w:sz="4" w:space="0"/>
              <w:bottom w:val="single" w:color="auto" w:sz="4" w:space="0"/>
              <w:right w:val="single" w:color="auto" w:sz="4" w:space="0"/>
            </w:tcBorders>
            <w:noWrap w:val="0"/>
            <w:vAlign w:val="center"/>
          </w:tcPr>
          <w:p w14:paraId="288C1817">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风险值D=L·E·C</w:t>
            </w:r>
          </w:p>
        </w:tc>
        <w:tc>
          <w:tcPr>
            <w:tcW w:w="1440" w:type="dxa"/>
            <w:vMerge w:val="restart"/>
            <w:tcBorders>
              <w:top w:val="single" w:color="auto" w:sz="4" w:space="0"/>
              <w:left w:val="single" w:color="auto" w:sz="4" w:space="0"/>
              <w:right w:val="single" w:color="auto" w:sz="4" w:space="0"/>
            </w:tcBorders>
            <w:noWrap w:val="0"/>
            <w:vAlign w:val="center"/>
          </w:tcPr>
          <w:p w14:paraId="640B6E4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危险性程度（风险等级）</w:t>
            </w:r>
          </w:p>
        </w:tc>
        <w:tc>
          <w:tcPr>
            <w:tcW w:w="1260" w:type="dxa"/>
            <w:vMerge w:val="restart"/>
            <w:tcBorders>
              <w:top w:val="single" w:color="auto" w:sz="4" w:space="0"/>
              <w:left w:val="single" w:color="auto" w:sz="4" w:space="0"/>
              <w:right w:val="single" w:color="auto" w:sz="4" w:space="0"/>
            </w:tcBorders>
            <w:noWrap w:val="0"/>
            <w:vAlign w:val="center"/>
          </w:tcPr>
          <w:p w14:paraId="6B6BD6B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影响范围</w:t>
            </w:r>
          </w:p>
        </w:tc>
      </w:tr>
      <w:tr w14:paraId="79CCA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468" w:type="dxa"/>
            <w:vMerge w:val="continue"/>
            <w:tcBorders>
              <w:left w:val="single" w:color="auto" w:sz="4" w:space="0"/>
              <w:bottom w:val="single" w:color="auto" w:sz="4" w:space="0"/>
              <w:right w:val="single" w:color="auto" w:sz="4" w:space="0"/>
            </w:tcBorders>
            <w:noWrap w:val="0"/>
            <w:vAlign w:val="center"/>
          </w:tcPr>
          <w:p w14:paraId="4815916A">
            <w:pPr>
              <w:spacing w:line="300" w:lineRule="exact"/>
              <w:ind w:firstLine="0" w:firstLineChars="0"/>
              <w:jc w:val="center"/>
              <w:rPr>
                <w:rFonts w:hint="eastAsia" w:ascii="Times New Roman" w:hAnsi="Times New Roman" w:eastAsia="宋体" w:cs="Times New Roman"/>
                <w:color w:val="auto"/>
                <w:sz w:val="21"/>
                <w:szCs w:val="21"/>
              </w:rPr>
            </w:pPr>
          </w:p>
        </w:tc>
        <w:tc>
          <w:tcPr>
            <w:tcW w:w="973" w:type="dxa"/>
            <w:vMerge w:val="continue"/>
            <w:tcBorders>
              <w:left w:val="single" w:color="auto" w:sz="4" w:space="0"/>
              <w:bottom w:val="single" w:color="auto" w:sz="4" w:space="0"/>
              <w:right w:val="single" w:color="auto" w:sz="4" w:space="0"/>
            </w:tcBorders>
            <w:noWrap w:val="0"/>
            <w:vAlign w:val="center"/>
          </w:tcPr>
          <w:p w14:paraId="496B0525">
            <w:pPr>
              <w:spacing w:line="300" w:lineRule="exact"/>
              <w:ind w:firstLine="0" w:firstLineChars="0"/>
              <w:jc w:val="center"/>
              <w:rPr>
                <w:rFonts w:hint="eastAsia" w:ascii="Times New Roman" w:hAnsi="Times New Roman" w:eastAsia="宋体" w:cs="Times New Roman"/>
                <w:color w:val="auto"/>
                <w:sz w:val="21"/>
                <w:szCs w:val="21"/>
              </w:rPr>
            </w:pPr>
          </w:p>
        </w:tc>
        <w:tc>
          <w:tcPr>
            <w:tcW w:w="1250" w:type="dxa"/>
            <w:vMerge w:val="continue"/>
            <w:tcBorders>
              <w:left w:val="single" w:color="auto" w:sz="4" w:space="0"/>
              <w:bottom w:val="single" w:color="auto" w:sz="4" w:space="0"/>
              <w:right w:val="single" w:color="auto" w:sz="4" w:space="0"/>
            </w:tcBorders>
            <w:noWrap w:val="0"/>
            <w:vAlign w:val="center"/>
          </w:tcPr>
          <w:p w14:paraId="585A665C">
            <w:pPr>
              <w:spacing w:line="300" w:lineRule="exact"/>
              <w:ind w:firstLine="0" w:firstLineChars="0"/>
              <w:jc w:val="center"/>
              <w:rPr>
                <w:rFonts w:hint="eastAsia" w:ascii="Times New Roman" w:hAnsi="Times New Roman" w:eastAsia="宋体" w:cs="Times New Roman"/>
                <w:color w:val="auto"/>
                <w:sz w:val="21"/>
                <w:szCs w:val="21"/>
              </w:rPr>
            </w:pPr>
          </w:p>
        </w:tc>
        <w:tc>
          <w:tcPr>
            <w:tcW w:w="1197" w:type="dxa"/>
            <w:vMerge w:val="continue"/>
            <w:tcBorders>
              <w:left w:val="single" w:color="auto" w:sz="4" w:space="0"/>
              <w:bottom w:val="single" w:color="auto" w:sz="4" w:space="0"/>
              <w:right w:val="single" w:color="auto" w:sz="4" w:space="0"/>
            </w:tcBorders>
            <w:noWrap w:val="0"/>
            <w:vAlign w:val="center"/>
          </w:tcPr>
          <w:p w14:paraId="1A077F3B">
            <w:pPr>
              <w:spacing w:line="300" w:lineRule="exact"/>
              <w:ind w:firstLine="0" w:firstLineChars="0"/>
              <w:jc w:val="center"/>
              <w:rPr>
                <w:rFonts w:hint="eastAsia" w:ascii="Times New Roman" w:hAnsi="Times New Roman" w:eastAsia="宋体" w:cs="Times New Roman"/>
                <w:color w:val="auto"/>
                <w:sz w:val="21"/>
                <w:szCs w:val="21"/>
              </w:rPr>
            </w:pPr>
          </w:p>
        </w:tc>
        <w:tc>
          <w:tcPr>
            <w:tcW w:w="540" w:type="dxa"/>
            <w:tcBorders>
              <w:top w:val="single" w:color="auto" w:sz="4" w:space="0"/>
              <w:left w:val="single" w:color="auto" w:sz="4" w:space="0"/>
              <w:bottom w:val="single" w:color="auto" w:sz="4" w:space="0"/>
              <w:right w:val="single" w:color="auto" w:sz="4" w:space="0"/>
            </w:tcBorders>
            <w:noWrap w:val="0"/>
            <w:vAlign w:val="center"/>
          </w:tcPr>
          <w:p w14:paraId="4A62EDE6">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L</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15C4C90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E</w:t>
            </w:r>
          </w:p>
        </w:tc>
        <w:tc>
          <w:tcPr>
            <w:tcW w:w="636" w:type="dxa"/>
            <w:tcBorders>
              <w:top w:val="single" w:color="auto" w:sz="4" w:space="0"/>
              <w:left w:val="single" w:color="auto" w:sz="4" w:space="0"/>
              <w:bottom w:val="single" w:color="auto" w:sz="4" w:space="0"/>
              <w:right w:val="single" w:color="auto" w:sz="4" w:space="0"/>
            </w:tcBorders>
            <w:noWrap w:val="0"/>
            <w:vAlign w:val="center"/>
          </w:tcPr>
          <w:p w14:paraId="23A6E13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C</w:t>
            </w:r>
          </w:p>
        </w:tc>
        <w:tc>
          <w:tcPr>
            <w:tcW w:w="624" w:type="dxa"/>
            <w:tcBorders>
              <w:top w:val="single" w:color="auto" w:sz="4" w:space="0"/>
              <w:left w:val="single" w:color="auto" w:sz="4" w:space="0"/>
              <w:bottom w:val="single" w:color="auto" w:sz="4" w:space="0"/>
              <w:right w:val="single" w:color="auto" w:sz="4" w:space="0"/>
            </w:tcBorders>
            <w:noWrap w:val="0"/>
            <w:vAlign w:val="center"/>
          </w:tcPr>
          <w:p w14:paraId="241BC92A">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D</w:t>
            </w:r>
          </w:p>
        </w:tc>
        <w:tc>
          <w:tcPr>
            <w:tcW w:w="1440" w:type="dxa"/>
            <w:vMerge w:val="continue"/>
            <w:tcBorders>
              <w:left w:val="single" w:color="auto" w:sz="4" w:space="0"/>
              <w:bottom w:val="single" w:color="auto" w:sz="4" w:space="0"/>
              <w:right w:val="single" w:color="auto" w:sz="4" w:space="0"/>
            </w:tcBorders>
            <w:noWrap w:val="0"/>
            <w:vAlign w:val="center"/>
          </w:tcPr>
          <w:p w14:paraId="63F49E5C">
            <w:pPr>
              <w:spacing w:line="300" w:lineRule="exact"/>
              <w:ind w:firstLine="0" w:firstLineChars="0"/>
              <w:jc w:val="center"/>
              <w:rPr>
                <w:rFonts w:hint="eastAsia" w:ascii="Times New Roman" w:hAnsi="Times New Roman" w:eastAsia="宋体" w:cs="Times New Roman"/>
                <w:color w:val="auto"/>
                <w:sz w:val="21"/>
                <w:szCs w:val="21"/>
              </w:rPr>
            </w:pPr>
          </w:p>
        </w:tc>
        <w:tc>
          <w:tcPr>
            <w:tcW w:w="1260" w:type="dxa"/>
            <w:vMerge w:val="continue"/>
            <w:tcBorders>
              <w:left w:val="single" w:color="auto" w:sz="4" w:space="0"/>
              <w:bottom w:val="single" w:color="auto" w:sz="4" w:space="0"/>
              <w:right w:val="single" w:color="auto" w:sz="4" w:space="0"/>
            </w:tcBorders>
            <w:noWrap w:val="0"/>
            <w:vAlign w:val="center"/>
          </w:tcPr>
          <w:p w14:paraId="082660BD">
            <w:pPr>
              <w:spacing w:line="300" w:lineRule="exact"/>
              <w:ind w:firstLine="0" w:firstLineChars="0"/>
              <w:jc w:val="center"/>
              <w:rPr>
                <w:rFonts w:hint="eastAsia" w:ascii="Times New Roman" w:hAnsi="Times New Roman" w:eastAsia="宋体" w:cs="Times New Roman"/>
                <w:color w:val="auto"/>
                <w:sz w:val="21"/>
                <w:szCs w:val="21"/>
              </w:rPr>
            </w:pPr>
          </w:p>
        </w:tc>
      </w:tr>
      <w:tr w14:paraId="07201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1B5A22">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973" w:type="dxa"/>
            <w:vMerge w:val="restart"/>
            <w:tcBorders>
              <w:top w:val="single" w:color="auto" w:sz="4" w:space="0"/>
              <w:left w:val="single" w:color="auto" w:sz="4" w:space="0"/>
              <w:right w:val="single" w:color="auto" w:sz="4" w:space="0"/>
            </w:tcBorders>
            <w:shd w:val="clear" w:color="auto" w:fill="auto"/>
            <w:noWrap w:val="0"/>
            <w:vAlign w:val="center"/>
          </w:tcPr>
          <w:p w14:paraId="0A3E6D84">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排水井</w:t>
            </w:r>
          </w:p>
          <w:p w14:paraId="205F2E88">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拱板添加</w:t>
            </w:r>
          </w:p>
          <w:p w14:paraId="7593AC42">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/拆除</w:t>
            </w:r>
          </w:p>
        </w:tc>
        <w:tc>
          <w:tcPr>
            <w:tcW w:w="12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549B6E1">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无尾矿工资格证书</w:t>
            </w:r>
          </w:p>
        </w:tc>
        <w:tc>
          <w:tcPr>
            <w:tcW w:w="11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028182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违规操作</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DCBB92">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64F6890">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w:t>
            </w:r>
          </w:p>
        </w:tc>
        <w:tc>
          <w:tcPr>
            <w:tcW w:w="6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6D5CD6F">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7</w:t>
            </w:r>
          </w:p>
        </w:tc>
        <w:tc>
          <w:tcPr>
            <w:tcW w:w="62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B4B9908">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42</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79562E28">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四级</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743A0EC2">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尾矿坝</w:t>
            </w:r>
          </w:p>
        </w:tc>
      </w:tr>
      <w:tr w14:paraId="20DB6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A43945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973" w:type="dxa"/>
            <w:vMerge w:val="continue"/>
            <w:tcBorders>
              <w:left w:val="single" w:color="auto" w:sz="4" w:space="0"/>
              <w:right w:val="single" w:color="auto" w:sz="4" w:space="0"/>
            </w:tcBorders>
            <w:shd w:val="clear" w:color="auto" w:fill="auto"/>
            <w:noWrap w:val="0"/>
            <w:vAlign w:val="center"/>
          </w:tcPr>
          <w:p w14:paraId="618D115E">
            <w:pPr>
              <w:spacing w:line="300" w:lineRule="exact"/>
              <w:ind w:firstLine="0" w:firstLineChars="0"/>
              <w:jc w:val="center"/>
              <w:rPr>
                <w:rFonts w:hint="eastAsia" w:ascii="Times New Roman" w:hAnsi="Times New Roman" w:eastAsia="宋体" w:cs="Times New Roman"/>
                <w:color w:val="auto"/>
                <w:sz w:val="21"/>
                <w:szCs w:val="21"/>
              </w:rPr>
            </w:pPr>
          </w:p>
        </w:tc>
        <w:tc>
          <w:tcPr>
            <w:tcW w:w="12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2303FD0">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未经相关安全培训</w:t>
            </w:r>
          </w:p>
        </w:tc>
        <w:tc>
          <w:tcPr>
            <w:tcW w:w="11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AE928B5">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违规操作</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E7C51C1">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1EE66E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w:t>
            </w:r>
          </w:p>
        </w:tc>
        <w:tc>
          <w:tcPr>
            <w:tcW w:w="6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0D0C941">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7</w:t>
            </w:r>
          </w:p>
        </w:tc>
        <w:tc>
          <w:tcPr>
            <w:tcW w:w="62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6C918A6">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42</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3B7BFE6B">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四级</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7DC19B3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尾矿坝</w:t>
            </w:r>
          </w:p>
        </w:tc>
      </w:tr>
      <w:tr w14:paraId="5DE9D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0991084">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973" w:type="dxa"/>
            <w:vMerge w:val="continue"/>
            <w:tcBorders>
              <w:left w:val="single" w:color="auto" w:sz="4" w:space="0"/>
              <w:right w:val="single" w:color="auto" w:sz="4" w:space="0"/>
            </w:tcBorders>
            <w:shd w:val="clear" w:color="auto" w:fill="auto"/>
            <w:noWrap w:val="0"/>
            <w:vAlign w:val="center"/>
          </w:tcPr>
          <w:p w14:paraId="6CCB6C5F">
            <w:pPr>
              <w:spacing w:line="300" w:lineRule="exact"/>
              <w:ind w:firstLine="0" w:firstLineChars="0"/>
              <w:jc w:val="center"/>
              <w:rPr>
                <w:rFonts w:hint="eastAsia" w:ascii="Times New Roman" w:hAnsi="Times New Roman" w:eastAsia="宋体" w:cs="Times New Roman"/>
                <w:color w:val="auto"/>
                <w:sz w:val="21"/>
                <w:szCs w:val="21"/>
              </w:rPr>
            </w:pPr>
          </w:p>
        </w:tc>
        <w:tc>
          <w:tcPr>
            <w:tcW w:w="12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AE1DAAB">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劳动防护用品穿戴不齐</w:t>
            </w:r>
          </w:p>
        </w:tc>
        <w:tc>
          <w:tcPr>
            <w:tcW w:w="11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BB9C276">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人身</w:t>
            </w:r>
          </w:p>
          <w:p w14:paraId="0EAC3230">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伤害</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DF1720E">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6EB8BD">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w:t>
            </w:r>
          </w:p>
        </w:tc>
        <w:tc>
          <w:tcPr>
            <w:tcW w:w="6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30D108E">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7</w:t>
            </w:r>
          </w:p>
        </w:tc>
        <w:tc>
          <w:tcPr>
            <w:tcW w:w="62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CA47A5">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42</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62BCF726">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四级</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7030C508">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相关人员</w:t>
            </w:r>
          </w:p>
        </w:tc>
      </w:tr>
      <w:tr w14:paraId="2034F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9F09A4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973" w:type="dxa"/>
            <w:vMerge w:val="continue"/>
            <w:tcBorders>
              <w:left w:val="single" w:color="auto" w:sz="4" w:space="0"/>
              <w:right w:val="single" w:color="auto" w:sz="4" w:space="0"/>
            </w:tcBorders>
            <w:shd w:val="clear" w:color="auto" w:fill="auto"/>
            <w:noWrap w:val="0"/>
            <w:vAlign w:val="center"/>
          </w:tcPr>
          <w:p w14:paraId="51E40858">
            <w:pPr>
              <w:spacing w:line="300" w:lineRule="exact"/>
              <w:ind w:firstLine="0" w:firstLineChars="0"/>
              <w:jc w:val="center"/>
              <w:rPr>
                <w:rFonts w:hint="eastAsia" w:ascii="Times New Roman" w:hAnsi="Times New Roman" w:eastAsia="宋体" w:cs="Times New Roman"/>
                <w:color w:val="auto"/>
                <w:sz w:val="21"/>
                <w:szCs w:val="21"/>
              </w:rPr>
            </w:pPr>
          </w:p>
        </w:tc>
        <w:tc>
          <w:tcPr>
            <w:tcW w:w="12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6F274AD">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运送拱板</w:t>
            </w:r>
          </w:p>
        </w:tc>
        <w:tc>
          <w:tcPr>
            <w:tcW w:w="11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71B3A4">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人员伤害、车辆伤害</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A7E926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5A77B5">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6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E5D1880">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15</w:t>
            </w:r>
          </w:p>
        </w:tc>
        <w:tc>
          <w:tcPr>
            <w:tcW w:w="62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05798F1">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15</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0C6A381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五级</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412ECF8D">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相关人员</w:t>
            </w:r>
          </w:p>
        </w:tc>
      </w:tr>
      <w:tr w14:paraId="33275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B97DB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5</w:t>
            </w:r>
          </w:p>
        </w:tc>
        <w:tc>
          <w:tcPr>
            <w:tcW w:w="973" w:type="dxa"/>
            <w:vMerge w:val="continue"/>
            <w:tcBorders>
              <w:left w:val="single" w:color="auto" w:sz="4" w:space="0"/>
              <w:right w:val="single" w:color="auto" w:sz="4" w:space="0"/>
            </w:tcBorders>
            <w:shd w:val="clear" w:color="auto" w:fill="auto"/>
            <w:noWrap w:val="0"/>
            <w:vAlign w:val="center"/>
          </w:tcPr>
          <w:p w14:paraId="557EBE62">
            <w:pPr>
              <w:spacing w:line="300" w:lineRule="exact"/>
              <w:ind w:firstLine="0" w:firstLineChars="0"/>
              <w:jc w:val="center"/>
              <w:rPr>
                <w:rFonts w:hint="eastAsia" w:ascii="Times New Roman" w:hAnsi="Times New Roman" w:eastAsia="宋体" w:cs="Times New Roman"/>
                <w:color w:val="auto"/>
                <w:sz w:val="21"/>
                <w:szCs w:val="21"/>
              </w:rPr>
            </w:pPr>
          </w:p>
        </w:tc>
        <w:tc>
          <w:tcPr>
            <w:tcW w:w="12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1529AD1">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拱板装卸/</w:t>
            </w:r>
          </w:p>
          <w:p w14:paraId="045735AF">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添加/拆除</w:t>
            </w:r>
          </w:p>
          <w:p w14:paraId="7FCB6161">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砸伤、压伤</w:t>
            </w:r>
          </w:p>
        </w:tc>
        <w:tc>
          <w:tcPr>
            <w:tcW w:w="11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51B1D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人员</w:t>
            </w:r>
          </w:p>
          <w:p w14:paraId="5ED6B3C2">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伤害</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A5A4DA4">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DD0650F">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6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09FFF7E">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7</w:t>
            </w:r>
          </w:p>
        </w:tc>
        <w:tc>
          <w:tcPr>
            <w:tcW w:w="62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AE8B1F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21</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3EE2413F">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四级</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2357F6E0">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个别员工</w:t>
            </w:r>
          </w:p>
        </w:tc>
      </w:tr>
      <w:tr w14:paraId="42239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E40E7B">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w:t>
            </w:r>
          </w:p>
        </w:tc>
        <w:tc>
          <w:tcPr>
            <w:tcW w:w="973" w:type="dxa"/>
            <w:vMerge w:val="continue"/>
            <w:tcBorders>
              <w:left w:val="single" w:color="auto" w:sz="4" w:space="0"/>
              <w:right w:val="single" w:color="auto" w:sz="4" w:space="0"/>
            </w:tcBorders>
            <w:shd w:val="clear" w:color="auto" w:fill="auto"/>
            <w:noWrap w:val="0"/>
            <w:vAlign w:val="center"/>
          </w:tcPr>
          <w:p w14:paraId="30E7CB53">
            <w:pPr>
              <w:spacing w:line="300" w:lineRule="exact"/>
              <w:ind w:firstLine="0" w:firstLineChars="0"/>
              <w:jc w:val="center"/>
              <w:rPr>
                <w:rFonts w:hint="eastAsia" w:ascii="Times New Roman" w:hAnsi="Times New Roman" w:eastAsia="宋体" w:cs="Times New Roman"/>
                <w:color w:val="auto"/>
                <w:sz w:val="21"/>
                <w:szCs w:val="21"/>
              </w:rPr>
            </w:pPr>
          </w:p>
        </w:tc>
        <w:tc>
          <w:tcPr>
            <w:tcW w:w="12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5463FD7">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意外坠入积水区</w:t>
            </w:r>
          </w:p>
        </w:tc>
        <w:tc>
          <w:tcPr>
            <w:tcW w:w="11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2ED475B">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淹溺</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814B596">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6F8F1E2">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6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42640DE">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15</w:t>
            </w:r>
          </w:p>
        </w:tc>
        <w:tc>
          <w:tcPr>
            <w:tcW w:w="62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E35FAD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45</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5622B67D">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四级</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7C2A79DB">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个别员工</w:t>
            </w:r>
          </w:p>
        </w:tc>
      </w:tr>
      <w:tr w14:paraId="78FFF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B08957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7</w:t>
            </w:r>
          </w:p>
        </w:tc>
        <w:tc>
          <w:tcPr>
            <w:tcW w:w="973" w:type="dxa"/>
            <w:vMerge w:val="continue"/>
            <w:tcBorders>
              <w:left w:val="single" w:color="auto" w:sz="4" w:space="0"/>
              <w:right w:val="single" w:color="auto" w:sz="4" w:space="0"/>
            </w:tcBorders>
            <w:shd w:val="clear" w:color="auto" w:fill="auto"/>
            <w:noWrap w:val="0"/>
            <w:vAlign w:val="center"/>
          </w:tcPr>
          <w:p w14:paraId="281201C4">
            <w:pPr>
              <w:spacing w:line="300" w:lineRule="exact"/>
              <w:ind w:firstLine="0" w:firstLineChars="0"/>
              <w:jc w:val="center"/>
              <w:rPr>
                <w:rFonts w:hint="eastAsia" w:ascii="Times New Roman" w:hAnsi="Times New Roman" w:eastAsia="宋体" w:cs="Times New Roman"/>
                <w:color w:val="auto"/>
                <w:sz w:val="21"/>
                <w:szCs w:val="21"/>
              </w:rPr>
            </w:pPr>
          </w:p>
        </w:tc>
        <w:tc>
          <w:tcPr>
            <w:tcW w:w="12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1C6D55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人员</w:t>
            </w:r>
          </w:p>
          <w:p w14:paraId="2DA78A95">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交叉作业</w:t>
            </w:r>
          </w:p>
        </w:tc>
        <w:tc>
          <w:tcPr>
            <w:tcW w:w="11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8DDB08">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人员伤亡</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F129A82">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489B91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6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92C7784">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15</w:t>
            </w:r>
          </w:p>
        </w:tc>
        <w:tc>
          <w:tcPr>
            <w:tcW w:w="62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45377A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15</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666BC0CB">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五级</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44AB24A5">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个别员工</w:t>
            </w:r>
          </w:p>
        </w:tc>
      </w:tr>
      <w:tr w14:paraId="02D24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3B9D343">
            <w:pPr>
              <w:spacing w:line="300" w:lineRule="exact"/>
              <w:ind w:firstLine="0" w:firstLineChars="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8</w:t>
            </w:r>
          </w:p>
        </w:tc>
        <w:tc>
          <w:tcPr>
            <w:tcW w:w="973" w:type="dxa"/>
            <w:vMerge w:val="continue"/>
            <w:tcBorders>
              <w:left w:val="single" w:color="auto" w:sz="4" w:space="0"/>
              <w:right w:val="single" w:color="auto" w:sz="4" w:space="0"/>
            </w:tcBorders>
            <w:shd w:val="clear" w:color="auto" w:fill="auto"/>
            <w:noWrap w:val="0"/>
            <w:vAlign w:val="center"/>
          </w:tcPr>
          <w:p w14:paraId="27C65596">
            <w:pPr>
              <w:spacing w:line="300" w:lineRule="exact"/>
              <w:ind w:firstLine="0" w:firstLineChars="0"/>
              <w:jc w:val="center"/>
              <w:rPr>
                <w:rFonts w:hint="eastAsia" w:ascii="Times New Roman" w:hAnsi="Times New Roman" w:eastAsia="宋体" w:cs="Times New Roman"/>
                <w:color w:val="auto"/>
                <w:sz w:val="21"/>
                <w:szCs w:val="21"/>
              </w:rPr>
            </w:pPr>
          </w:p>
        </w:tc>
        <w:tc>
          <w:tcPr>
            <w:tcW w:w="12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08F9FAD">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雷击</w:t>
            </w:r>
          </w:p>
        </w:tc>
        <w:tc>
          <w:tcPr>
            <w:tcW w:w="11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0082A31">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人员伤亡</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A39514">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26DBD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w:t>
            </w:r>
          </w:p>
        </w:tc>
        <w:tc>
          <w:tcPr>
            <w:tcW w:w="6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C2BB575">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15</w:t>
            </w:r>
          </w:p>
        </w:tc>
        <w:tc>
          <w:tcPr>
            <w:tcW w:w="62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2277AF6">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90</w:t>
            </w:r>
          </w:p>
        </w:tc>
        <w:tc>
          <w:tcPr>
            <w:tcW w:w="144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217420B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三级</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4FED644A">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库区、个别员工</w:t>
            </w:r>
          </w:p>
        </w:tc>
      </w:tr>
    </w:tbl>
    <w:p w14:paraId="44FA5133">
      <w:pPr>
        <w:bidi w:val="0"/>
        <w:rPr>
          <w:rFonts w:hint="default"/>
          <w:color w:val="auto"/>
          <w:lang w:val="en-US" w:eastAsia="zh-CN"/>
        </w:rPr>
      </w:pPr>
      <w:r>
        <w:rPr>
          <w:rFonts w:hint="default"/>
          <w:color w:val="auto"/>
          <w:lang w:val="en-US" w:eastAsia="zh-CN"/>
        </w:rPr>
        <w:t>7.3</w:t>
      </w:r>
      <w:r>
        <w:rPr>
          <w:rFonts w:hint="eastAsia"/>
          <w:color w:val="auto"/>
          <w:lang w:val="en-US" w:eastAsia="zh-CN"/>
        </w:rPr>
        <w:t xml:space="preserve"> </w:t>
      </w:r>
      <w:r>
        <w:rPr>
          <w:rFonts w:hint="default"/>
          <w:color w:val="auto"/>
          <w:lang w:val="en-US" w:eastAsia="zh-CN"/>
        </w:rPr>
        <w:t>检查（巡查、观察、观测）、维修作业危害</w:t>
      </w:r>
    </w:p>
    <w:p w14:paraId="7723ADA4">
      <w:pPr>
        <w:bidi w:val="0"/>
        <w:rPr>
          <w:rFonts w:hint="default"/>
          <w:color w:val="auto"/>
          <w:lang w:val="en-US" w:eastAsia="zh-CN"/>
        </w:rPr>
      </w:pPr>
      <w:r>
        <w:rPr>
          <w:rFonts w:hint="default"/>
          <w:color w:val="auto"/>
          <w:lang w:val="en-US" w:eastAsia="zh-CN"/>
        </w:rPr>
        <w:t>乘坐车辆出入杨家店尾矿库进行检查，需要路过村道、村庄，可能发生车辆伤害；检查人员检查（巡查、观察、观测）杨家店尾矿库时，可能注意力不集中，或不小心摔倒，或雨季路滑、冬季路面结冰打滑，导致意外摔伤；检查排水井（溢流井）或其他2m以上高的地方，可能不小心坠落，或意外坠入积水区导致淹溺；更换输送管路，可能发生伤手伤脚现象。忘记断电，更换照明灯具，造成触电事故。修复坝体排水沟，不小心被砖头、块石砸伤，或站立不稳摔伤。</w:t>
      </w:r>
    </w:p>
    <w:tbl>
      <w:tblPr>
        <w:tblStyle w:val="19"/>
        <w:tblpPr w:leftFromText="180" w:rightFromText="180" w:vertAnchor="text" w:horzAnchor="margin" w:tblpX="-144" w:tblpY="313"/>
        <w:tblW w:w="97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8"/>
        <w:gridCol w:w="1080"/>
        <w:gridCol w:w="1260"/>
        <w:gridCol w:w="1260"/>
        <w:gridCol w:w="540"/>
        <w:gridCol w:w="540"/>
        <w:gridCol w:w="540"/>
        <w:gridCol w:w="540"/>
        <w:gridCol w:w="1481"/>
        <w:gridCol w:w="2088"/>
      </w:tblGrid>
      <w:tr w14:paraId="586CE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468" w:type="dxa"/>
            <w:vMerge w:val="restart"/>
            <w:tcBorders>
              <w:top w:val="single" w:color="auto" w:sz="4" w:space="0"/>
              <w:left w:val="single" w:color="auto" w:sz="4" w:space="0"/>
              <w:right w:val="single" w:color="auto" w:sz="4" w:space="0"/>
            </w:tcBorders>
            <w:noWrap w:val="0"/>
            <w:vAlign w:val="center"/>
          </w:tcPr>
          <w:p w14:paraId="2C20FFB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序号</w:t>
            </w:r>
          </w:p>
        </w:tc>
        <w:tc>
          <w:tcPr>
            <w:tcW w:w="1080" w:type="dxa"/>
            <w:vMerge w:val="restart"/>
            <w:tcBorders>
              <w:top w:val="single" w:color="auto" w:sz="4" w:space="0"/>
              <w:left w:val="single" w:color="auto" w:sz="4" w:space="0"/>
              <w:right w:val="single" w:color="auto" w:sz="4" w:space="0"/>
            </w:tcBorders>
            <w:noWrap w:val="0"/>
            <w:vAlign w:val="center"/>
          </w:tcPr>
          <w:p w14:paraId="0E14445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作业活动/工序</w:t>
            </w:r>
          </w:p>
        </w:tc>
        <w:tc>
          <w:tcPr>
            <w:tcW w:w="1260" w:type="dxa"/>
            <w:vMerge w:val="restart"/>
            <w:tcBorders>
              <w:top w:val="single" w:color="auto" w:sz="4" w:space="0"/>
              <w:left w:val="single" w:color="auto" w:sz="4" w:space="0"/>
              <w:right w:val="single" w:color="auto" w:sz="4" w:space="0"/>
            </w:tcBorders>
            <w:noWrap w:val="0"/>
            <w:vAlign w:val="center"/>
          </w:tcPr>
          <w:p w14:paraId="7D588B48">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危险源</w:t>
            </w:r>
          </w:p>
          <w:p w14:paraId="1D8E7658">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及风险</w:t>
            </w:r>
          </w:p>
        </w:tc>
        <w:tc>
          <w:tcPr>
            <w:tcW w:w="1260" w:type="dxa"/>
            <w:vMerge w:val="restart"/>
            <w:tcBorders>
              <w:top w:val="single" w:color="auto" w:sz="4" w:space="0"/>
              <w:left w:val="single" w:color="auto" w:sz="4" w:space="0"/>
              <w:right w:val="single" w:color="auto" w:sz="4" w:space="0"/>
            </w:tcBorders>
            <w:noWrap w:val="0"/>
            <w:vAlign w:val="center"/>
          </w:tcPr>
          <w:p w14:paraId="6DCD3315">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可能后果</w:t>
            </w:r>
          </w:p>
        </w:tc>
        <w:tc>
          <w:tcPr>
            <w:tcW w:w="2160" w:type="dxa"/>
            <w:gridSpan w:val="4"/>
            <w:tcBorders>
              <w:top w:val="single" w:color="auto" w:sz="4" w:space="0"/>
              <w:left w:val="single" w:color="auto" w:sz="4" w:space="0"/>
              <w:bottom w:val="single" w:color="auto" w:sz="4" w:space="0"/>
              <w:right w:val="single" w:color="auto" w:sz="4" w:space="0"/>
            </w:tcBorders>
            <w:noWrap w:val="0"/>
            <w:vAlign w:val="center"/>
          </w:tcPr>
          <w:p w14:paraId="32D29D62">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风险值D=L·E·C</w:t>
            </w:r>
          </w:p>
        </w:tc>
        <w:tc>
          <w:tcPr>
            <w:tcW w:w="1481" w:type="dxa"/>
            <w:vMerge w:val="restart"/>
            <w:tcBorders>
              <w:top w:val="single" w:color="auto" w:sz="4" w:space="0"/>
              <w:left w:val="single" w:color="auto" w:sz="4" w:space="0"/>
              <w:right w:val="single" w:color="auto" w:sz="4" w:space="0"/>
            </w:tcBorders>
            <w:noWrap w:val="0"/>
            <w:vAlign w:val="center"/>
          </w:tcPr>
          <w:p w14:paraId="1B44616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危险性程度（风险等级）</w:t>
            </w:r>
          </w:p>
        </w:tc>
        <w:tc>
          <w:tcPr>
            <w:tcW w:w="2088" w:type="dxa"/>
            <w:vMerge w:val="restart"/>
            <w:tcBorders>
              <w:top w:val="single" w:color="auto" w:sz="4" w:space="0"/>
              <w:left w:val="single" w:color="auto" w:sz="4" w:space="0"/>
              <w:right w:val="single" w:color="auto" w:sz="4" w:space="0"/>
            </w:tcBorders>
            <w:noWrap w:val="0"/>
            <w:vAlign w:val="center"/>
          </w:tcPr>
          <w:p w14:paraId="7CAF6E3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影响范围</w:t>
            </w:r>
          </w:p>
        </w:tc>
      </w:tr>
      <w:tr w14:paraId="2C6964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468" w:type="dxa"/>
            <w:vMerge w:val="continue"/>
            <w:tcBorders>
              <w:left w:val="single" w:color="auto" w:sz="4" w:space="0"/>
              <w:bottom w:val="single" w:color="auto" w:sz="4" w:space="0"/>
              <w:right w:val="single" w:color="auto" w:sz="4" w:space="0"/>
            </w:tcBorders>
            <w:noWrap w:val="0"/>
            <w:vAlign w:val="center"/>
          </w:tcPr>
          <w:p w14:paraId="512C8EC2">
            <w:pPr>
              <w:spacing w:line="300" w:lineRule="exact"/>
              <w:ind w:firstLine="0" w:firstLineChars="0"/>
              <w:jc w:val="center"/>
              <w:rPr>
                <w:rFonts w:hint="eastAsia" w:ascii="Times New Roman" w:hAnsi="Times New Roman" w:eastAsia="宋体" w:cs="Times New Roman"/>
                <w:color w:val="auto"/>
                <w:sz w:val="21"/>
                <w:szCs w:val="21"/>
              </w:rPr>
            </w:pPr>
          </w:p>
        </w:tc>
        <w:tc>
          <w:tcPr>
            <w:tcW w:w="1080" w:type="dxa"/>
            <w:vMerge w:val="continue"/>
            <w:tcBorders>
              <w:left w:val="single" w:color="auto" w:sz="4" w:space="0"/>
              <w:bottom w:val="single" w:color="auto" w:sz="4" w:space="0"/>
              <w:right w:val="single" w:color="auto" w:sz="4" w:space="0"/>
            </w:tcBorders>
            <w:noWrap w:val="0"/>
            <w:vAlign w:val="center"/>
          </w:tcPr>
          <w:p w14:paraId="50D03E57">
            <w:pPr>
              <w:spacing w:line="300" w:lineRule="exact"/>
              <w:ind w:firstLine="0" w:firstLineChars="0"/>
              <w:jc w:val="center"/>
              <w:rPr>
                <w:rFonts w:hint="eastAsia" w:ascii="Times New Roman" w:hAnsi="Times New Roman" w:eastAsia="宋体" w:cs="Times New Roman"/>
                <w:color w:val="auto"/>
                <w:sz w:val="21"/>
                <w:szCs w:val="21"/>
              </w:rPr>
            </w:pPr>
          </w:p>
        </w:tc>
        <w:tc>
          <w:tcPr>
            <w:tcW w:w="1260" w:type="dxa"/>
            <w:vMerge w:val="continue"/>
            <w:tcBorders>
              <w:left w:val="single" w:color="auto" w:sz="4" w:space="0"/>
              <w:bottom w:val="single" w:color="auto" w:sz="4" w:space="0"/>
              <w:right w:val="single" w:color="auto" w:sz="4" w:space="0"/>
            </w:tcBorders>
            <w:noWrap w:val="0"/>
            <w:vAlign w:val="center"/>
          </w:tcPr>
          <w:p w14:paraId="75A2501F">
            <w:pPr>
              <w:spacing w:line="300" w:lineRule="exact"/>
              <w:ind w:firstLine="0" w:firstLineChars="0"/>
              <w:jc w:val="center"/>
              <w:rPr>
                <w:rFonts w:hint="eastAsia" w:ascii="Times New Roman" w:hAnsi="Times New Roman" w:eastAsia="宋体" w:cs="Times New Roman"/>
                <w:color w:val="auto"/>
                <w:sz w:val="21"/>
                <w:szCs w:val="21"/>
              </w:rPr>
            </w:pPr>
          </w:p>
        </w:tc>
        <w:tc>
          <w:tcPr>
            <w:tcW w:w="1260" w:type="dxa"/>
            <w:vMerge w:val="continue"/>
            <w:tcBorders>
              <w:left w:val="single" w:color="auto" w:sz="4" w:space="0"/>
              <w:bottom w:val="single" w:color="auto" w:sz="4" w:space="0"/>
              <w:right w:val="single" w:color="auto" w:sz="4" w:space="0"/>
            </w:tcBorders>
            <w:noWrap w:val="0"/>
            <w:vAlign w:val="center"/>
          </w:tcPr>
          <w:p w14:paraId="4010CAE1">
            <w:pPr>
              <w:spacing w:line="300" w:lineRule="exact"/>
              <w:ind w:firstLine="0" w:firstLineChars="0"/>
              <w:jc w:val="center"/>
              <w:rPr>
                <w:rFonts w:hint="eastAsia" w:ascii="Times New Roman" w:hAnsi="Times New Roman" w:eastAsia="宋体" w:cs="Times New Roman"/>
                <w:color w:val="auto"/>
                <w:sz w:val="21"/>
                <w:szCs w:val="21"/>
              </w:rPr>
            </w:pPr>
          </w:p>
        </w:tc>
        <w:tc>
          <w:tcPr>
            <w:tcW w:w="540" w:type="dxa"/>
            <w:tcBorders>
              <w:top w:val="single" w:color="auto" w:sz="4" w:space="0"/>
              <w:left w:val="single" w:color="auto" w:sz="4" w:space="0"/>
              <w:bottom w:val="single" w:color="auto" w:sz="4" w:space="0"/>
              <w:right w:val="single" w:color="auto" w:sz="4" w:space="0"/>
            </w:tcBorders>
            <w:noWrap w:val="0"/>
            <w:vAlign w:val="center"/>
          </w:tcPr>
          <w:p w14:paraId="31E9F2D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L</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7E34957E">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E</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66759F76">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C</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280A9F2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D</w:t>
            </w:r>
          </w:p>
        </w:tc>
        <w:tc>
          <w:tcPr>
            <w:tcW w:w="1481" w:type="dxa"/>
            <w:vMerge w:val="continue"/>
            <w:tcBorders>
              <w:left w:val="single" w:color="auto" w:sz="4" w:space="0"/>
              <w:bottom w:val="single" w:color="auto" w:sz="4" w:space="0"/>
              <w:right w:val="single" w:color="auto" w:sz="4" w:space="0"/>
            </w:tcBorders>
            <w:noWrap w:val="0"/>
            <w:vAlign w:val="center"/>
          </w:tcPr>
          <w:p w14:paraId="2D6AA550">
            <w:pPr>
              <w:spacing w:line="300" w:lineRule="exact"/>
              <w:ind w:firstLine="0" w:firstLineChars="0"/>
              <w:jc w:val="center"/>
              <w:rPr>
                <w:rFonts w:hint="eastAsia" w:ascii="Times New Roman" w:hAnsi="Times New Roman" w:eastAsia="宋体" w:cs="Times New Roman"/>
                <w:color w:val="auto"/>
                <w:sz w:val="21"/>
                <w:szCs w:val="21"/>
              </w:rPr>
            </w:pPr>
          </w:p>
        </w:tc>
        <w:tc>
          <w:tcPr>
            <w:tcW w:w="2088" w:type="dxa"/>
            <w:vMerge w:val="continue"/>
            <w:tcBorders>
              <w:left w:val="single" w:color="auto" w:sz="4" w:space="0"/>
              <w:bottom w:val="single" w:color="auto" w:sz="4" w:space="0"/>
              <w:right w:val="single" w:color="auto" w:sz="4" w:space="0"/>
            </w:tcBorders>
            <w:noWrap w:val="0"/>
            <w:vAlign w:val="center"/>
          </w:tcPr>
          <w:p w14:paraId="1B732503">
            <w:pPr>
              <w:spacing w:line="300" w:lineRule="exact"/>
              <w:ind w:firstLine="0" w:firstLineChars="0"/>
              <w:jc w:val="center"/>
              <w:rPr>
                <w:rFonts w:hint="eastAsia" w:ascii="Times New Roman" w:hAnsi="Times New Roman" w:eastAsia="宋体" w:cs="Times New Roman"/>
                <w:color w:val="auto"/>
                <w:sz w:val="21"/>
                <w:szCs w:val="21"/>
              </w:rPr>
            </w:pPr>
          </w:p>
        </w:tc>
      </w:tr>
      <w:tr w14:paraId="4B666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5F8A28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1080" w:type="dxa"/>
            <w:vMerge w:val="restart"/>
            <w:tcBorders>
              <w:top w:val="single" w:color="auto" w:sz="4" w:space="0"/>
              <w:left w:val="single" w:color="auto" w:sz="4" w:space="0"/>
              <w:right w:val="single" w:color="auto" w:sz="4" w:space="0"/>
            </w:tcBorders>
            <w:shd w:val="clear" w:color="auto" w:fill="auto"/>
            <w:noWrap w:val="0"/>
            <w:vAlign w:val="center"/>
          </w:tcPr>
          <w:p w14:paraId="58509EF4">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检查</w:t>
            </w:r>
          </w:p>
          <w:p w14:paraId="45C93307">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/维修</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D8FA0F0">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无尾矿工资格证书</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A65A148">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违规操作</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0D3A194">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4C8A9D7">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CA50C96">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7</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90DD77F">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42</w:t>
            </w:r>
          </w:p>
        </w:tc>
        <w:tc>
          <w:tcPr>
            <w:tcW w:w="1481"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131B3A86">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四级</w:t>
            </w:r>
          </w:p>
        </w:tc>
        <w:tc>
          <w:tcPr>
            <w:tcW w:w="2088" w:type="dxa"/>
            <w:tcBorders>
              <w:top w:val="single" w:color="auto" w:sz="4" w:space="0"/>
              <w:left w:val="single" w:color="auto" w:sz="4" w:space="0"/>
              <w:bottom w:val="single" w:color="auto" w:sz="4" w:space="0"/>
              <w:right w:val="single" w:color="auto" w:sz="4" w:space="0"/>
            </w:tcBorders>
            <w:noWrap w:val="0"/>
            <w:vAlign w:val="center"/>
          </w:tcPr>
          <w:p w14:paraId="4ACD4DF7">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尾矿坝</w:t>
            </w:r>
          </w:p>
        </w:tc>
      </w:tr>
      <w:tr w14:paraId="56CAD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B29EDA">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1080" w:type="dxa"/>
            <w:vMerge w:val="continue"/>
            <w:tcBorders>
              <w:left w:val="single" w:color="auto" w:sz="4" w:space="0"/>
              <w:right w:val="single" w:color="auto" w:sz="4" w:space="0"/>
            </w:tcBorders>
            <w:shd w:val="clear" w:color="auto" w:fill="auto"/>
            <w:noWrap w:val="0"/>
            <w:vAlign w:val="center"/>
          </w:tcPr>
          <w:p w14:paraId="2483CB73">
            <w:pPr>
              <w:spacing w:line="300" w:lineRule="exact"/>
              <w:ind w:firstLine="0" w:firstLineChars="0"/>
              <w:jc w:val="center"/>
              <w:rPr>
                <w:rFonts w:hint="eastAsia" w:ascii="Times New Roman" w:hAnsi="Times New Roman" w:eastAsia="宋体" w:cs="Times New Roman"/>
                <w:color w:val="auto"/>
                <w:sz w:val="21"/>
                <w:szCs w:val="21"/>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7A2565">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未经相关安全培训</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F135EA">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违规操作</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8D997C6">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84FF95">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BF011E2">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7</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2C2EF86">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42</w:t>
            </w:r>
          </w:p>
        </w:tc>
        <w:tc>
          <w:tcPr>
            <w:tcW w:w="1481"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533BB841">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四级</w:t>
            </w:r>
          </w:p>
        </w:tc>
        <w:tc>
          <w:tcPr>
            <w:tcW w:w="2088" w:type="dxa"/>
            <w:tcBorders>
              <w:top w:val="single" w:color="auto" w:sz="4" w:space="0"/>
              <w:left w:val="single" w:color="auto" w:sz="4" w:space="0"/>
              <w:bottom w:val="single" w:color="auto" w:sz="4" w:space="0"/>
              <w:right w:val="single" w:color="auto" w:sz="4" w:space="0"/>
            </w:tcBorders>
            <w:noWrap w:val="0"/>
            <w:vAlign w:val="center"/>
          </w:tcPr>
          <w:p w14:paraId="2E2B64F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尾矿坝</w:t>
            </w:r>
          </w:p>
        </w:tc>
      </w:tr>
      <w:tr w14:paraId="1F0E6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21DB03A">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1080" w:type="dxa"/>
            <w:vMerge w:val="continue"/>
            <w:tcBorders>
              <w:left w:val="single" w:color="auto" w:sz="4" w:space="0"/>
              <w:right w:val="single" w:color="auto" w:sz="4" w:space="0"/>
            </w:tcBorders>
            <w:shd w:val="clear" w:color="auto" w:fill="auto"/>
            <w:noWrap w:val="0"/>
            <w:vAlign w:val="center"/>
          </w:tcPr>
          <w:p w14:paraId="19D7C6CE">
            <w:pPr>
              <w:spacing w:line="300" w:lineRule="exact"/>
              <w:ind w:firstLine="0" w:firstLineChars="0"/>
              <w:jc w:val="center"/>
              <w:rPr>
                <w:rFonts w:hint="eastAsia" w:ascii="Times New Roman" w:hAnsi="Times New Roman" w:eastAsia="宋体" w:cs="Times New Roman"/>
                <w:color w:val="auto"/>
                <w:sz w:val="21"/>
                <w:szCs w:val="21"/>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1AA6FB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劳动防护用品穿戴不齐</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6E231BD">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人身</w:t>
            </w:r>
          </w:p>
          <w:p w14:paraId="3680BAE5">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伤害</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011266A">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8F9EC40">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22FB8E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7</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60FD205">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42</w:t>
            </w:r>
          </w:p>
        </w:tc>
        <w:tc>
          <w:tcPr>
            <w:tcW w:w="1481"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75280EB6">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四级</w:t>
            </w:r>
          </w:p>
        </w:tc>
        <w:tc>
          <w:tcPr>
            <w:tcW w:w="2088" w:type="dxa"/>
            <w:tcBorders>
              <w:top w:val="single" w:color="auto" w:sz="4" w:space="0"/>
              <w:left w:val="single" w:color="auto" w:sz="4" w:space="0"/>
              <w:bottom w:val="single" w:color="auto" w:sz="4" w:space="0"/>
              <w:right w:val="single" w:color="auto" w:sz="4" w:space="0"/>
            </w:tcBorders>
            <w:noWrap w:val="0"/>
            <w:vAlign w:val="center"/>
          </w:tcPr>
          <w:p w14:paraId="27382886">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相关人员</w:t>
            </w:r>
          </w:p>
        </w:tc>
      </w:tr>
      <w:tr w14:paraId="30BE7A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393E7B">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1080" w:type="dxa"/>
            <w:vMerge w:val="continue"/>
            <w:tcBorders>
              <w:left w:val="single" w:color="auto" w:sz="4" w:space="0"/>
              <w:right w:val="single" w:color="auto" w:sz="4" w:space="0"/>
            </w:tcBorders>
            <w:shd w:val="clear" w:color="auto" w:fill="auto"/>
            <w:noWrap w:val="0"/>
            <w:vAlign w:val="center"/>
          </w:tcPr>
          <w:p w14:paraId="58A0C8E6">
            <w:pPr>
              <w:spacing w:line="300" w:lineRule="exact"/>
              <w:ind w:firstLine="0" w:firstLineChars="0"/>
              <w:jc w:val="center"/>
              <w:rPr>
                <w:rFonts w:hint="eastAsia" w:ascii="Times New Roman" w:hAnsi="Times New Roman" w:eastAsia="宋体" w:cs="Times New Roman"/>
                <w:color w:val="auto"/>
                <w:sz w:val="21"/>
                <w:szCs w:val="21"/>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8A139C7">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触电</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6ADDF7F">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人员伤亡</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C4153C7">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0FD1510">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AC0F628">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15</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E60081">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45</w:t>
            </w:r>
          </w:p>
        </w:tc>
        <w:tc>
          <w:tcPr>
            <w:tcW w:w="1481"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51178D1F">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四级</w:t>
            </w:r>
          </w:p>
        </w:tc>
        <w:tc>
          <w:tcPr>
            <w:tcW w:w="2088" w:type="dxa"/>
            <w:tcBorders>
              <w:top w:val="single" w:color="auto" w:sz="4" w:space="0"/>
              <w:left w:val="single" w:color="auto" w:sz="4" w:space="0"/>
              <w:bottom w:val="single" w:color="auto" w:sz="4" w:space="0"/>
              <w:right w:val="single" w:color="auto" w:sz="4" w:space="0"/>
            </w:tcBorders>
            <w:noWrap w:val="0"/>
            <w:vAlign w:val="center"/>
          </w:tcPr>
          <w:p w14:paraId="3A09B93E">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相关人员</w:t>
            </w:r>
          </w:p>
        </w:tc>
      </w:tr>
      <w:tr w14:paraId="53C8B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F2F75F2">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5</w:t>
            </w:r>
          </w:p>
        </w:tc>
        <w:tc>
          <w:tcPr>
            <w:tcW w:w="1080" w:type="dxa"/>
            <w:vMerge w:val="continue"/>
            <w:tcBorders>
              <w:left w:val="single" w:color="auto" w:sz="4" w:space="0"/>
              <w:right w:val="single" w:color="auto" w:sz="4" w:space="0"/>
            </w:tcBorders>
            <w:shd w:val="clear" w:color="auto" w:fill="auto"/>
            <w:noWrap w:val="0"/>
            <w:vAlign w:val="center"/>
          </w:tcPr>
          <w:p w14:paraId="2D5DEB19">
            <w:pPr>
              <w:spacing w:line="300" w:lineRule="exact"/>
              <w:ind w:firstLine="0" w:firstLineChars="0"/>
              <w:jc w:val="center"/>
              <w:rPr>
                <w:rFonts w:hint="eastAsia" w:ascii="Times New Roman" w:hAnsi="Times New Roman" w:eastAsia="宋体" w:cs="Times New Roman"/>
                <w:color w:val="auto"/>
                <w:sz w:val="21"/>
                <w:szCs w:val="21"/>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69F080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意外摔倒</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8B8489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人员伤害</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CE20728">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888BA34">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49E641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7</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2F0991D">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42</w:t>
            </w:r>
          </w:p>
        </w:tc>
        <w:tc>
          <w:tcPr>
            <w:tcW w:w="1481"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155D975E">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四级</w:t>
            </w:r>
          </w:p>
        </w:tc>
        <w:tc>
          <w:tcPr>
            <w:tcW w:w="2088" w:type="dxa"/>
            <w:tcBorders>
              <w:top w:val="single" w:color="auto" w:sz="4" w:space="0"/>
              <w:left w:val="single" w:color="auto" w:sz="4" w:space="0"/>
              <w:bottom w:val="single" w:color="auto" w:sz="4" w:space="0"/>
              <w:right w:val="single" w:color="auto" w:sz="4" w:space="0"/>
            </w:tcBorders>
            <w:noWrap w:val="0"/>
            <w:vAlign w:val="center"/>
          </w:tcPr>
          <w:p w14:paraId="249C4AEA">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个别员工</w:t>
            </w:r>
          </w:p>
        </w:tc>
      </w:tr>
      <w:tr w14:paraId="58870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4A7F175">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w:t>
            </w:r>
          </w:p>
        </w:tc>
        <w:tc>
          <w:tcPr>
            <w:tcW w:w="1080" w:type="dxa"/>
            <w:vMerge w:val="continue"/>
            <w:tcBorders>
              <w:left w:val="single" w:color="auto" w:sz="4" w:space="0"/>
              <w:right w:val="single" w:color="auto" w:sz="4" w:space="0"/>
            </w:tcBorders>
            <w:shd w:val="clear" w:color="auto" w:fill="auto"/>
            <w:noWrap w:val="0"/>
            <w:vAlign w:val="center"/>
          </w:tcPr>
          <w:p w14:paraId="712778BE">
            <w:pPr>
              <w:spacing w:line="300" w:lineRule="exact"/>
              <w:ind w:firstLine="0" w:firstLineChars="0"/>
              <w:jc w:val="center"/>
              <w:rPr>
                <w:rFonts w:hint="eastAsia" w:ascii="Times New Roman" w:hAnsi="Times New Roman" w:eastAsia="宋体" w:cs="Times New Roman"/>
                <w:color w:val="auto"/>
                <w:sz w:val="21"/>
                <w:szCs w:val="21"/>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F677D7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意外坠入积水区</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97250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淹溺</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EC3336F">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081700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2651F9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15</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821CA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45</w:t>
            </w:r>
          </w:p>
        </w:tc>
        <w:tc>
          <w:tcPr>
            <w:tcW w:w="1481"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58C082A4">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四级</w:t>
            </w:r>
          </w:p>
        </w:tc>
        <w:tc>
          <w:tcPr>
            <w:tcW w:w="2088" w:type="dxa"/>
            <w:tcBorders>
              <w:top w:val="single" w:color="auto" w:sz="4" w:space="0"/>
              <w:left w:val="single" w:color="auto" w:sz="4" w:space="0"/>
              <w:bottom w:val="single" w:color="auto" w:sz="4" w:space="0"/>
              <w:right w:val="single" w:color="auto" w:sz="4" w:space="0"/>
            </w:tcBorders>
            <w:noWrap w:val="0"/>
            <w:vAlign w:val="center"/>
          </w:tcPr>
          <w:p w14:paraId="0CB5B7E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个别员工</w:t>
            </w:r>
          </w:p>
        </w:tc>
      </w:tr>
      <w:tr w14:paraId="7CA2C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C4D342D">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7</w:t>
            </w:r>
          </w:p>
        </w:tc>
        <w:tc>
          <w:tcPr>
            <w:tcW w:w="1080" w:type="dxa"/>
            <w:vMerge w:val="continue"/>
            <w:tcBorders>
              <w:left w:val="single" w:color="auto" w:sz="4" w:space="0"/>
              <w:right w:val="single" w:color="auto" w:sz="4" w:space="0"/>
            </w:tcBorders>
            <w:shd w:val="clear" w:color="auto" w:fill="auto"/>
            <w:noWrap w:val="0"/>
            <w:vAlign w:val="center"/>
          </w:tcPr>
          <w:p w14:paraId="3A7D079A">
            <w:pPr>
              <w:spacing w:line="300" w:lineRule="exact"/>
              <w:ind w:firstLine="0" w:firstLineChars="0"/>
              <w:jc w:val="center"/>
              <w:rPr>
                <w:rFonts w:hint="eastAsia" w:ascii="Times New Roman" w:hAnsi="Times New Roman" w:eastAsia="宋体" w:cs="Times New Roman"/>
                <w:color w:val="auto"/>
                <w:sz w:val="21"/>
                <w:szCs w:val="21"/>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E9A2937">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人员</w:t>
            </w:r>
          </w:p>
          <w:p w14:paraId="143C1648">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交叉作业</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5EA915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人员伤亡</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82D5442">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04C1E57">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A9E40F">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15</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C5BB5CF">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15</w:t>
            </w:r>
          </w:p>
        </w:tc>
        <w:tc>
          <w:tcPr>
            <w:tcW w:w="1481"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28DEDED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五级</w:t>
            </w:r>
          </w:p>
        </w:tc>
        <w:tc>
          <w:tcPr>
            <w:tcW w:w="2088" w:type="dxa"/>
            <w:tcBorders>
              <w:top w:val="single" w:color="auto" w:sz="4" w:space="0"/>
              <w:left w:val="single" w:color="auto" w:sz="4" w:space="0"/>
              <w:bottom w:val="single" w:color="auto" w:sz="4" w:space="0"/>
              <w:right w:val="single" w:color="auto" w:sz="4" w:space="0"/>
            </w:tcBorders>
            <w:noWrap w:val="0"/>
            <w:vAlign w:val="center"/>
          </w:tcPr>
          <w:p w14:paraId="1341072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个别员工</w:t>
            </w:r>
          </w:p>
        </w:tc>
      </w:tr>
      <w:tr w14:paraId="67C2B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B47AF75">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w:t>
            </w:r>
          </w:p>
        </w:tc>
        <w:tc>
          <w:tcPr>
            <w:tcW w:w="1080" w:type="dxa"/>
            <w:vMerge w:val="continue"/>
            <w:tcBorders>
              <w:left w:val="single" w:color="auto" w:sz="4" w:space="0"/>
              <w:right w:val="single" w:color="auto" w:sz="4" w:space="0"/>
            </w:tcBorders>
            <w:shd w:val="clear" w:color="auto" w:fill="auto"/>
            <w:noWrap w:val="0"/>
            <w:vAlign w:val="center"/>
          </w:tcPr>
          <w:p w14:paraId="334084BB">
            <w:pPr>
              <w:spacing w:line="300" w:lineRule="exact"/>
              <w:ind w:firstLine="0" w:firstLineChars="0"/>
              <w:jc w:val="center"/>
              <w:rPr>
                <w:rFonts w:hint="eastAsia" w:ascii="Times New Roman" w:hAnsi="Times New Roman" w:eastAsia="宋体" w:cs="Times New Roman"/>
                <w:color w:val="auto"/>
                <w:sz w:val="21"/>
                <w:szCs w:val="21"/>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63530B2">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雷击</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5874E57">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人员伤亡</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50FE3D8">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22D55B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A6D23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15</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7998A41">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90</w:t>
            </w:r>
          </w:p>
        </w:tc>
        <w:tc>
          <w:tcPr>
            <w:tcW w:w="1481"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025E21BF">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三级</w:t>
            </w:r>
          </w:p>
        </w:tc>
        <w:tc>
          <w:tcPr>
            <w:tcW w:w="2088" w:type="dxa"/>
            <w:tcBorders>
              <w:top w:val="single" w:color="auto" w:sz="4" w:space="0"/>
              <w:left w:val="single" w:color="auto" w:sz="4" w:space="0"/>
              <w:bottom w:val="single" w:color="auto" w:sz="4" w:space="0"/>
              <w:right w:val="single" w:color="auto" w:sz="4" w:space="0"/>
            </w:tcBorders>
            <w:noWrap w:val="0"/>
            <w:vAlign w:val="center"/>
          </w:tcPr>
          <w:p w14:paraId="7DAD2E7D">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库区、个别员工</w:t>
            </w:r>
          </w:p>
        </w:tc>
      </w:tr>
      <w:tr w14:paraId="22710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18354F1">
            <w:pPr>
              <w:spacing w:line="300" w:lineRule="exact"/>
              <w:ind w:firstLine="0" w:firstLineChars="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9</w:t>
            </w:r>
          </w:p>
        </w:tc>
        <w:tc>
          <w:tcPr>
            <w:tcW w:w="1080" w:type="dxa"/>
            <w:vMerge w:val="continue"/>
            <w:tcBorders>
              <w:left w:val="single" w:color="auto" w:sz="4" w:space="0"/>
              <w:right w:val="single" w:color="auto" w:sz="4" w:space="0"/>
            </w:tcBorders>
            <w:shd w:val="clear" w:color="auto" w:fill="auto"/>
            <w:noWrap w:val="0"/>
            <w:vAlign w:val="center"/>
          </w:tcPr>
          <w:p w14:paraId="73BA44E7">
            <w:pPr>
              <w:spacing w:line="300" w:lineRule="exact"/>
              <w:ind w:firstLine="0" w:firstLineChars="0"/>
              <w:jc w:val="center"/>
              <w:rPr>
                <w:rFonts w:hint="eastAsia" w:ascii="Times New Roman" w:hAnsi="Times New Roman" w:eastAsia="宋体" w:cs="Times New Roman"/>
                <w:color w:val="auto"/>
                <w:sz w:val="21"/>
                <w:szCs w:val="21"/>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EDE5B95">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粉尘</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8D136E">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矽肺</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70AC01A">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645755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C282757">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7</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20CEE7B">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63</w:t>
            </w:r>
          </w:p>
        </w:tc>
        <w:tc>
          <w:tcPr>
            <w:tcW w:w="1481"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4D3D702F">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四级</w:t>
            </w:r>
          </w:p>
        </w:tc>
        <w:tc>
          <w:tcPr>
            <w:tcW w:w="2088" w:type="dxa"/>
            <w:tcBorders>
              <w:top w:val="single" w:color="auto" w:sz="4" w:space="0"/>
              <w:left w:val="single" w:color="auto" w:sz="4" w:space="0"/>
              <w:bottom w:val="single" w:color="auto" w:sz="4" w:space="0"/>
              <w:right w:val="single" w:color="auto" w:sz="4" w:space="0"/>
            </w:tcBorders>
            <w:noWrap w:val="0"/>
            <w:vAlign w:val="center"/>
          </w:tcPr>
          <w:p w14:paraId="57726626">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周边村庄、个别员工</w:t>
            </w:r>
          </w:p>
        </w:tc>
      </w:tr>
      <w:tr w14:paraId="086CC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02595B3">
            <w:pPr>
              <w:spacing w:line="300" w:lineRule="exact"/>
              <w:ind w:firstLine="0" w:firstLineChars="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val="en-US" w:eastAsia="zh-CN"/>
              </w:rPr>
              <w:t>0</w:t>
            </w:r>
          </w:p>
        </w:tc>
        <w:tc>
          <w:tcPr>
            <w:tcW w:w="1080" w:type="dxa"/>
            <w:vMerge w:val="continue"/>
            <w:tcBorders>
              <w:left w:val="single" w:color="auto" w:sz="4" w:space="0"/>
              <w:right w:val="single" w:color="auto" w:sz="4" w:space="0"/>
            </w:tcBorders>
            <w:shd w:val="clear" w:color="auto" w:fill="auto"/>
            <w:noWrap w:val="0"/>
            <w:vAlign w:val="center"/>
          </w:tcPr>
          <w:p w14:paraId="6359C695">
            <w:pPr>
              <w:spacing w:line="300" w:lineRule="exact"/>
              <w:ind w:firstLine="0" w:firstLineChars="0"/>
              <w:jc w:val="center"/>
              <w:rPr>
                <w:rFonts w:hint="eastAsia" w:ascii="Times New Roman" w:hAnsi="Times New Roman" w:eastAsia="宋体" w:cs="Times New Roman"/>
                <w:color w:val="auto"/>
                <w:sz w:val="21"/>
                <w:szCs w:val="21"/>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07F1985">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车辆伤害</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630D5E">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人员伤亡</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DCE25FF">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0.5</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C443241">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F34B51">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15</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05B8FFD">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45</w:t>
            </w:r>
          </w:p>
        </w:tc>
        <w:tc>
          <w:tcPr>
            <w:tcW w:w="1481"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6552C44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四级</w:t>
            </w:r>
          </w:p>
        </w:tc>
        <w:tc>
          <w:tcPr>
            <w:tcW w:w="2088" w:type="dxa"/>
            <w:tcBorders>
              <w:top w:val="single" w:color="auto" w:sz="4" w:space="0"/>
              <w:left w:val="single" w:color="auto" w:sz="4" w:space="0"/>
              <w:bottom w:val="single" w:color="auto" w:sz="4" w:space="0"/>
              <w:right w:val="single" w:color="auto" w:sz="4" w:space="0"/>
            </w:tcBorders>
            <w:noWrap w:val="0"/>
            <w:vAlign w:val="center"/>
          </w:tcPr>
          <w:p w14:paraId="23CBC26D">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相关人员</w:t>
            </w:r>
          </w:p>
        </w:tc>
      </w:tr>
      <w:tr w14:paraId="1CB36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32F820">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val="en-US" w:eastAsia="zh-CN"/>
              </w:rPr>
              <w:t>1</w:t>
            </w:r>
          </w:p>
        </w:tc>
        <w:tc>
          <w:tcPr>
            <w:tcW w:w="1080" w:type="dxa"/>
            <w:vMerge w:val="continue"/>
            <w:tcBorders>
              <w:left w:val="single" w:color="auto" w:sz="4" w:space="0"/>
              <w:right w:val="single" w:color="auto" w:sz="4" w:space="0"/>
            </w:tcBorders>
            <w:shd w:val="clear" w:color="auto" w:fill="auto"/>
            <w:noWrap w:val="0"/>
            <w:vAlign w:val="center"/>
          </w:tcPr>
          <w:p w14:paraId="322D9E6D">
            <w:pPr>
              <w:spacing w:line="300" w:lineRule="exact"/>
              <w:ind w:firstLine="0" w:firstLineChars="0"/>
              <w:jc w:val="center"/>
              <w:rPr>
                <w:rFonts w:hint="eastAsia" w:ascii="Times New Roman" w:hAnsi="Times New Roman" w:eastAsia="宋体" w:cs="Times New Roman"/>
                <w:color w:val="auto"/>
                <w:sz w:val="21"/>
                <w:szCs w:val="21"/>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998C11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高处坠落</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A8F4F4">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人员伤亡</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4B14C1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D7014B2">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FC5425A">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7</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87F38E8">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42</w:t>
            </w:r>
          </w:p>
        </w:tc>
        <w:tc>
          <w:tcPr>
            <w:tcW w:w="1481"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780184C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四级</w:t>
            </w:r>
          </w:p>
        </w:tc>
        <w:tc>
          <w:tcPr>
            <w:tcW w:w="2088" w:type="dxa"/>
            <w:tcBorders>
              <w:top w:val="single" w:color="auto" w:sz="4" w:space="0"/>
              <w:left w:val="single" w:color="auto" w:sz="4" w:space="0"/>
              <w:bottom w:val="single" w:color="auto" w:sz="4" w:space="0"/>
              <w:right w:val="single" w:color="auto" w:sz="4" w:space="0"/>
            </w:tcBorders>
            <w:noWrap w:val="0"/>
            <w:vAlign w:val="center"/>
          </w:tcPr>
          <w:p w14:paraId="169BCD0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相关人员</w:t>
            </w:r>
          </w:p>
        </w:tc>
      </w:tr>
      <w:tr w14:paraId="5F3A60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CC0AFBF">
            <w:pPr>
              <w:spacing w:line="300" w:lineRule="exact"/>
              <w:ind w:firstLine="0" w:firstLineChars="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val="en-US" w:eastAsia="zh-CN"/>
              </w:rPr>
              <w:t>2</w:t>
            </w:r>
          </w:p>
        </w:tc>
        <w:tc>
          <w:tcPr>
            <w:tcW w:w="1080" w:type="dxa"/>
            <w:vMerge w:val="continue"/>
            <w:tcBorders>
              <w:left w:val="single" w:color="auto" w:sz="4" w:space="0"/>
              <w:right w:val="single" w:color="auto" w:sz="4" w:space="0"/>
            </w:tcBorders>
            <w:shd w:val="clear" w:color="auto" w:fill="auto"/>
            <w:noWrap w:val="0"/>
            <w:vAlign w:val="center"/>
          </w:tcPr>
          <w:p w14:paraId="065F04E1">
            <w:pPr>
              <w:spacing w:line="300" w:lineRule="exact"/>
              <w:ind w:firstLine="0" w:firstLineChars="0"/>
              <w:jc w:val="center"/>
              <w:rPr>
                <w:rFonts w:hint="eastAsia" w:ascii="Times New Roman" w:hAnsi="Times New Roman" w:eastAsia="宋体" w:cs="Times New Roman"/>
                <w:color w:val="auto"/>
                <w:sz w:val="21"/>
                <w:szCs w:val="21"/>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78DF4A7">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高空架设/</w:t>
            </w:r>
          </w:p>
          <w:p w14:paraId="21B9E4D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维修管路</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6D81EC1">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人员伤害</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384E536">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8BF2DD4">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9E18FA7">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15</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16F4838">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15</w:t>
            </w:r>
          </w:p>
        </w:tc>
        <w:tc>
          <w:tcPr>
            <w:tcW w:w="1481"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2B34BFFF">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五级</w:t>
            </w:r>
          </w:p>
        </w:tc>
        <w:tc>
          <w:tcPr>
            <w:tcW w:w="2088" w:type="dxa"/>
            <w:tcBorders>
              <w:top w:val="single" w:color="auto" w:sz="4" w:space="0"/>
              <w:left w:val="single" w:color="auto" w:sz="4" w:space="0"/>
              <w:bottom w:val="single" w:color="auto" w:sz="4" w:space="0"/>
              <w:right w:val="single" w:color="auto" w:sz="4" w:space="0"/>
            </w:tcBorders>
            <w:noWrap w:val="0"/>
            <w:vAlign w:val="center"/>
          </w:tcPr>
          <w:p w14:paraId="20E347B7">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个别员工</w:t>
            </w:r>
          </w:p>
        </w:tc>
      </w:tr>
      <w:tr w14:paraId="00940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80E7182">
            <w:pPr>
              <w:spacing w:line="300" w:lineRule="exact"/>
              <w:ind w:firstLine="0" w:firstLineChars="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val="en-US" w:eastAsia="zh-CN"/>
              </w:rPr>
              <w:t>3</w:t>
            </w:r>
          </w:p>
        </w:tc>
        <w:tc>
          <w:tcPr>
            <w:tcW w:w="1080" w:type="dxa"/>
            <w:vMerge w:val="continue"/>
            <w:tcBorders>
              <w:left w:val="single" w:color="auto" w:sz="4" w:space="0"/>
              <w:right w:val="single" w:color="auto" w:sz="4" w:space="0"/>
            </w:tcBorders>
            <w:shd w:val="clear" w:color="auto" w:fill="auto"/>
            <w:noWrap w:val="0"/>
            <w:vAlign w:val="center"/>
          </w:tcPr>
          <w:p w14:paraId="2A21C03A">
            <w:pPr>
              <w:spacing w:line="300" w:lineRule="exact"/>
              <w:ind w:firstLine="0" w:firstLineChars="0"/>
              <w:jc w:val="center"/>
              <w:rPr>
                <w:rFonts w:hint="eastAsia" w:ascii="Times New Roman" w:hAnsi="Times New Roman" w:eastAsia="宋体" w:cs="Times New Roman"/>
                <w:color w:val="auto"/>
                <w:sz w:val="21"/>
                <w:szCs w:val="21"/>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6F2B75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夜间作业</w:t>
            </w:r>
          </w:p>
          <w:p w14:paraId="6127450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无照明，摔伤</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72CC39E">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人员</w:t>
            </w:r>
          </w:p>
          <w:p w14:paraId="6949AA30">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伤害</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92E1E10">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BF02667">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901D6D5">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7</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012EF7">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7</w:t>
            </w:r>
          </w:p>
        </w:tc>
        <w:tc>
          <w:tcPr>
            <w:tcW w:w="1481"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21189A9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五级</w:t>
            </w:r>
          </w:p>
        </w:tc>
        <w:tc>
          <w:tcPr>
            <w:tcW w:w="2088" w:type="dxa"/>
            <w:tcBorders>
              <w:top w:val="single" w:color="auto" w:sz="4" w:space="0"/>
              <w:left w:val="single" w:color="auto" w:sz="4" w:space="0"/>
              <w:bottom w:val="single" w:color="auto" w:sz="4" w:space="0"/>
              <w:right w:val="single" w:color="auto" w:sz="4" w:space="0"/>
            </w:tcBorders>
            <w:noWrap w:val="0"/>
            <w:vAlign w:val="center"/>
          </w:tcPr>
          <w:p w14:paraId="3FF21FAB">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相关人员</w:t>
            </w:r>
          </w:p>
        </w:tc>
      </w:tr>
    </w:tbl>
    <w:p w14:paraId="2E5080A8">
      <w:pPr>
        <w:pStyle w:val="4"/>
        <w:bidi w:val="0"/>
        <w:rPr>
          <w:rFonts w:hint="default"/>
          <w:color w:val="auto"/>
          <w:lang w:val="en-US" w:eastAsia="zh-CN"/>
        </w:rPr>
      </w:pPr>
      <w:bookmarkStart w:id="134" w:name="_Toc4438"/>
      <w:r>
        <w:rPr>
          <w:rFonts w:hint="default"/>
          <w:color w:val="auto"/>
          <w:lang w:val="en-US" w:eastAsia="zh-CN"/>
        </w:rPr>
        <w:t>5.4.2 LS法分析</w:t>
      </w:r>
      <w:bookmarkEnd w:id="134"/>
    </w:p>
    <w:p w14:paraId="27525ED2">
      <w:pPr>
        <w:bidi w:val="0"/>
        <w:rPr>
          <w:rFonts w:hint="default"/>
          <w:color w:val="auto"/>
          <w:lang w:val="en-US" w:eastAsia="zh-CN"/>
        </w:rPr>
      </w:pPr>
      <w:r>
        <w:rPr>
          <w:rFonts w:hint="default"/>
          <w:color w:val="auto"/>
          <w:lang w:val="en-US" w:eastAsia="zh-CN"/>
        </w:rPr>
        <w:t>杨家店尾矿库矿坝坝体LS法风险分析如下表：</w:t>
      </w:r>
    </w:p>
    <w:tbl>
      <w:tblPr>
        <w:tblStyle w:val="19"/>
        <w:tblpPr w:leftFromText="180" w:rightFromText="180" w:vertAnchor="text" w:horzAnchor="margin" w:tblpX="-144" w:tblpY="313"/>
        <w:tblW w:w="97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8"/>
        <w:gridCol w:w="900"/>
        <w:gridCol w:w="1512"/>
        <w:gridCol w:w="288"/>
        <w:gridCol w:w="972"/>
        <w:gridCol w:w="360"/>
        <w:gridCol w:w="360"/>
        <w:gridCol w:w="540"/>
        <w:gridCol w:w="900"/>
        <w:gridCol w:w="900"/>
        <w:gridCol w:w="1440"/>
        <w:gridCol w:w="1080"/>
      </w:tblGrid>
      <w:tr w14:paraId="03384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468" w:type="dxa"/>
            <w:vMerge w:val="restart"/>
            <w:tcBorders>
              <w:top w:val="single" w:color="auto" w:sz="4" w:space="0"/>
              <w:left w:val="single" w:color="auto" w:sz="4" w:space="0"/>
              <w:right w:val="single" w:color="auto" w:sz="4" w:space="0"/>
            </w:tcBorders>
            <w:noWrap w:val="0"/>
            <w:vAlign w:val="center"/>
          </w:tcPr>
          <w:p w14:paraId="20DDF53D">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序号</w:t>
            </w:r>
          </w:p>
        </w:tc>
        <w:tc>
          <w:tcPr>
            <w:tcW w:w="900" w:type="dxa"/>
            <w:vMerge w:val="restart"/>
            <w:tcBorders>
              <w:top w:val="single" w:color="auto" w:sz="4" w:space="0"/>
              <w:left w:val="single" w:color="auto" w:sz="4" w:space="0"/>
              <w:right w:val="single" w:color="auto" w:sz="4" w:space="0"/>
            </w:tcBorders>
            <w:noWrap w:val="0"/>
            <w:vAlign w:val="center"/>
          </w:tcPr>
          <w:p w14:paraId="5A832A50">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单元/</w:t>
            </w:r>
          </w:p>
          <w:p w14:paraId="75733566">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系统</w:t>
            </w:r>
          </w:p>
        </w:tc>
        <w:tc>
          <w:tcPr>
            <w:tcW w:w="1512" w:type="dxa"/>
            <w:vMerge w:val="restart"/>
            <w:tcBorders>
              <w:top w:val="single" w:color="auto" w:sz="4" w:space="0"/>
              <w:left w:val="single" w:color="auto" w:sz="4" w:space="0"/>
              <w:right w:val="single" w:color="auto" w:sz="4" w:space="0"/>
            </w:tcBorders>
            <w:noWrap w:val="0"/>
            <w:vAlign w:val="center"/>
          </w:tcPr>
          <w:p w14:paraId="0735B376">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危险源</w:t>
            </w:r>
          </w:p>
          <w:p w14:paraId="7773DA50">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及风险</w:t>
            </w:r>
          </w:p>
        </w:tc>
        <w:tc>
          <w:tcPr>
            <w:tcW w:w="1260" w:type="dxa"/>
            <w:gridSpan w:val="2"/>
            <w:vMerge w:val="restart"/>
            <w:tcBorders>
              <w:top w:val="single" w:color="auto" w:sz="4" w:space="0"/>
              <w:left w:val="single" w:color="auto" w:sz="4" w:space="0"/>
              <w:right w:val="single" w:color="auto" w:sz="4" w:space="0"/>
            </w:tcBorders>
            <w:noWrap w:val="0"/>
            <w:vAlign w:val="center"/>
          </w:tcPr>
          <w:p w14:paraId="47E50F8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可能后果</w:t>
            </w:r>
          </w:p>
        </w:tc>
        <w:tc>
          <w:tcPr>
            <w:tcW w:w="1260" w:type="dxa"/>
            <w:gridSpan w:val="3"/>
            <w:tcBorders>
              <w:top w:val="single" w:color="auto" w:sz="4" w:space="0"/>
              <w:left w:val="single" w:color="auto" w:sz="4" w:space="0"/>
              <w:bottom w:val="single" w:color="auto" w:sz="4" w:space="0"/>
              <w:right w:val="single" w:color="auto" w:sz="4" w:space="0"/>
            </w:tcBorders>
            <w:noWrap w:val="0"/>
            <w:vAlign w:val="center"/>
          </w:tcPr>
          <w:p w14:paraId="1E154AE4">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风险值R=L·S</w:t>
            </w:r>
          </w:p>
        </w:tc>
        <w:tc>
          <w:tcPr>
            <w:tcW w:w="900" w:type="dxa"/>
            <w:vMerge w:val="restart"/>
            <w:tcBorders>
              <w:top w:val="single" w:color="auto" w:sz="4" w:space="0"/>
              <w:left w:val="single" w:color="auto" w:sz="4" w:space="0"/>
              <w:right w:val="single" w:color="auto" w:sz="4" w:space="0"/>
            </w:tcBorders>
            <w:noWrap w:val="0"/>
            <w:vAlign w:val="center"/>
          </w:tcPr>
          <w:p w14:paraId="23219A92">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可能性</w:t>
            </w:r>
          </w:p>
        </w:tc>
        <w:tc>
          <w:tcPr>
            <w:tcW w:w="900" w:type="dxa"/>
            <w:vMerge w:val="restart"/>
            <w:tcBorders>
              <w:top w:val="single" w:color="auto" w:sz="4" w:space="0"/>
              <w:left w:val="single" w:color="auto" w:sz="4" w:space="0"/>
              <w:right w:val="single" w:color="auto" w:sz="4" w:space="0"/>
            </w:tcBorders>
            <w:noWrap w:val="0"/>
            <w:vAlign w:val="center"/>
          </w:tcPr>
          <w:p w14:paraId="60007174">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严重性</w:t>
            </w:r>
          </w:p>
        </w:tc>
        <w:tc>
          <w:tcPr>
            <w:tcW w:w="1440" w:type="dxa"/>
            <w:vMerge w:val="restart"/>
            <w:tcBorders>
              <w:top w:val="single" w:color="auto" w:sz="4" w:space="0"/>
              <w:left w:val="single" w:color="auto" w:sz="4" w:space="0"/>
              <w:right w:val="single" w:color="auto" w:sz="4" w:space="0"/>
            </w:tcBorders>
            <w:noWrap w:val="0"/>
            <w:vAlign w:val="center"/>
          </w:tcPr>
          <w:p w14:paraId="3725932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危险性程度（风险等级）</w:t>
            </w:r>
          </w:p>
        </w:tc>
        <w:tc>
          <w:tcPr>
            <w:tcW w:w="1080" w:type="dxa"/>
            <w:vMerge w:val="restart"/>
            <w:tcBorders>
              <w:top w:val="single" w:color="auto" w:sz="4" w:space="0"/>
              <w:left w:val="single" w:color="auto" w:sz="4" w:space="0"/>
              <w:right w:val="single" w:color="auto" w:sz="4" w:space="0"/>
            </w:tcBorders>
            <w:noWrap w:val="0"/>
            <w:vAlign w:val="center"/>
          </w:tcPr>
          <w:p w14:paraId="565FAAB5">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影响范围</w:t>
            </w:r>
          </w:p>
        </w:tc>
      </w:tr>
      <w:tr w14:paraId="0D36C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468" w:type="dxa"/>
            <w:vMerge w:val="continue"/>
            <w:tcBorders>
              <w:left w:val="single" w:color="auto" w:sz="4" w:space="0"/>
              <w:bottom w:val="single" w:color="auto" w:sz="4" w:space="0"/>
              <w:right w:val="single" w:color="auto" w:sz="4" w:space="0"/>
            </w:tcBorders>
            <w:noWrap w:val="0"/>
            <w:vAlign w:val="center"/>
          </w:tcPr>
          <w:p w14:paraId="4106583C">
            <w:pPr>
              <w:spacing w:line="300" w:lineRule="exact"/>
              <w:ind w:firstLine="0" w:firstLineChars="0"/>
              <w:jc w:val="center"/>
              <w:rPr>
                <w:rFonts w:hint="eastAsia" w:ascii="Times New Roman" w:hAnsi="Times New Roman" w:eastAsia="宋体" w:cs="Times New Roman"/>
                <w:color w:val="auto"/>
                <w:sz w:val="21"/>
                <w:szCs w:val="21"/>
              </w:rPr>
            </w:pPr>
          </w:p>
        </w:tc>
        <w:tc>
          <w:tcPr>
            <w:tcW w:w="900" w:type="dxa"/>
            <w:vMerge w:val="continue"/>
            <w:tcBorders>
              <w:left w:val="single" w:color="auto" w:sz="4" w:space="0"/>
              <w:bottom w:val="single" w:color="auto" w:sz="4" w:space="0"/>
              <w:right w:val="single" w:color="auto" w:sz="4" w:space="0"/>
            </w:tcBorders>
            <w:noWrap w:val="0"/>
            <w:vAlign w:val="center"/>
          </w:tcPr>
          <w:p w14:paraId="56D15733">
            <w:pPr>
              <w:spacing w:line="300" w:lineRule="exact"/>
              <w:ind w:firstLine="0" w:firstLineChars="0"/>
              <w:jc w:val="center"/>
              <w:rPr>
                <w:rFonts w:hint="eastAsia" w:ascii="Times New Roman" w:hAnsi="Times New Roman" w:eastAsia="宋体" w:cs="Times New Roman"/>
                <w:color w:val="auto"/>
                <w:sz w:val="21"/>
                <w:szCs w:val="21"/>
              </w:rPr>
            </w:pPr>
          </w:p>
        </w:tc>
        <w:tc>
          <w:tcPr>
            <w:tcW w:w="1512" w:type="dxa"/>
            <w:vMerge w:val="continue"/>
            <w:tcBorders>
              <w:left w:val="single" w:color="auto" w:sz="4" w:space="0"/>
              <w:bottom w:val="single" w:color="auto" w:sz="4" w:space="0"/>
              <w:right w:val="single" w:color="auto" w:sz="4" w:space="0"/>
            </w:tcBorders>
            <w:noWrap w:val="0"/>
            <w:vAlign w:val="center"/>
          </w:tcPr>
          <w:p w14:paraId="5AE6748D">
            <w:pPr>
              <w:spacing w:line="300" w:lineRule="exact"/>
              <w:ind w:firstLine="0" w:firstLineChars="0"/>
              <w:jc w:val="center"/>
              <w:rPr>
                <w:rFonts w:hint="eastAsia" w:ascii="Times New Roman" w:hAnsi="Times New Roman" w:eastAsia="宋体" w:cs="Times New Roman"/>
                <w:color w:val="auto"/>
                <w:sz w:val="21"/>
                <w:szCs w:val="21"/>
              </w:rPr>
            </w:pPr>
          </w:p>
        </w:tc>
        <w:tc>
          <w:tcPr>
            <w:tcW w:w="1260" w:type="dxa"/>
            <w:gridSpan w:val="2"/>
            <w:vMerge w:val="continue"/>
            <w:tcBorders>
              <w:left w:val="single" w:color="auto" w:sz="4" w:space="0"/>
              <w:bottom w:val="single" w:color="auto" w:sz="4" w:space="0"/>
              <w:right w:val="single" w:color="auto" w:sz="4" w:space="0"/>
            </w:tcBorders>
            <w:noWrap w:val="0"/>
            <w:vAlign w:val="center"/>
          </w:tcPr>
          <w:p w14:paraId="556AF3F1">
            <w:pPr>
              <w:spacing w:line="300" w:lineRule="exact"/>
              <w:ind w:firstLine="0" w:firstLineChars="0"/>
              <w:jc w:val="center"/>
              <w:rPr>
                <w:rFonts w:hint="eastAsia" w:ascii="Times New Roman" w:hAnsi="Times New Roman" w:eastAsia="宋体" w:cs="Times New Roman"/>
                <w:color w:val="auto"/>
                <w:sz w:val="21"/>
                <w:szCs w:val="21"/>
              </w:rPr>
            </w:pPr>
          </w:p>
        </w:tc>
        <w:tc>
          <w:tcPr>
            <w:tcW w:w="360" w:type="dxa"/>
            <w:tcBorders>
              <w:top w:val="single" w:color="auto" w:sz="4" w:space="0"/>
              <w:left w:val="single" w:color="auto" w:sz="4" w:space="0"/>
              <w:bottom w:val="single" w:color="auto" w:sz="4" w:space="0"/>
              <w:right w:val="single" w:color="auto" w:sz="4" w:space="0"/>
            </w:tcBorders>
            <w:noWrap w:val="0"/>
            <w:vAlign w:val="center"/>
          </w:tcPr>
          <w:p w14:paraId="024D08D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L</w:t>
            </w:r>
          </w:p>
        </w:tc>
        <w:tc>
          <w:tcPr>
            <w:tcW w:w="360" w:type="dxa"/>
            <w:tcBorders>
              <w:top w:val="single" w:color="auto" w:sz="4" w:space="0"/>
              <w:left w:val="single" w:color="auto" w:sz="4" w:space="0"/>
              <w:bottom w:val="single" w:color="auto" w:sz="4" w:space="0"/>
              <w:right w:val="single" w:color="auto" w:sz="4" w:space="0"/>
            </w:tcBorders>
            <w:noWrap w:val="0"/>
            <w:vAlign w:val="center"/>
          </w:tcPr>
          <w:p w14:paraId="2BF7FBF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S</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6C47D52E">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R</w:t>
            </w:r>
          </w:p>
        </w:tc>
        <w:tc>
          <w:tcPr>
            <w:tcW w:w="900" w:type="dxa"/>
            <w:vMerge w:val="continue"/>
            <w:tcBorders>
              <w:left w:val="single" w:color="auto" w:sz="4" w:space="0"/>
              <w:bottom w:val="single" w:color="auto" w:sz="4" w:space="0"/>
              <w:right w:val="single" w:color="auto" w:sz="4" w:space="0"/>
            </w:tcBorders>
            <w:noWrap w:val="0"/>
            <w:vAlign w:val="center"/>
          </w:tcPr>
          <w:p w14:paraId="528CD345">
            <w:pPr>
              <w:spacing w:line="300" w:lineRule="exact"/>
              <w:ind w:firstLine="0" w:firstLineChars="0"/>
              <w:jc w:val="center"/>
              <w:rPr>
                <w:rFonts w:hint="eastAsia" w:ascii="Times New Roman" w:hAnsi="Times New Roman" w:eastAsia="宋体" w:cs="Times New Roman"/>
                <w:color w:val="auto"/>
                <w:sz w:val="21"/>
                <w:szCs w:val="21"/>
              </w:rPr>
            </w:pPr>
          </w:p>
        </w:tc>
        <w:tc>
          <w:tcPr>
            <w:tcW w:w="900" w:type="dxa"/>
            <w:vMerge w:val="continue"/>
            <w:tcBorders>
              <w:left w:val="single" w:color="auto" w:sz="4" w:space="0"/>
              <w:bottom w:val="single" w:color="auto" w:sz="4" w:space="0"/>
              <w:right w:val="single" w:color="auto" w:sz="4" w:space="0"/>
            </w:tcBorders>
            <w:noWrap w:val="0"/>
            <w:vAlign w:val="center"/>
          </w:tcPr>
          <w:p w14:paraId="2B6B4526">
            <w:pPr>
              <w:spacing w:line="300" w:lineRule="exact"/>
              <w:ind w:firstLine="0" w:firstLineChars="0"/>
              <w:jc w:val="center"/>
              <w:rPr>
                <w:rFonts w:hint="eastAsia" w:ascii="Times New Roman" w:hAnsi="Times New Roman" w:eastAsia="宋体" w:cs="Times New Roman"/>
                <w:color w:val="auto"/>
                <w:sz w:val="21"/>
                <w:szCs w:val="21"/>
              </w:rPr>
            </w:pPr>
          </w:p>
        </w:tc>
        <w:tc>
          <w:tcPr>
            <w:tcW w:w="1440" w:type="dxa"/>
            <w:vMerge w:val="continue"/>
            <w:tcBorders>
              <w:left w:val="single" w:color="auto" w:sz="4" w:space="0"/>
              <w:bottom w:val="single" w:color="auto" w:sz="4" w:space="0"/>
              <w:right w:val="single" w:color="auto" w:sz="4" w:space="0"/>
            </w:tcBorders>
            <w:noWrap w:val="0"/>
            <w:vAlign w:val="center"/>
          </w:tcPr>
          <w:p w14:paraId="4C3AB25F">
            <w:pPr>
              <w:spacing w:line="300" w:lineRule="exact"/>
              <w:ind w:firstLine="0" w:firstLineChars="0"/>
              <w:jc w:val="center"/>
              <w:rPr>
                <w:rFonts w:hint="eastAsia" w:ascii="Times New Roman" w:hAnsi="Times New Roman" w:eastAsia="宋体" w:cs="Times New Roman"/>
                <w:color w:val="auto"/>
                <w:sz w:val="21"/>
                <w:szCs w:val="21"/>
              </w:rPr>
            </w:pPr>
          </w:p>
        </w:tc>
        <w:tc>
          <w:tcPr>
            <w:tcW w:w="1080" w:type="dxa"/>
            <w:vMerge w:val="continue"/>
            <w:tcBorders>
              <w:left w:val="single" w:color="auto" w:sz="4" w:space="0"/>
              <w:bottom w:val="single" w:color="auto" w:sz="4" w:space="0"/>
              <w:right w:val="single" w:color="auto" w:sz="4" w:space="0"/>
            </w:tcBorders>
            <w:noWrap w:val="0"/>
            <w:vAlign w:val="center"/>
          </w:tcPr>
          <w:p w14:paraId="744DB1BE">
            <w:pPr>
              <w:spacing w:line="300" w:lineRule="exact"/>
              <w:ind w:firstLine="0" w:firstLineChars="0"/>
              <w:jc w:val="center"/>
              <w:rPr>
                <w:rFonts w:hint="eastAsia" w:ascii="Times New Roman" w:hAnsi="Times New Roman" w:eastAsia="宋体" w:cs="Times New Roman"/>
                <w:color w:val="auto"/>
                <w:sz w:val="21"/>
                <w:szCs w:val="21"/>
              </w:rPr>
            </w:pPr>
          </w:p>
        </w:tc>
      </w:tr>
      <w:tr w14:paraId="0C08A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1"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F04DC0">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900" w:type="dxa"/>
            <w:vMerge w:val="restart"/>
            <w:tcBorders>
              <w:top w:val="single" w:color="auto" w:sz="4" w:space="0"/>
              <w:left w:val="single" w:color="auto" w:sz="4" w:space="0"/>
              <w:right w:val="single" w:color="auto" w:sz="4" w:space="0"/>
            </w:tcBorders>
            <w:shd w:val="clear" w:color="auto" w:fill="auto"/>
            <w:noWrap w:val="0"/>
            <w:vAlign w:val="center"/>
          </w:tcPr>
          <w:p w14:paraId="4BD8C415">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尾矿坝</w:t>
            </w:r>
          </w:p>
          <w:p w14:paraId="1B5AB3B1">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坝体</w:t>
            </w:r>
          </w:p>
        </w:tc>
        <w:tc>
          <w:tcPr>
            <w:tcW w:w="151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2780767">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溃坝</w:t>
            </w:r>
          </w:p>
        </w:tc>
        <w:tc>
          <w:tcPr>
            <w:tcW w:w="126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0FFBEE5F">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泥石流、人员伤亡、构筑物损毁</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3F8B0F0">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E39E27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5</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0E1BAB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15</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380EF47">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22A9087">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灾难</w:t>
            </w:r>
          </w:p>
        </w:tc>
        <w:tc>
          <w:tcPr>
            <w:tcW w:w="1440" w:type="dxa"/>
            <w:tcBorders>
              <w:top w:val="single" w:color="auto" w:sz="4" w:space="0"/>
              <w:left w:val="single" w:color="auto" w:sz="4" w:space="0"/>
              <w:bottom w:val="single" w:color="auto" w:sz="4" w:space="0"/>
              <w:right w:val="single" w:color="auto" w:sz="4" w:space="0"/>
            </w:tcBorders>
            <w:shd w:val="clear" w:color="auto" w:fill="FF0000"/>
            <w:noWrap w:val="0"/>
            <w:vAlign w:val="center"/>
          </w:tcPr>
          <w:p w14:paraId="7E12ACC2">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Ⅰ级</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1E186BC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尾矿坝、库下游1.0km</w:t>
            </w:r>
          </w:p>
        </w:tc>
      </w:tr>
      <w:tr w14:paraId="6BD50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27F66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900" w:type="dxa"/>
            <w:vMerge w:val="continue"/>
            <w:tcBorders>
              <w:left w:val="single" w:color="auto" w:sz="4" w:space="0"/>
              <w:right w:val="single" w:color="auto" w:sz="4" w:space="0"/>
            </w:tcBorders>
            <w:shd w:val="clear" w:color="auto" w:fill="auto"/>
            <w:noWrap w:val="0"/>
            <w:vAlign w:val="center"/>
          </w:tcPr>
          <w:p w14:paraId="12240DE5">
            <w:pPr>
              <w:spacing w:line="300" w:lineRule="exact"/>
              <w:ind w:firstLine="0" w:firstLineChars="0"/>
              <w:jc w:val="center"/>
              <w:rPr>
                <w:rFonts w:hint="eastAsia" w:ascii="Times New Roman" w:hAnsi="Times New Roman" w:eastAsia="宋体" w:cs="Times New Roman"/>
                <w:color w:val="auto"/>
                <w:sz w:val="21"/>
                <w:szCs w:val="21"/>
                <w:lang w:val="en-US" w:eastAsia="zh-CN"/>
              </w:rPr>
            </w:pPr>
          </w:p>
        </w:tc>
        <w:tc>
          <w:tcPr>
            <w:tcW w:w="151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BE930C7">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洪水</w:t>
            </w:r>
          </w:p>
          <w:p w14:paraId="13568D0E">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漫顶</w:t>
            </w:r>
          </w:p>
        </w:tc>
        <w:tc>
          <w:tcPr>
            <w:tcW w:w="126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47A0376F">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泥石流、人员伤亡、构筑物损毁</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5BFF561">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C39EFA">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5</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695CC3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15</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FFA2FC7">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E845D55">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灾难</w:t>
            </w:r>
          </w:p>
        </w:tc>
        <w:tc>
          <w:tcPr>
            <w:tcW w:w="1440" w:type="dxa"/>
            <w:tcBorders>
              <w:top w:val="single" w:color="auto" w:sz="4" w:space="0"/>
              <w:left w:val="single" w:color="auto" w:sz="4" w:space="0"/>
              <w:bottom w:val="single" w:color="auto" w:sz="4" w:space="0"/>
              <w:right w:val="single" w:color="auto" w:sz="4" w:space="0"/>
            </w:tcBorders>
            <w:shd w:val="clear" w:color="auto" w:fill="FF0000"/>
            <w:noWrap w:val="0"/>
            <w:vAlign w:val="center"/>
          </w:tcPr>
          <w:p w14:paraId="6B14E80E">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Ⅰ级</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15A103F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尾矿坝、库下游1.0km</w:t>
            </w:r>
          </w:p>
        </w:tc>
      </w:tr>
      <w:tr w14:paraId="41BCC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227401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900" w:type="dxa"/>
            <w:vMerge w:val="continue"/>
            <w:tcBorders>
              <w:left w:val="single" w:color="auto" w:sz="4" w:space="0"/>
              <w:right w:val="single" w:color="auto" w:sz="4" w:space="0"/>
            </w:tcBorders>
            <w:shd w:val="clear" w:color="auto" w:fill="auto"/>
            <w:noWrap w:val="0"/>
            <w:vAlign w:val="center"/>
          </w:tcPr>
          <w:p w14:paraId="409B7B0A">
            <w:pPr>
              <w:spacing w:line="300" w:lineRule="exact"/>
              <w:ind w:firstLine="0" w:firstLineChars="0"/>
              <w:jc w:val="center"/>
              <w:rPr>
                <w:rFonts w:hint="eastAsia" w:ascii="Times New Roman" w:hAnsi="Times New Roman" w:eastAsia="宋体" w:cs="Times New Roman"/>
                <w:color w:val="auto"/>
                <w:sz w:val="21"/>
                <w:szCs w:val="21"/>
                <w:lang w:val="en-US" w:eastAsia="zh-CN"/>
              </w:rPr>
            </w:pPr>
          </w:p>
        </w:tc>
        <w:tc>
          <w:tcPr>
            <w:tcW w:w="151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00A5D84">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坝体出现贯穿性横向裂缝，且出现滑动迹象</w:t>
            </w:r>
          </w:p>
        </w:tc>
        <w:tc>
          <w:tcPr>
            <w:tcW w:w="126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3AA42CD2">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泥石流、人员伤亡、构筑物损毁</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3CE594">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750230F">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5</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0F5178">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15</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AD23A11">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D9FF23D">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灾难</w:t>
            </w:r>
          </w:p>
        </w:tc>
        <w:tc>
          <w:tcPr>
            <w:tcW w:w="1440" w:type="dxa"/>
            <w:tcBorders>
              <w:top w:val="single" w:color="auto" w:sz="4" w:space="0"/>
              <w:left w:val="single" w:color="auto" w:sz="4" w:space="0"/>
              <w:bottom w:val="single" w:color="auto" w:sz="4" w:space="0"/>
              <w:right w:val="single" w:color="auto" w:sz="4" w:space="0"/>
            </w:tcBorders>
            <w:shd w:val="clear" w:color="auto" w:fill="FF0000"/>
            <w:noWrap w:val="0"/>
            <w:vAlign w:val="center"/>
          </w:tcPr>
          <w:p w14:paraId="4DF9F042">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Ⅰ级</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72A5DA42">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尾矿坝、库下游1.0km</w:t>
            </w:r>
          </w:p>
        </w:tc>
      </w:tr>
      <w:tr w14:paraId="22DD7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8D1740F">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900" w:type="dxa"/>
            <w:vMerge w:val="continue"/>
            <w:tcBorders>
              <w:left w:val="single" w:color="auto" w:sz="4" w:space="0"/>
              <w:right w:val="single" w:color="auto" w:sz="4" w:space="0"/>
            </w:tcBorders>
            <w:shd w:val="clear" w:color="auto" w:fill="auto"/>
            <w:noWrap w:val="0"/>
            <w:vAlign w:val="center"/>
          </w:tcPr>
          <w:p w14:paraId="23BA8338">
            <w:pPr>
              <w:spacing w:line="300" w:lineRule="exact"/>
              <w:ind w:firstLine="0" w:firstLineChars="0"/>
              <w:jc w:val="center"/>
              <w:rPr>
                <w:rFonts w:hint="eastAsia" w:ascii="Times New Roman" w:hAnsi="Times New Roman" w:eastAsia="宋体" w:cs="Times New Roman"/>
                <w:color w:val="auto"/>
                <w:sz w:val="21"/>
                <w:szCs w:val="21"/>
                <w:lang w:val="en-US" w:eastAsia="zh-CN"/>
              </w:rPr>
            </w:pPr>
          </w:p>
        </w:tc>
        <w:tc>
          <w:tcPr>
            <w:tcW w:w="151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71A8EE8">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地震</w:t>
            </w:r>
          </w:p>
          <w:p w14:paraId="17495BED">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沙土液化</w:t>
            </w:r>
          </w:p>
        </w:tc>
        <w:tc>
          <w:tcPr>
            <w:tcW w:w="126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387B0D78">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坝体不稳、泥石流</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E9A705D">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0AB8B48">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5</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29FCD6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10</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89EEC7B">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可能性小</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ABCE7AD">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灾难</w:t>
            </w:r>
          </w:p>
        </w:tc>
        <w:tc>
          <w:tcPr>
            <w:tcW w:w="144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687A43CB">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Ⅲ级</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6C31008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尾矿坝、库下游1.0km</w:t>
            </w:r>
          </w:p>
        </w:tc>
      </w:tr>
      <w:tr w14:paraId="76DDD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653EB78">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5</w:t>
            </w:r>
          </w:p>
        </w:tc>
        <w:tc>
          <w:tcPr>
            <w:tcW w:w="900" w:type="dxa"/>
            <w:vMerge w:val="continue"/>
            <w:tcBorders>
              <w:left w:val="single" w:color="auto" w:sz="4" w:space="0"/>
              <w:right w:val="single" w:color="auto" w:sz="4" w:space="0"/>
            </w:tcBorders>
            <w:shd w:val="clear" w:color="auto" w:fill="auto"/>
            <w:noWrap w:val="0"/>
            <w:vAlign w:val="center"/>
          </w:tcPr>
          <w:p w14:paraId="091F4852">
            <w:pPr>
              <w:spacing w:line="300" w:lineRule="exact"/>
              <w:ind w:firstLine="0" w:firstLineChars="0"/>
              <w:jc w:val="center"/>
              <w:rPr>
                <w:rFonts w:hint="eastAsia" w:ascii="Times New Roman" w:hAnsi="Times New Roman" w:eastAsia="宋体" w:cs="Times New Roman"/>
                <w:color w:val="auto"/>
                <w:sz w:val="21"/>
                <w:szCs w:val="21"/>
                <w:lang w:val="en-US" w:eastAsia="zh-CN"/>
              </w:rPr>
            </w:pPr>
          </w:p>
        </w:tc>
        <w:tc>
          <w:tcPr>
            <w:tcW w:w="151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8CAFF75">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坝体局部开裂</w:t>
            </w:r>
          </w:p>
        </w:tc>
        <w:tc>
          <w:tcPr>
            <w:tcW w:w="126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45C379D6">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坝体塌陷</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21C8E0">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B53114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5</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F570CCF">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10</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2B3E26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E60BBB0">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较严重</w:t>
            </w:r>
          </w:p>
        </w:tc>
        <w:tc>
          <w:tcPr>
            <w:tcW w:w="144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1004C29D">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Ⅲ级</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4DBEB634">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局部坝体</w:t>
            </w:r>
          </w:p>
        </w:tc>
      </w:tr>
      <w:tr w14:paraId="659BF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A022088">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w:t>
            </w:r>
          </w:p>
        </w:tc>
        <w:tc>
          <w:tcPr>
            <w:tcW w:w="900" w:type="dxa"/>
            <w:vMerge w:val="continue"/>
            <w:tcBorders>
              <w:left w:val="single" w:color="auto" w:sz="4" w:space="0"/>
              <w:right w:val="single" w:color="auto" w:sz="4" w:space="0"/>
            </w:tcBorders>
            <w:shd w:val="clear" w:color="auto" w:fill="auto"/>
            <w:noWrap w:val="0"/>
            <w:vAlign w:val="center"/>
          </w:tcPr>
          <w:p w14:paraId="6C57741D">
            <w:pPr>
              <w:spacing w:line="300" w:lineRule="exact"/>
              <w:ind w:firstLine="0" w:firstLineChars="0"/>
              <w:jc w:val="center"/>
              <w:rPr>
                <w:rFonts w:hint="eastAsia" w:ascii="Times New Roman" w:hAnsi="Times New Roman" w:eastAsia="宋体" w:cs="Times New Roman"/>
                <w:color w:val="auto"/>
                <w:sz w:val="21"/>
                <w:szCs w:val="21"/>
                <w:lang w:val="en-US" w:eastAsia="zh-CN"/>
              </w:rPr>
            </w:pPr>
          </w:p>
        </w:tc>
        <w:tc>
          <w:tcPr>
            <w:tcW w:w="151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A4D8ED7">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坝体坡比陡于设计</w:t>
            </w:r>
          </w:p>
        </w:tc>
        <w:tc>
          <w:tcPr>
            <w:tcW w:w="126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60442BD8">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坝体垮塌</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E340840">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A5910D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5</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45C02F">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15</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26D2A75">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93BEB67">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严重</w:t>
            </w:r>
          </w:p>
        </w:tc>
        <w:tc>
          <w:tcPr>
            <w:tcW w:w="1440"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0395909D">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Ⅱ级</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1FA434C6">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尾矿坝、库下游1.0km</w:t>
            </w:r>
          </w:p>
        </w:tc>
      </w:tr>
      <w:tr w14:paraId="6877D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34AE8B">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7</w:t>
            </w:r>
          </w:p>
        </w:tc>
        <w:tc>
          <w:tcPr>
            <w:tcW w:w="900" w:type="dxa"/>
            <w:vMerge w:val="continue"/>
            <w:tcBorders>
              <w:left w:val="single" w:color="auto" w:sz="4" w:space="0"/>
              <w:right w:val="single" w:color="auto" w:sz="4" w:space="0"/>
            </w:tcBorders>
            <w:shd w:val="clear" w:color="auto" w:fill="auto"/>
            <w:noWrap w:val="0"/>
            <w:vAlign w:val="center"/>
          </w:tcPr>
          <w:p w14:paraId="06885081">
            <w:pPr>
              <w:spacing w:line="300" w:lineRule="exact"/>
              <w:ind w:firstLine="0" w:firstLineChars="0"/>
              <w:jc w:val="center"/>
              <w:rPr>
                <w:rFonts w:hint="eastAsia" w:ascii="Times New Roman" w:hAnsi="Times New Roman" w:eastAsia="宋体" w:cs="Times New Roman"/>
                <w:color w:val="auto"/>
                <w:sz w:val="21"/>
                <w:szCs w:val="21"/>
                <w:lang w:val="en-US" w:eastAsia="zh-CN"/>
              </w:rPr>
            </w:pPr>
          </w:p>
        </w:tc>
        <w:tc>
          <w:tcPr>
            <w:tcW w:w="151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3FBAC17">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坝体上升速率高</w:t>
            </w:r>
          </w:p>
        </w:tc>
        <w:tc>
          <w:tcPr>
            <w:tcW w:w="126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2C1B714F">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坝体垮塌</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573EBD2">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8984035">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5</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8998416">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15</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0D5EAF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FE8A138">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严重</w:t>
            </w:r>
          </w:p>
        </w:tc>
        <w:tc>
          <w:tcPr>
            <w:tcW w:w="1440"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31EC4C9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Ⅱ级</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248FD9B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尾矿坝、库下游1.0km</w:t>
            </w:r>
          </w:p>
        </w:tc>
      </w:tr>
      <w:tr w14:paraId="7F633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CFD8B92">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8</w:t>
            </w:r>
          </w:p>
        </w:tc>
        <w:tc>
          <w:tcPr>
            <w:tcW w:w="900" w:type="dxa"/>
            <w:vMerge w:val="continue"/>
            <w:tcBorders>
              <w:left w:val="single" w:color="auto" w:sz="4" w:space="0"/>
              <w:right w:val="single" w:color="auto" w:sz="4" w:space="0"/>
            </w:tcBorders>
            <w:shd w:val="clear" w:color="auto" w:fill="auto"/>
            <w:noWrap w:val="0"/>
            <w:vAlign w:val="center"/>
          </w:tcPr>
          <w:p w14:paraId="7C90383B">
            <w:pPr>
              <w:spacing w:line="300" w:lineRule="exact"/>
              <w:ind w:firstLine="0" w:firstLineChars="0"/>
              <w:jc w:val="center"/>
              <w:rPr>
                <w:rFonts w:hint="eastAsia" w:ascii="Times New Roman" w:hAnsi="Times New Roman" w:eastAsia="宋体" w:cs="Times New Roman"/>
                <w:color w:val="auto"/>
                <w:sz w:val="21"/>
                <w:szCs w:val="21"/>
                <w:lang w:val="en-US" w:eastAsia="zh-CN"/>
              </w:rPr>
            </w:pPr>
          </w:p>
        </w:tc>
        <w:tc>
          <w:tcPr>
            <w:tcW w:w="151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DF628FD">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坝前（下游坡面）存在积水坑</w:t>
            </w:r>
          </w:p>
        </w:tc>
        <w:tc>
          <w:tcPr>
            <w:tcW w:w="126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5AB755BD">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局部</w:t>
            </w:r>
          </w:p>
          <w:p w14:paraId="11D18A63">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渗透破坏</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321350A">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2F6B5BD">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CF52F2A">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8</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CE79801">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826B3A8">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一般</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6271458A">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Ⅳ级</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02B82096">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坝体</w:t>
            </w:r>
          </w:p>
          <w:p w14:paraId="4471C89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局部地段</w:t>
            </w:r>
          </w:p>
        </w:tc>
      </w:tr>
      <w:tr w14:paraId="1D568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368A3C8">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9</w:t>
            </w:r>
          </w:p>
        </w:tc>
        <w:tc>
          <w:tcPr>
            <w:tcW w:w="900" w:type="dxa"/>
            <w:vMerge w:val="continue"/>
            <w:tcBorders>
              <w:left w:val="single" w:color="auto" w:sz="4" w:space="0"/>
              <w:right w:val="single" w:color="auto" w:sz="4" w:space="0"/>
            </w:tcBorders>
            <w:shd w:val="clear" w:color="auto" w:fill="auto"/>
            <w:noWrap w:val="0"/>
            <w:vAlign w:val="center"/>
          </w:tcPr>
          <w:p w14:paraId="62A6EB3F">
            <w:pPr>
              <w:spacing w:line="300" w:lineRule="exact"/>
              <w:ind w:firstLine="0" w:firstLineChars="0"/>
              <w:jc w:val="center"/>
              <w:rPr>
                <w:rFonts w:hint="eastAsia" w:ascii="Times New Roman" w:hAnsi="Times New Roman" w:eastAsia="宋体" w:cs="Times New Roman"/>
                <w:color w:val="auto"/>
                <w:sz w:val="21"/>
                <w:szCs w:val="21"/>
                <w:lang w:val="en-US" w:eastAsia="zh-CN"/>
              </w:rPr>
            </w:pPr>
          </w:p>
        </w:tc>
        <w:tc>
          <w:tcPr>
            <w:tcW w:w="151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7BA9BCA">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坝坡面</w:t>
            </w:r>
          </w:p>
          <w:p w14:paraId="7DBF0BFE">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冲刷拉沟</w:t>
            </w:r>
          </w:p>
        </w:tc>
        <w:tc>
          <w:tcPr>
            <w:tcW w:w="126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5EAD2EDA">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局部塌陷</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113A6D7">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7BFD8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0F442F6">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8</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01BBA4">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很可能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B5C6EA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轻微</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5411CA7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Ⅳ级</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55157576">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坝体</w:t>
            </w:r>
          </w:p>
          <w:p w14:paraId="3736DCE0">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外坡面</w:t>
            </w:r>
          </w:p>
        </w:tc>
      </w:tr>
      <w:tr w14:paraId="43E8A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5E8C210">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10</w:t>
            </w:r>
          </w:p>
        </w:tc>
        <w:tc>
          <w:tcPr>
            <w:tcW w:w="900" w:type="dxa"/>
            <w:vMerge w:val="continue"/>
            <w:tcBorders>
              <w:left w:val="single" w:color="auto" w:sz="4" w:space="0"/>
              <w:right w:val="single" w:color="auto" w:sz="4" w:space="0"/>
            </w:tcBorders>
            <w:shd w:val="clear" w:color="auto" w:fill="auto"/>
            <w:noWrap w:val="0"/>
            <w:vAlign w:val="center"/>
          </w:tcPr>
          <w:p w14:paraId="2DA2CCC0">
            <w:pPr>
              <w:spacing w:line="300" w:lineRule="exact"/>
              <w:ind w:firstLine="0" w:firstLineChars="0"/>
              <w:jc w:val="center"/>
              <w:rPr>
                <w:rFonts w:hint="eastAsia" w:ascii="Times New Roman" w:hAnsi="Times New Roman" w:eastAsia="宋体" w:cs="Times New Roman"/>
                <w:color w:val="auto"/>
                <w:sz w:val="21"/>
                <w:szCs w:val="21"/>
                <w:lang w:val="en-US" w:eastAsia="zh-CN"/>
              </w:rPr>
            </w:pPr>
          </w:p>
        </w:tc>
        <w:tc>
          <w:tcPr>
            <w:tcW w:w="151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33F18AA">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子坝坝体结构参数（高度、宽度、外坡比）不符合设计要求</w:t>
            </w:r>
          </w:p>
        </w:tc>
        <w:tc>
          <w:tcPr>
            <w:tcW w:w="126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6CFE4A69">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局部不稳定或破坏</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E0C10C4">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D5031D5">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DCC63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9</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052E9B5">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D31B30">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较严重</w:t>
            </w:r>
          </w:p>
        </w:tc>
        <w:tc>
          <w:tcPr>
            <w:tcW w:w="144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0C7BB23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Ⅲ级</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7A2882D8">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堆积坝</w:t>
            </w:r>
          </w:p>
        </w:tc>
      </w:tr>
      <w:tr w14:paraId="18CBA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EA0B9C5">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11</w:t>
            </w:r>
          </w:p>
        </w:tc>
        <w:tc>
          <w:tcPr>
            <w:tcW w:w="900" w:type="dxa"/>
            <w:vMerge w:val="continue"/>
            <w:tcBorders>
              <w:left w:val="single" w:color="auto" w:sz="4" w:space="0"/>
              <w:right w:val="single" w:color="auto" w:sz="4" w:space="0"/>
            </w:tcBorders>
            <w:shd w:val="clear" w:color="auto" w:fill="auto"/>
            <w:noWrap w:val="0"/>
            <w:vAlign w:val="center"/>
          </w:tcPr>
          <w:p w14:paraId="14287FDA">
            <w:pPr>
              <w:spacing w:line="300" w:lineRule="exact"/>
              <w:ind w:firstLine="0" w:firstLineChars="0"/>
              <w:jc w:val="center"/>
              <w:rPr>
                <w:rFonts w:hint="eastAsia" w:ascii="Times New Roman" w:hAnsi="Times New Roman" w:eastAsia="宋体" w:cs="Times New Roman"/>
                <w:color w:val="auto"/>
                <w:sz w:val="21"/>
                <w:szCs w:val="21"/>
                <w:lang w:val="en-US" w:eastAsia="zh-CN"/>
              </w:rPr>
            </w:pPr>
          </w:p>
        </w:tc>
        <w:tc>
          <w:tcPr>
            <w:tcW w:w="151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5A6049">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坝轴线布置不符合设计要求</w:t>
            </w:r>
          </w:p>
        </w:tc>
        <w:tc>
          <w:tcPr>
            <w:tcW w:w="126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72D2FF31">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局部不稳定或结构破坏</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5517A6">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30A79BB">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E8FB90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9</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2412131">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AD02B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较严重</w:t>
            </w:r>
          </w:p>
        </w:tc>
        <w:tc>
          <w:tcPr>
            <w:tcW w:w="144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641E663B">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Ⅲ级</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2D2CF56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堆积坝</w:t>
            </w:r>
          </w:p>
        </w:tc>
      </w:tr>
      <w:tr w14:paraId="7F110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A69816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12</w:t>
            </w:r>
          </w:p>
        </w:tc>
        <w:tc>
          <w:tcPr>
            <w:tcW w:w="900" w:type="dxa"/>
            <w:vMerge w:val="continue"/>
            <w:tcBorders>
              <w:left w:val="single" w:color="auto" w:sz="4" w:space="0"/>
              <w:right w:val="single" w:color="auto" w:sz="4" w:space="0"/>
            </w:tcBorders>
            <w:shd w:val="clear" w:color="auto" w:fill="auto"/>
            <w:noWrap w:val="0"/>
            <w:vAlign w:val="center"/>
          </w:tcPr>
          <w:p w14:paraId="362218BF">
            <w:pPr>
              <w:spacing w:line="300" w:lineRule="exact"/>
              <w:ind w:firstLine="0" w:firstLineChars="0"/>
              <w:jc w:val="center"/>
              <w:rPr>
                <w:rFonts w:hint="eastAsia" w:ascii="Times New Roman" w:hAnsi="Times New Roman" w:eastAsia="宋体" w:cs="Times New Roman"/>
                <w:color w:val="auto"/>
                <w:sz w:val="21"/>
                <w:szCs w:val="21"/>
                <w:lang w:val="en-US" w:eastAsia="zh-CN"/>
              </w:rPr>
            </w:pPr>
          </w:p>
        </w:tc>
        <w:tc>
          <w:tcPr>
            <w:tcW w:w="151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E6D60EE">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坝体超过设计坝高，或超设计库容储存尾矿</w:t>
            </w:r>
          </w:p>
        </w:tc>
        <w:tc>
          <w:tcPr>
            <w:tcW w:w="126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7BD57CB3">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违规、停产、闭库</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C191B26">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8F488A">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3627C05">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8</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3FE16AD">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可能性小</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0782C9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严重</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02151DB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Ⅳ级</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02E36CF0">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堆积坝</w:t>
            </w:r>
          </w:p>
        </w:tc>
      </w:tr>
      <w:tr w14:paraId="3D374C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3534327">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13</w:t>
            </w:r>
          </w:p>
        </w:tc>
        <w:tc>
          <w:tcPr>
            <w:tcW w:w="900" w:type="dxa"/>
            <w:vMerge w:val="continue"/>
            <w:tcBorders>
              <w:left w:val="single" w:color="auto" w:sz="4" w:space="0"/>
              <w:right w:val="single" w:color="auto" w:sz="4" w:space="0"/>
            </w:tcBorders>
            <w:shd w:val="clear" w:color="auto" w:fill="auto"/>
            <w:noWrap w:val="0"/>
            <w:vAlign w:val="center"/>
          </w:tcPr>
          <w:p w14:paraId="757E0744">
            <w:pPr>
              <w:spacing w:line="300" w:lineRule="exact"/>
              <w:ind w:firstLine="0" w:firstLineChars="0"/>
              <w:jc w:val="center"/>
              <w:rPr>
                <w:rFonts w:hint="eastAsia" w:ascii="Times New Roman" w:hAnsi="Times New Roman" w:eastAsia="宋体" w:cs="Times New Roman"/>
                <w:color w:val="auto"/>
                <w:sz w:val="21"/>
                <w:szCs w:val="21"/>
                <w:lang w:val="en-US" w:eastAsia="zh-CN"/>
              </w:rPr>
            </w:pPr>
          </w:p>
        </w:tc>
        <w:tc>
          <w:tcPr>
            <w:tcW w:w="151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85FADCB">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坝轴线与水边线不平行（不均匀放矿）</w:t>
            </w:r>
          </w:p>
        </w:tc>
        <w:tc>
          <w:tcPr>
            <w:tcW w:w="126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6EAFFEFC">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坝体可能不稳</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6A1A19D">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10C6625">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CD5DAD7">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9</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0A9A26E">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C6140A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较严重</w:t>
            </w:r>
          </w:p>
        </w:tc>
        <w:tc>
          <w:tcPr>
            <w:tcW w:w="144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32555D2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Ⅲ级</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1EF9ACC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堆积坝</w:t>
            </w:r>
          </w:p>
        </w:tc>
      </w:tr>
      <w:tr w14:paraId="578DC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EB337E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14</w:t>
            </w:r>
          </w:p>
        </w:tc>
        <w:tc>
          <w:tcPr>
            <w:tcW w:w="900" w:type="dxa"/>
            <w:vMerge w:val="continue"/>
            <w:tcBorders>
              <w:left w:val="single" w:color="auto" w:sz="4" w:space="0"/>
              <w:right w:val="single" w:color="auto" w:sz="4" w:space="0"/>
            </w:tcBorders>
            <w:shd w:val="clear" w:color="auto" w:fill="auto"/>
            <w:noWrap w:val="0"/>
            <w:vAlign w:val="center"/>
          </w:tcPr>
          <w:p w14:paraId="66DC3610">
            <w:pPr>
              <w:spacing w:line="300" w:lineRule="exact"/>
              <w:ind w:firstLine="0" w:firstLineChars="0"/>
              <w:jc w:val="center"/>
              <w:rPr>
                <w:rFonts w:hint="eastAsia" w:ascii="Times New Roman" w:hAnsi="Times New Roman" w:eastAsia="宋体" w:cs="Times New Roman"/>
                <w:color w:val="auto"/>
                <w:sz w:val="21"/>
                <w:szCs w:val="21"/>
                <w:lang w:val="en-US" w:eastAsia="zh-CN"/>
              </w:rPr>
            </w:pPr>
          </w:p>
        </w:tc>
        <w:tc>
          <w:tcPr>
            <w:tcW w:w="151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1AC379D">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未按于库（坝）前均匀放矿</w:t>
            </w:r>
          </w:p>
        </w:tc>
        <w:tc>
          <w:tcPr>
            <w:tcW w:w="126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72C44358">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坝体</w:t>
            </w:r>
          </w:p>
          <w:p w14:paraId="18EFD83E">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可能不稳</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64F0012">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B25D63D">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3D8C95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9</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BB16352">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BC8662">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较严重</w:t>
            </w:r>
          </w:p>
        </w:tc>
        <w:tc>
          <w:tcPr>
            <w:tcW w:w="144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48A452C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Ⅲ级</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364D3A3B">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堆积坝</w:t>
            </w:r>
          </w:p>
        </w:tc>
      </w:tr>
      <w:tr w14:paraId="6C626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EDDF8C2">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15</w:t>
            </w:r>
          </w:p>
        </w:tc>
        <w:tc>
          <w:tcPr>
            <w:tcW w:w="900" w:type="dxa"/>
            <w:vMerge w:val="continue"/>
            <w:tcBorders>
              <w:left w:val="single" w:color="auto" w:sz="4" w:space="0"/>
              <w:right w:val="single" w:color="auto" w:sz="4" w:space="0"/>
            </w:tcBorders>
            <w:shd w:val="clear" w:color="auto" w:fill="auto"/>
            <w:noWrap w:val="0"/>
            <w:vAlign w:val="center"/>
          </w:tcPr>
          <w:p w14:paraId="47E18096">
            <w:pPr>
              <w:spacing w:line="300" w:lineRule="exact"/>
              <w:ind w:firstLine="0" w:firstLineChars="0"/>
              <w:jc w:val="center"/>
              <w:rPr>
                <w:rFonts w:hint="eastAsia" w:ascii="Times New Roman" w:hAnsi="Times New Roman" w:eastAsia="宋体" w:cs="Times New Roman"/>
                <w:color w:val="auto"/>
                <w:sz w:val="21"/>
                <w:szCs w:val="21"/>
                <w:lang w:val="en-US" w:eastAsia="zh-CN"/>
              </w:rPr>
            </w:pPr>
          </w:p>
        </w:tc>
        <w:tc>
          <w:tcPr>
            <w:tcW w:w="180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424B4FC2">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尾矿浆排放冲刷初期坝和子坝，尾矿浆沿子坝内坡流动冲刷坝体</w:t>
            </w:r>
          </w:p>
        </w:tc>
        <w:tc>
          <w:tcPr>
            <w:tcW w:w="9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3068A87">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子坝塌陷，漏砂</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8AB92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1016E68">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E5D6784">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9</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75585A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E709A50">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较严重</w:t>
            </w:r>
          </w:p>
        </w:tc>
        <w:tc>
          <w:tcPr>
            <w:tcW w:w="144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2D9C694E">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Ⅲ级</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64A22741">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堆积坝</w:t>
            </w:r>
          </w:p>
        </w:tc>
      </w:tr>
      <w:tr w14:paraId="58B0C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E37B5D2">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16</w:t>
            </w:r>
          </w:p>
        </w:tc>
        <w:tc>
          <w:tcPr>
            <w:tcW w:w="900" w:type="dxa"/>
            <w:vMerge w:val="continue"/>
            <w:tcBorders>
              <w:left w:val="single" w:color="auto" w:sz="4" w:space="0"/>
              <w:right w:val="single" w:color="auto" w:sz="4" w:space="0"/>
            </w:tcBorders>
            <w:shd w:val="clear" w:color="auto" w:fill="auto"/>
            <w:noWrap w:val="0"/>
            <w:vAlign w:val="center"/>
          </w:tcPr>
          <w:p w14:paraId="322C2CF9">
            <w:pPr>
              <w:spacing w:line="300" w:lineRule="exact"/>
              <w:ind w:firstLine="0" w:firstLineChars="0"/>
              <w:jc w:val="center"/>
              <w:rPr>
                <w:rFonts w:hint="eastAsia" w:ascii="Times New Roman" w:hAnsi="Times New Roman" w:eastAsia="宋体" w:cs="Times New Roman"/>
                <w:color w:val="auto"/>
                <w:sz w:val="21"/>
                <w:szCs w:val="21"/>
                <w:lang w:val="en-US" w:eastAsia="zh-CN"/>
              </w:rPr>
            </w:pPr>
          </w:p>
        </w:tc>
        <w:tc>
          <w:tcPr>
            <w:tcW w:w="180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198F2D4B">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子坝堆筑前未进行岸坡清理。</w:t>
            </w:r>
          </w:p>
        </w:tc>
        <w:tc>
          <w:tcPr>
            <w:tcW w:w="9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BED66AF">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子坝局部塌陷</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A0B964D">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47A03CF">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ABF3CB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9</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573E8A6">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2019C1">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较严重</w:t>
            </w:r>
          </w:p>
        </w:tc>
        <w:tc>
          <w:tcPr>
            <w:tcW w:w="144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043385D8">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Ⅲ级</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1162804D">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堆积坝</w:t>
            </w:r>
          </w:p>
        </w:tc>
      </w:tr>
      <w:tr w14:paraId="69B0A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426AA54">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17</w:t>
            </w:r>
          </w:p>
        </w:tc>
        <w:tc>
          <w:tcPr>
            <w:tcW w:w="900" w:type="dxa"/>
            <w:vMerge w:val="continue"/>
            <w:tcBorders>
              <w:left w:val="single" w:color="auto" w:sz="4" w:space="0"/>
              <w:right w:val="single" w:color="auto" w:sz="4" w:space="0"/>
            </w:tcBorders>
            <w:shd w:val="clear" w:color="auto" w:fill="auto"/>
            <w:noWrap w:val="0"/>
            <w:vAlign w:val="center"/>
          </w:tcPr>
          <w:p w14:paraId="5EAA5D0F">
            <w:pPr>
              <w:spacing w:line="300" w:lineRule="exact"/>
              <w:ind w:firstLine="0" w:firstLineChars="0"/>
              <w:jc w:val="center"/>
              <w:rPr>
                <w:rFonts w:hint="eastAsia" w:ascii="Times New Roman" w:hAnsi="Times New Roman" w:eastAsia="宋体" w:cs="Times New Roman"/>
                <w:color w:val="auto"/>
                <w:sz w:val="21"/>
                <w:szCs w:val="21"/>
                <w:lang w:val="en-US" w:eastAsia="zh-CN"/>
              </w:rPr>
            </w:pPr>
          </w:p>
        </w:tc>
        <w:tc>
          <w:tcPr>
            <w:tcW w:w="180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6B32CDC2">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子坝坝顶及沉积滩面不均匀平整</w:t>
            </w:r>
          </w:p>
        </w:tc>
        <w:tc>
          <w:tcPr>
            <w:tcW w:w="9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9F65AC3">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可能洪水漫顶</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6127E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9C6D30">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0D6E5B1">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9</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4D1F798">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FC94FA">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较严重</w:t>
            </w:r>
          </w:p>
        </w:tc>
        <w:tc>
          <w:tcPr>
            <w:tcW w:w="144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46D27006">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Ⅲ级</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382F1ED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堆积坝</w:t>
            </w:r>
          </w:p>
        </w:tc>
      </w:tr>
      <w:tr w14:paraId="787A0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F7F503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18</w:t>
            </w:r>
          </w:p>
        </w:tc>
        <w:tc>
          <w:tcPr>
            <w:tcW w:w="900" w:type="dxa"/>
            <w:vMerge w:val="continue"/>
            <w:tcBorders>
              <w:left w:val="single" w:color="auto" w:sz="4" w:space="0"/>
              <w:right w:val="single" w:color="auto" w:sz="4" w:space="0"/>
            </w:tcBorders>
            <w:shd w:val="clear" w:color="auto" w:fill="auto"/>
            <w:noWrap w:val="0"/>
            <w:vAlign w:val="center"/>
          </w:tcPr>
          <w:p w14:paraId="7D4992F2">
            <w:pPr>
              <w:spacing w:line="300" w:lineRule="exact"/>
              <w:ind w:firstLine="0" w:firstLineChars="0"/>
              <w:jc w:val="center"/>
              <w:rPr>
                <w:rFonts w:hint="eastAsia" w:ascii="Times New Roman" w:hAnsi="Times New Roman" w:eastAsia="宋体" w:cs="Times New Roman"/>
                <w:color w:val="auto"/>
                <w:sz w:val="21"/>
                <w:szCs w:val="21"/>
                <w:lang w:val="en-US" w:eastAsia="zh-CN"/>
              </w:rPr>
            </w:pPr>
          </w:p>
        </w:tc>
        <w:tc>
          <w:tcPr>
            <w:tcW w:w="180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1DD48B57">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堆积坝坝坡面未按设计覆土、植被、筑沟</w:t>
            </w:r>
          </w:p>
        </w:tc>
        <w:tc>
          <w:tcPr>
            <w:tcW w:w="9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B9D75CB">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坝坡面冲刷拉沟</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064B7F">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AB76428">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EAA47EA">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8</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2A1461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可能性小</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AC4939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轻微</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531D7B1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Ⅳ级</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4884BDDF">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堆积坝</w:t>
            </w:r>
          </w:p>
        </w:tc>
      </w:tr>
      <w:tr w14:paraId="19E98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5D8D750">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19</w:t>
            </w:r>
          </w:p>
        </w:tc>
        <w:tc>
          <w:tcPr>
            <w:tcW w:w="900" w:type="dxa"/>
            <w:vMerge w:val="continue"/>
            <w:tcBorders>
              <w:left w:val="single" w:color="auto" w:sz="4" w:space="0"/>
              <w:right w:val="single" w:color="auto" w:sz="4" w:space="0"/>
            </w:tcBorders>
            <w:shd w:val="clear" w:color="auto" w:fill="auto"/>
            <w:noWrap w:val="0"/>
            <w:vAlign w:val="center"/>
          </w:tcPr>
          <w:p w14:paraId="4354A095">
            <w:pPr>
              <w:spacing w:line="300" w:lineRule="exact"/>
              <w:ind w:firstLine="0" w:firstLineChars="0"/>
              <w:jc w:val="center"/>
              <w:rPr>
                <w:rFonts w:hint="eastAsia" w:ascii="Times New Roman" w:hAnsi="Times New Roman" w:eastAsia="宋体" w:cs="Times New Roman"/>
                <w:color w:val="auto"/>
                <w:sz w:val="21"/>
                <w:szCs w:val="21"/>
                <w:lang w:val="en-US" w:eastAsia="zh-CN"/>
              </w:rPr>
            </w:pPr>
          </w:p>
        </w:tc>
        <w:tc>
          <w:tcPr>
            <w:tcW w:w="180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117B82B5">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冬季未按设计要求采用冰下放矿作业</w:t>
            </w:r>
          </w:p>
        </w:tc>
        <w:tc>
          <w:tcPr>
            <w:tcW w:w="9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8E27B02">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造成堆积坝结构缺陷（存在冰冻层，遇热即化）、浸润线升高，渗透破坏，降低安全性</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9F1AFFE">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4D3FFDE">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DD36BC5">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9</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F03CB64">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AB7DDF">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较严重</w:t>
            </w:r>
          </w:p>
        </w:tc>
        <w:tc>
          <w:tcPr>
            <w:tcW w:w="144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67F4ED24">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Ⅲ级</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318D2166">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堆积坝</w:t>
            </w:r>
          </w:p>
        </w:tc>
      </w:tr>
      <w:tr w14:paraId="6FD50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C4AF37A">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20</w:t>
            </w:r>
          </w:p>
        </w:tc>
        <w:tc>
          <w:tcPr>
            <w:tcW w:w="900" w:type="dxa"/>
            <w:vMerge w:val="continue"/>
            <w:tcBorders>
              <w:left w:val="single" w:color="auto" w:sz="4" w:space="0"/>
              <w:right w:val="single" w:color="auto" w:sz="4" w:space="0"/>
            </w:tcBorders>
            <w:shd w:val="clear" w:color="auto" w:fill="auto"/>
            <w:noWrap w:val="0"/>
            <w:vAlign w:val="center"/>
          </w:tcPr>
          <w:p w14:paraId="69CC5CBE">
            <w:pPr>
              <w:spacing w:line="300" w:lineRule="exact"/>
              <w:ind w:firstLine="0" w:firstLineChars="0"/>
              <w:jc w:val="center"/>
              <w:rPr>
                <w:rFonts w:hint="eastAsia" w:ascii="Times New Roman" w:hAnsi="Times New Roman" w:eastAsia="宋体" w:cs="Times New Roman"/>
                <w:color w:val="auto"/>
                <w:sz w:val="21"/>
                <w:szCs w:val="21"/>
                <w:lang w:val="en-US" w:eastAsia="zh-CN"/>
              </w:rPr>
            </w:pPr>
          </w:p>
        </w:tc>
        <w:tc>
          <w:tcPr>
            <w:tcW w:w="180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36E805AE">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多种矿石性质不同的尾矿混合排放入库，或尾矿粒径变细</w:t>
            </w:r>
          </w:p>
        </w:tc>
        <w:tc>
          <w:tcPr>
            <w:tcW w:w="9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AB047D">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可能造成坝体稳定性下降或溃坝</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4EC4F72">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372BBC">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9701EF">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E4CE8FF">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可能性小</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C77A357">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一般</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07BC8668">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Ⅳ级</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25345765">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堆积坝</w:t>
            </w:r>
          </w:p>
        </w:tc>
      </w:tr>
    </w:tbl>
    <w:p w14:paraId="69520F41">
      <w:pPr>
        <w:bidi w:val="0"/>
        <w:rPr>
          <w:rFonts w:hint="default"/>
          <w:color w:val="auto"/>
          <w:lang w:val="en-US" w:eastAsia="zh-CN"/>
        </w:rPr>
      </w:pPr>
      <w:r>
        <w:rPr>
          <w:rFonts w:hint="default"/>
          <w:color w:val="auto"/>
          <w:lang w:val="en-US" w:eastAsia="zh-CN"/>
        </w:rPr>
        <w:t>（备注：LS法辨识、分析得到的杨家店尾矿库的风险等级，并不代表杨家店尾矿库有溃坝、洪水漫顶等现象，只是表示其可能存在溃坝、洪水漫顶等现象，下同）</w:t>
      </w:r>
    </w:p>
    <w:p w14:paraId="39BD7F79">
      <w:pPr>
        <w:bidi w:val="0"/>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杨家店尾矿库排洪系统LS法风险分析如下表：</w:t>
      </w:r>
    </w:p>
    <w:p w14:paraId="5066576E">
      <w:pPr>
        <w:bidi w:val="0"/>
        <w:rPr>
          <w:rFonts w:hint="default"/>
          <w:color w:val="auto"/>
          <w:lang w:val="en-US" w:eastAsia="zh-CN"/>
        </w:rPr>
      </w:pPr>
    </w:p>
    <w:tbl>
      <w:tblPr>
        <w:tblStyle w:val="19"/>
        <w:tblpPr w:leftFromText="180" w:rightFromText="180" w:vertAnchor="text" w:horzAnchor="margin" w:tblpX="108" w:tblpY="313"/>
        <w:tblW w:w="94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8"/>
        <w:gridCol w:w="720"/>
        <w:gridCol w:w="1440"/>
        <w:gridCol w:w="1260"/>
        <w:gridCol w:w="360"/>
        <w:gridCol w:w="360"/>
        <w:gridCol w:w="540"/>
        <w:gridCol w:w="900"/>
        <w:gridCol w:w="900"/>
        <w:gridCol w:w="1440"/>
        <w:gridCol w:w="1080"/>
      </w:tblGrid>
      <w:tr w14:paraId="3C51C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468" w:type="dxa"/>
            <w:vMerge w:val="restart"/>
            <w:tcBorders>
              <w:top w:val="single" w:color="auto" w:sz="4" w:space="0"/>
              <w:left w:val="single" w:color="auto" w:sz="4" w:space="0"/>
              <w:right w:val="single" w:color="auto" w:sz="4" w:space="0"/>
            </w:tcBorders>
            <w:noWrap w:val="0"/>
            <w:vAlign w:val="center"/>
          </w:tcPr>
          <w:p w14:paraId="414CF948">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序号</w:t>
            </w:r>
          </w:p>
        </w:tc>
        <w:tc>
          <w:tcPr>
            <w:tcW w:w="720" w:type="dxa"/>
            <w:vMerge w:val="restart"/>
            <w:tcBorders>
              <w:top w:val="single" w:color="auto" w:sz="4" w:space="0"/>
              <w:left w:val="single" w:color="auto" w:sz="4" w:space="0"/>
              <w:right w:val="single" w:color="auto" w:sz="4" w:space="0"/>
            </w:tcBorders>
            <w:noWrap w:val="0"/>
            <w:vAlign w:val="center"/>
          </w:tcPr>
          <w:p w14:paraId="58AC863E">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单元/</w:t>
            </w:r>
          </w:p>
          <w:p w14:paraId="2780611A">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系统</w:t>
            </w:r>
          </w:p>
        </w:tc>
        <w:tc>
          <w:tcPr>
            <w:tcW w:w="1440" w:type="dxa"/>
            <w:vMerge w:val="restart"/>
            <w:tcBorders>
              <w:top w:val="single" w:color="auto" w:sz="4" w:space="0"/>
              <w:left w:val="single" w:color="auto" w:sz="4" w:space="0"/>
              <w:right w:val="single" w:color="auto" w:sz="4" w:space="0"/>
            </w:tcBorders>
            <w:noWrap w:val="0"/>
            <w:vAlign w:val="center"/>
          </w:tcPr>
          <w:p w14:paraId="45075CF8">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危险源</w:t>
            </w:r>
          </w:p>
          <w:p w14:paraId="5E3033D7">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及风险</w:t>
            </w:r>
          </w:p>
        </w:tc>
        <w:tc>
          <w:tcPr>
            <w:tcW w:w="1260" w:type="dxa"/>
            <w:vMerge w:val="restart"/>
            <w:tcBorders>
              <w:top w:val="single" w:color="auto" w:sz="4" w:space="0"/>
              <w:left w:val="single" w:color="auto" w:sz="4" w:space="0"/>
              <w:right w:val="single" w:color="auto" w:sz="4" w:space="0"/>
            </w:tcBorders>
            <w:noWrap w:val="0"/>
            <w:vAlign w:val="center"/>
          </w:tcPr>
          <w:p w14:paraId="46C67970">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可能后果</w:t>
            </w:r>
          </w:p>
        </w:tc>
        <w:tc>
          <w:tcPr>
            <w:tcW w:w="1260" w:type="dxa"/>
            <w:gridSpan w:val="3"/>
            <w:tcBorders>
              <w:top w:val="single" w:color="auto" w:sz="4" w:space="0"/>
              <w:left w:val="single" w:color="auto" w:sz="4" w:space="0"/>
              <w:bottom w:val="single" w:color="auto" w:sz="4" w:space="0"/>
              <w:right w:val="single" w:color="auto" w:sz="4" w:space="0"/>
            </w:tcBorders>
            <w:noWrap w:val="0"/>
            <w:vAlign w:val="center"/>
          </w:tcPr>
          <w:p w14:paraId="5E3BB764">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风险值R=L·S</w:t>
            </w:r>
          </w:p>
        </w:tc>
        <w:tc>
          <w:tcPr>
            <w:tcW w:w="900" w:type="dxa"/>
            <w:vMerge w:val="restart"/>
            <w:tcBorders>
              <w:top w:val="single" w:color="auto" w:sz="4" w:space="0"/>
              <w:left w:val="single" w:color="auto" w:sz="4" w:space="0"/>
              <w:right w:val="single" w:color="auto" w:sz="4" w:space="0"/>
            </w:tcBorders>
            <w:noWrap w:val="0"/>
            <w:vAlign w:val="center"/>
          </w:tcPr>
          <w:p w14:paraId="45983901">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可能性</w:t>
            </w:r>
          </w:p>
        </w:tc>
        <w:tc>
          <w:tcPr>
            <w:tcW w:w="900" w:type="dxa"/>
            <w:vMerge w:val="restart"/>
            <w:tcBorders>
              <w:top w:val="single" w:color="auto" w:sz="4" w:space="0"/>
              <w:left w:val="single" w:color="auto" w:sz="4" w:space="0"/>
              <w:right w:val="single" w:color="auto" w:sz="4" w:space="0"/>
            </w:tcBorders>
            <w:noWrap w:val="0"/>
            <w:vAlign w:val="center"/>
          </w:tcPr>
          <w:p w14:paraId="3D6052B1">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严重性</w:t>
            </w:r>
          </w:p>
        </w:tc>
        <w:tc>
          <w:tcPr>
            <w:tcW w:w="1440" w:type="dxa"/>
            <w:vMerge w:val="restart"/>
            <w:tcBorders>
              <w:top w:val="single" w:color="auto" w:sz="4" w:space="0"/>
              <w:left w:val="single" w:color="auto" w:sz="4" w:space="0"/>
              <w:right w:val="single" w:color="auto" w:sz="4" w:space="0"/>
            </w:tcBorders>
            <w:noWrap w:val="0"/>
            <w:vAlign w:val="center"/>
          </w:tcPr>
          <w:p w14:paraId="49C5715F">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危险性程度（风险等级）</w:t>
            </w:r>
          </w:p>
        </w:tc>
        <w:tc>
          <w:tcPr>
            <w:tcW w:w="1080" w:type="dxa"/>
            <w:vMerge w:val="restart"/>
            <w:tcBorders>
              <w:top w:val="single" w:color="auto" w:sz="4" w:space="0"/>
              <w:left w:val="single" w:color="auto" w:sz="4" w:space="0"/>
              <w:right w:val="single" w:color="auto" w:sz="4" w:space="0"/>
            </w:tcBorders>
            <w:noWrap w:val="0"/>
            <w:vAlign w:val="center"/>
          </w:tcPr>
          <w:p w14:paraId="03A82FA9">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影响范围</w:t>
            </w:r>
          </w:p>
        </w:tc>
      </w:tr>
      <w:tr w14:paraId="441C6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468" w:type="dxa"/>
            <w:vMerge w:val="continue"/>
            <w:tcBorders>
              <w:left w:val="single" w:color="auto" w:sz="4" w:space="0"/>
              <w:bottom w:val="single" w:color="auto" w:sz="4" w:space="0"/>
              <w:right w:val="single" w:color="auto" w:sz="4" w:space="0"/>
            </w:tcBorders>
            <w:noWrap w:val="0"/>
            <w:vAlign w:val="center"/>
          </w:tcPr>
          <w:p w14:paraId="0D3CE884">
            <w:pPr>
              <w:spacing w:line="300" w:lineRule="exact"/>
              <w:ind w:firstLine="0" w:firstLineChars="0"/>
              <w:jc w:val="center"/>
              <w:rPr>
                <w:rFonts w:hint="eastAsia" w:ascii="Times New Roman" w:hAnsi="Times New Roman" w:eastAsia="宋体" w:cs="Times New Roman"/>
                <w:color w:val="auto"/>
                <w:sz w:val="21"/>
                <w:szCs w:val="21"/>
                <w:lang w:val="en-US" w:eastAsia="zh-CN"/>
              </w:rPr>
            </w:pPr>
          </w:p>
        </w:tc>
        <w:tc>
          <w:tcPr>
            <w:tcW w:w="720" w:type="dxa"/>
            <w:vMerge w:val="continue"/>
            <w:tcBorders>
              <w:left w:val="single" w:color="auto" w:sz="4" w:space="0"/>
              <w:bottom w:val="single" w:color="auto" w:sz="4" w:space="0"/>
              <w:right w:val="single" w:color="auto" w:sz="4" w:space="0"/>
            </w:tcBorders>
            <w:noWrap w:val="0"/>
            <w:vAlign w:val="center"/>
          </w:tcPr>
          <w:p w14:paraId="04AEAE76">
            <w:pPr>
              <w:spacing w:line="300" w:lineRule="exact"/>
              <w:ind w:firstLine="0" w:firstLineChars="0"/>
              <w:jc w:val="center"/>
              <w:rPr>
                <w:rFonts w:hint="eastAsia" w:ascii="Times New Roman" w:hAnsi="Times New Roman" w:eastAsia="宋体" w:cs="Times New Roman"/>
                <w:color w:val="auto"/>
                <w:sz w:val="21"/>
                <w:szCs w:val="21"/>
                <w:lang w:val="en-US" w:eastAsia="zh-CN"/>
              </w:rPr>
            </w:pPr>
          </w:p>
        </w:tc>
        <w:tc>
          <w:tcPr>
            <w:tcW w:w="1440" w:type="dxa"/>
            <w:vMerge w:val="continue"/>
            <w:tcBorders>
              <w:left w:val="single" w:color="auto" w:sz="4" w:space="0"/>
              <w:bottom w:val="single" w:color="auto" w:sz="4" w:space="0"/>
              <w:right w:val="single" w:color="auto" w:sz="4" w:space="0"/>
            </w:tcBorders>
            <w:noWrap w:val="0"/>
            <w:vAlign w:val="center"/>
          </w:tcPr>
          <w:p w14:paraId="55420F28">
            <w:pPr>
              <w:spacing w:line="300" w:lineRule="exact"/>
              <w:ind w:firstLine="0" w:firstLineChars="0"/>
              <w:jc w:val="center"/>
              <w:rPr>
                <w:rFonts w:hint="eastAsia" w:ascii="Times New Roman" w:hAnsi="Times New Roman" w:eastAsia="宋体" w:cs="Times New Roman"/>
                <w:color w:val="auto"/>
                <w:sz w:val="21"/>
                <w:szCs w:val="21"/>
                <w:lang w:val="en-US" w:eastAsia="zh-CN"/>
              </w:rPr>
            </w:pPr>
          </w:p>
        </w:tc>
        <w:tc>
          <w:tcPr>
            <w:tcW w:w="1260" w:type="dxa"/>
            <w:vMerge w:val="continue"/>
            <w:tcBorders>
              <w:left w:val="single" w:color="auto" w:sz="4" w:space="0"/>
              <w:bottom w:val="single" w:color="auto" w:sz="4" w:space="0"/>
              <w:right w:val="single" w:color="auto" w:sz="4" w:space="0"/>
            </w:tcBorders>
            <w:noWrap w:val="0"/>
            <w:vAlign w:val="center"/>
          </w:tcPr>
          <w:p w14:paraId="554DC6E4">
            <w:pPr>
              <w:spacing w:line="300" w:lineRule="exact"/>
              <w:ind w:firstLine="0" w:firstLineChars="0"/>
              <w:jc w:val="center"/>
              <w:rPr>
                <w:rFonts w:hint="eastAsia" w:ascii="Times New Roman" w:hAnsi="Times New Roman" w:eastAsia="宋体" w:cs="Times New Roman"/>
                <w:color w:val="auto"/>
                <w:sz w:val="21"/>
                <w:szCs w:val="21"/>
                <w:lang w:val="en-US" w:eastAsia="zh-CN"/>
              </w:rPr>
            </w:pPr>
          </w:p>
        </w:tc>
        <w:tc>
          <w:tcPr>
            <w:tcW w:w="360" w:type="dxa"/>
            <w:tcBorders>
              <w:top w:val="single" w:color="auto" w:sz="4" w:space="0"/>
              <w:left w:val="single" w:color="auto" w:sz="4" w:space="0"/>
              <w:bottom w:val="single" w:color="auto" w:sz="4" w:space="0"/>
              <w:right w:val="single" w:color="auto" w:sz="4" w:space="0"/>
            </w:tcBorders>
            <w:noWrap w:val="0"/>
            <w:vAlign w:val="center"/>
          </w:tcPr>
          <w:p w14:paraId="5F9E8B67">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L</w:t>
            </w:r>
          </w:p>
        </w:tc>
        <w:tc>
          <w:tcPr>
            <w:tcW w:w="360" w:type="dxa"/>
            <w:tcBorders>
              <w:top w:val="single" w:color="auto" w:sz="4" w:space="0"/>
              <w:left w:val="single" w:color="auto" w:sz="4" w:space="0"/>
              <w:bottom w:val="single" w:color="auto" w:sz="4" w:space="0"/>
              <w:right w:val="single" w:color="auto" w:sz="4" w:space="0"/>
            </w:tcBorders>
            <w:noWrap w:val="0"/>
            <w:vAlign w:val="center"/>
          </w:tcPr>
          <w:p w14:paraId="590E68BC">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S</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1327A674">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R</w:t>
            </w:r>
          </w:p>
        </w:tc>
        <w:tc>
          <w:tcPr>
            <w:tcW w:w="900" w:type="dxa"/>
            <w:vMerge w:val="continue"/>
            <w:tcBorders>
              <w:left w:val="single" w:color="auto" w:sz="4" w:space="0"/>
              <w:bottom w:val="single" w:color="auto" w:sz="4" w:space="0"/>
              <w:right w:val="single" w:color="auto" w:sz="4" w:space="0"/>
            </w:tcBorders>
            <w:noWrap w:val="0"/>
            <w:vAlign w:val="center"/>
          </w:tcPr>
          <w:p w14:paraId="1C261DD9">
            <w:pPr>
              <w:spacing w:line="300" w:lineRule="exact"/>
              <w:ind w:firstLine="0" w:firstLineChars="0"/>
              <w:jc w:val="center"/>
              <w:rPr>
                <w:rFonts w:hint="eastAsia" w:ascii="Times New Roman" w:hAnsi="Times New Roman" w:eastAsia="宋体" w:cs="Times New Roman"/>
                <w:color w:val="auto"/>
                <w:sz w:val="21"/>
                <w:szCs w:val="21"/>
                <w:lang w:val="en-US" w:eastAsia="zh-CN"/>
              </w:rPr>
            </w:pPr>
          </w:p>
        </w:tc>
        <w:tc>
          <w:tcPr>
            <w:tcW w:w="900" w:type="dxa"/>
            <w:vMerge w:val="continue"/>
            <w:tcBorders>
              <w:left w:val="single" w:color="auto" w:sz="4" w:space="0"/>
              <w:bottom w:val="single" w:color="auto" w:sz="4" w:space="0"/>
              <w:right w:val="single" w:color="auto" w:sz="4" w:space="0"/>
            </w:tcBorders>
            <w:noWrap w:val="0"/>
            <w:vAlign w:val="center"/>
          </w:tcPr>
          <w:p w14:paraId="02428BF7">
            <w:pPr>
              <w:spacing w:line="300" w:lineRule="exact"/>
              <w:ind w:firstLine="0" w:firstLineChars="0"/>
              <w:jc w:val="center"/>
              <w:rPr>
                <w:rFonts w:hint="eastAsia" w:ascii="Times New Roman" w:hAnsi="Times New Roman" w:eastAsia="宋体" w:cs="Times New Roman"/>
                <w:color w:val="auto"/>
                <w:sz w:val="21"/>
                <w:szCs w:val="21"/>
                <w:lang w:val="en-US" w:eastAsia="zh-CN"/>
              </w:rPr>
            </w:pPr>
          </w:p>
        </w:tc>
        <w:tc>
          <w:tcPr>
            <w:tcW w:w="1440" w:type="dxa"/>
            <w:vMerge w:val="continue"/>
            <w:tcBorders>
              <w:left w:val="single" w:color="auto" w:sz="4" w:space="0"/>
              <w:bottom w:val="single" w:color="auto" w:sz="4" w:space="0"/>
              <w:right w:val="single" w:color="auto" w:sz="4" w:space="0"/>
            </w:tcBorders>
            <w:noWrap w:val="0"/>
            <w:vAlign w:val="center"/>
          </w:tcPr>
          <w:p w14:paraId="54A5AE43">
            <w:pPr>
              <w:spacing w:line="300" w:lineRule="exact"/>
              <w:ind w:firstLine="0" w:firstLineChars="0"/>
              <w:jc w:val="center"/>
              <w:rPr>
                <w:rFonts w:hint="eastAsia" w:ascii="Times New Roman" w:hAnsi="Times New Roman" w:eastAsia="宋体" w:cs="Times New Roman"/>
                <w:color w:val="auto"/>
                <w:sz w:val="21"/>
                <w:szCs w:val="21"/>
                <w:lang w:val="en-US" w:eastAsia="zh-CN"/>
              </w:rPr>
            </w:pPr>
          </w:p>
        </w:tc>
        <w:tc>
          <w:tcPr>
            <w:tcW w:w="1080" w:type="dxa"/>
            <w:vMerge w:val="continue"/>
            <w:tcBorders>
              <w:left w:val="single" w:color="auto" w:sz="4" w:space="0"/>
              <w:bottom w:val="single" w:color="auto" w:sz="4" w:space="0"/>
              <w:right w:val="single" w:color="auto" w:sz="4" w:space="0"/>
            </w:tcBorders>
            <w:noWrap w:val="0"/>
            <w:vAlign w:val="center"/>
          </w:tcPr>
          <w:p w14:paraId="2AC8BEEA">
            <w:pPr>
              <w:spacing w:line="300" w:lineRule="exact"/>
              <w:ind w:firstLine="0" w:firstLineChars="0"/>
              <w:jc w:val="center"/>
              <w:rPr>
                <w:rFonts w:hint="eastAsia" w:ascii="Times New Roman" w:hAnsi="Times New Roman" w:eastAsia="宋体" w:cs="Times New Roman"/>
                <w:color w:val="auto"/>
                <w:sz w:val="21"/>
                <w:szCs w:val="21"/>
                <w:lang w:val="en-US" w:eastAsia="zh-CN"/>
              </w:rPr>
            </w:pPr>
          </w:p>
        </w:tc>
      </w:tr>
      <w:tr w14:paraId="0C4B2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3BF589F">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c>
          <w:tcPr>
            <w:tcW w:w="720" w:type="dxa"/>
            <w:vMerge w:val="restart"/>
            <w:tcBorders>
              <w:top w:val="single" w:color="auto" w:sz="4" w:space="0"/>
              <w:left w:val="single" w:color="auto" w:sz="4" w:space="0"/>
              <w:right w:val="single" w:color="auto" w:sz="4" w:space="0"/>
            </w:tcBorders>
            <w:shd w:val="clear" w:color="auto" w:fill="auto"/>
            <w:noWrap w:val="0"/>
            <w:vAlign w:val="center"/>
          </w:tcPr>
          <w:p w14:paraId="77FD9D59">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排洪</w:t>
            </w:r>
          </w:p>
          <w:p w14:paraId="14AB00A5">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系统</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77A83B6">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干滩长度和安全超高不足</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F1EE487">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塌陷、</w:t>
            </w:r>
          </w:p>
          <w:p w14:paraId="759C7967">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泥石流</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80E3160">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F36C620">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C36FC4">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3AA1C12">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9712C45">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严重</w:t>
            </w:r>
          </w:p>
        </w:tc>
        <w:tc>
          <w:tcPr>
            <w:tcW w:w="1440"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54E09596">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Ⅱ级</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7C0A59A1">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尾矿坝、库下游1.0km</w:t>
            </w:r>
          </w:p>
        </w:tc>
      </w:tr>
      <w:tr w14:paraId="7F9B66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05F1676">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w:t>
            </w:r>
          </w:p>
        </w:tc>
        <w:tc>
          <w:tcPr>
            <w:tcW w:w="720" w:type="dxa"/>
            <w:vMerge w:val="continue"/>
            <w:tcBorders>
              <w:top w:val="single" w:color="auto" w:sz="4" w:space="0"/>
              <w:left w:val="single" w:color="auto" w:sz="4" w:space="0"/>
              <w:right w:val="single" w:color="auto" w:sz="4" w:space="0"/>
            </w:tcBorders>
            <w:shd w:val="clear" w:color="auto" w:fill="auto"/>
            <w:noWrap w:val="0"/>
            <w:vAlign w:val="center"/>
          </w:tcPr>
          <w:p w14:paraId="6D7DC424">
            <w:pPr>
              <w:spacing w:line="300" w:lineRule="exact"/>
              <w:ind w:firstLine="0" w:firstLineChars="0"/>
              <w:jc w:val="center"/>
              <w:rPr>
                <w:rFonts w:hint="eastAsia" w:ascii="Times New Roman" w:hAnsi="Times New Roman" w:eastAsia="宋体" w:cs="Times New Roman"/>
                <w:color w:val="auto"/>
                <w:sz w:val="21"/>
                <w:szCs w:val="21"/>
                <w:lang w:val="en-US" w:eastAsia="zh-CN"/>
              </w:rPr>
            </w:pPr>
          </w:p>
        </w:tc>
        <w:tc>
          <w:tcPr>
            <w:tcW w:w="14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54E9109">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子坝挡水</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869794D">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泥石流</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385007">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04E576F">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8A6FC5">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CF5242E">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057701A">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严重</w:t>
            </w:r>
          </w:p>
        </w:tc>
        <w:tc>
          <w:tcPr>
            <w:tcW w:w="1440"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4B610079">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Ⅱ级</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5BBC02BB">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尾矿坝、库下游1.0km</w:t>
            </w:r>
          </w:p>
        </w:tc>
      </w:tr>
      <w:tr w14:paraId="36363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3EC3A81">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w:t>
            </w:r>
          </w:p>
        </w:tc>
        <w:tc>
          <w:tcPr>
            <w:tcW w:w="720" w:type="dxa"/>
            <w:vMerge w:val="continue"/>
            <w:tcBorders>
              <w:left w:val="single" w:color="auto" w:sz="4" w:space="0"/>
              <w:right w:val="single" w:color="auto" w:sz="4" w:space="0"/>
            </w:tcBorders>
            <w:shd w:val="clear" w:color="auto" w:fill="auto"/>
            <w:noWrap w:val="0"/>
            <w:vAlign w:val="center"/>
          </w:tcPr>
          <w:p w14:paraId="1E9B2B5D">
            <w:pPr>
              <w:spacing w:line="300" w:lineRule="exact"/>
              <w:ind w:firstLine="0" w:firstLineChars="0"/>
              <w:jc w:val="center"/>
              <w:rPr>
                <w:rFonts w:hint="eastAsia" w:ascii="Times New Roman" w:hAnsi="Times New Roman" w:eastAsia="宋体" w:cs="Times New Roman"/>
                <w:color w:val="auto"/>
                <w:sz w:val="21"/>
                <w:szCs w:val="21"/>
                <w:lang w:val="en-US" w:eastAsia="zh-CN"/>
              </w:rPr>
            </w:pPr>
          </w:p>
        </w:tc>
        <w:tc>
          <w:tcPr>
            <w:tcW w:w="14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4634D2">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排洪系统堵塞、垮塌</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6A6B06D">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泥石流</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1407F4E">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E7A393">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2112FAD">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B9A00D">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A644447">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灾难</w:t>
            </w:r>
          </w:p>
        </w:tc>
        <w:tc>
          <w:tcPr>
            <w:tcW w:w="1440" w:type="dxa"/>
            <w:tcBorders>
              <w:top w:val="single" w:color="auto" w:sz="4" w:space="0"/>
              <w:left w:val="single" w:color="auto" w:sz="4" w:space="0"/>
              <w:bottom w:val="single" w:color="auto" w:sz="4" w:space="0"/>
              <w:right w:val="single" w:color="auto" w:sz="4" w:space="0"/>
            </w:tcBorders>
            <w:shd w:val="clear" w:color="auto" w:fill="FF0000"/>
            <w:noWrap w:val="0"/>
            <w:vAlign w:val="center"/>
          </w:tcPr>
          <w:p w14:paraId="3FA2A764">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Ⅰ级</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14582F4E">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尾矿坝、库下游1.0km</w:t>
            </w:r>
          </w:p>
        </w:tc>
      </w:tr>
      <w:tr w14:paraId="7B3EA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E901D5C">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w:t>
            </w:r>
          </w:p>
        </w:tc>
        <w:tc>
          <w:tcPr>
            <w:tcW w:w="720" w:type="dxa"/>
            <w:vMerge w:val="continue"/>
            <w:tcBorders>
              <w:left w:val="single" w:color="auto" w:sz="4" w:space="0"/>
              <w:right w:val="single" w:color="auto" w:sz="4" w:space="0"/>
            </w:tcBorders>
            <w:shd w:val="clear" w:color="auto" w:fill="auto"/>
            <w:noWrap w:val="0"/>
            <w:vAlign w:val="center"/>
          </w:tcPr>
          <w:p w14:paraId="72E0C61F">
            <w:pPr>
              <w:spacing w:line="300" w:lineRule="exact"/>
              <w:ind w:firstLine="0" w:firstLineChars="0"/>
              <w:jc w:val="center"/>
              <w:rPr>
                <w:rFonts w:hint="eastAsia" w:ascii="Times New Roman" w:hAnsi="Times New Roman" w:eastAsia="宋体" w:cs="Times New Roman"/>
                <w:color w:val="auto"/>
                <w:sz w:val="21"/>
                <w:szCs w:val="21"/>
                <w:lang w:val="en-US" w:eastAsia="zh-CN"/>
              </w:rPr>
            </w:pPr>
          </w:p>
        </w:tc>
        <w:tc>
          <w:tcPr>
            <w:tcW w:w="14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D943443">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排洪系统局部破坏</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B2E4285">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泥石流</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338D0D">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B31AD6">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68C58AB">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BFB2E81">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EBA64B3">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严重</w:t>
            </w:r>
          </w:p>
        </w:tc>
        <w:tc>
          <w:tcPr>
            <w:tcW w:w="1440"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5680CE72">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Ⅱ级</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4B42D9C6">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尾矿坝、库下游1.0km</w:t>
            </w:r>
          </w:p>
        </w:tc>
      </w:tr>
      <w:tr w14:paraId="02FE6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60E5C99">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w:t>
            </w:r>
          </w:p>
        </w:tc>
        <w:tc>
          <w:tcPr>
            <w:tcW w:w="720" w:type="dxa"/>
            <w:vMerge w:val="continue"/>
            <w:tcBorders>
              <w:left w:val="single" w:color="auto" w:sz="4" w:space="0"/>
              <w:right w:val="single" w:color="auto" w:sz="4" w:space="0"/>
            </w:tcBorders>
            <w:shd w:val="clear" w:color="auto" w:fill="auto"/>
            <w:noWrap w:val="0"/>
            <w:vAlign w:val="center"/>
          </w:tcPr>
          <w:p w14:paraId="1E89D8A9">
            <w:pPr>
              <w:spacing w:line="300" w:lineRule="exact"/>
              <w:ind w:firstLine="0" w:firstLineChars="0"/>
              <w:jc w:val="center"/>
              <w:rPr>
                <w:rFonts w:hint="eastAsia" w:ascii="Times New Roman" w:hAnsi="Times New Roman" w:eastAsia="宋体" w:cs="Times New Roman"/>
                <w:color w:val="auto"/>
                <w:sz w:val="21"/>
                <w:szCs w:val="21"/>
                <w:lang w:val="en-US" w:eastAsia="zh-CN"/>
              </w:rPr>
            </w:pPr>
          </w:p>
        </w:tc>
        <w:tc>
          <w:tcPr>
            <w:tcW w:w="14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048F1E">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坝肩沟、坝面沟破损</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8A130AF">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坝体局部坍塌</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04A81CF">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BF4168B">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D57933C">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C08A2">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F83221B">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较严重</w:t>
            </w:r>
          </w:p>
        </w:tc>
        <w:tc>
          <w:tcPr>
            <w:tcW w:w="144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5F94046F">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Ⅲ级</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1C384FDB">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尾矿坝</w:t>
            </w:r>
          </w:p>
        </w:tc>
      </w:tr>
      <w:tr w14:paraId="4A0E9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630B5BA">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w:t>
            </w:r>
          </w:p>
        </w:tc>
        <w:tc>
          <w:tcPr>
            <w:tcW w:w="720" w:type="dxa"/>
            <w:vMerge w:val="continue"/>
            <w:tcBorders>
              <w:left w:val="single" w:color="auto" w:sz="4" w:space="0"/>
              <w:right w:val="single" w:color="auto" w:sz="4" w:space="0"/>
            </w:tcBorders>
            <w:shd w:val="clear" w:color="auto" w:fill="auto"/>
            <w:noWrap w:val="0"/>
            <w:vAlign w:val="center"/>
          </w:tcPr>
          <w:p w14:paraId="48EC57A4">
            <w:pPr>
              <w:spacing w:line="300" w:lineRule="exact"/>
              <w:ind w:firstLine="0" w:firstLineChars="0"/>
              <w:jc w:val="center"/>
              <w:rPr>
                <w:rFonts w:hint="eastAsia" w:ascii="Times New Roman" w:hAnsi="Times New Roman" w:eastAsia="宋体" w:cs="Times New Roman"/>
                <w:color w:val="auto"/>
                <w:sz w:val="21"/>
                <w:szCs w:val="21"/>
                <w:lang w:val="en-US" w:eastAsia="zh-CN"/>
              </w:rPr>
            </w:pPr>
          </w:p>
        </w:tc>
        <w:tc>
          <w:tcPr>
            <w:tcW w:w="14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9D68CDA">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杂物堵塞进水口，或未清除进水口漂浮物</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59A9112">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淹溺</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6A4601">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672F80">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FFC3034">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AD83AC5">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A3DC7D2">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严重</w:t>
            </w:r>
          </w:p>
        </w:tc>
        <w:tc>
          <w:tcPr>
            <w:tcW w:w="1440"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21A54DFA">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Ⅱ级</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444D288D">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积水区</w:t>
            </w:r>
          </w:p>
        </w:tc>
      </w:tr>
      <w:tr w14:paraId="3FF48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799360F">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w:t>
            </w:r>
          </w:p>
        </w:tc>
        <w:tc>
          <w:tcPr>
            <w:tcW w:w="720" w:type="dxa"/>
            <w:vMerge w:val="continue"/>
            <w:tcBorders>
              <w:left w:val="single" w:color="auto" w:sz="4" w:space="0"/>
              <w:right w:val="single" w:color="auto" w:sz="4" w:space="0"/>
            </w:tcBorders>
            <w:shd w:val="clear" w:color="auto" w:fill="auto"/>
            <w:noWrap w:val="0"/>
            <w:vAlign w:val="center"/>
          </w:tcPr>
          <w:p w14:paraId="47345DAA">
            <w:pPr>
              <w:spacing w:line="300" w:lineRule="exact"/>
              <w:ind w:firstLine="0" w:firstLineChars="0"/>
              <w:jc w:val="center"/>
              <w:rPr>
                <w:rFonts w:hint="eastAsia" w:ascii="Times New Roman" w:hAnsi="Times New Roman" w:eastAsia="宋体" w:cs="Times New Roman"/>
                <w:color w:val="auto"/>
                <w:sz w:val="21"/>
                <w:szCs w:val="21"/>
                <w:lang w:val="en-US" w:eastAsia="zh-CN"/>
              </w:rPr>
            </w:pPr>
          </w:p>
        </w:tc>
        <w:tc>
          <w:tcPr>
            <w:tcW w:w="14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9E64DA7">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排水构筑物平面布置、标高、数量、型式、尺寸与设计不符</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DFD68C5">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排洪能力不足，洪水漫顶</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9E8F20">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0F467A2">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A508541">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E17637">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7305437">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严重</w:t>
            </w:r>
          </w:p>
        </w:tc>
        <w:tc>
          <w:tcPr>
            <w:tcW w:w="1440"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7BF2B971">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Ⅱ级</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6279884B">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尾矿库</w:t>
            </w:r>
          </w:p>
        </w:tc>
      </w:tr>
      <w:tr w14:paraId="657F4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B4A7F48">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w:t>
            </w:r>
          </w:p>
        </w:tc>
        <w:tc>
          <w:tcPr>
            <w:tcW w:w="720" w:type="dxa"/>
            <w:vMerge w:val="continue"/>
            <w:tcBorders>
              <w:left w:val="single" w:color="auto" w:sz="4" w:space="0"/>
              <w:right w:val="single" w:color="auto" w:sz="4" w:space="0"/>
            </w:tcBorders>
            <w:shd w:val="clear" w:color="auto" w:fill="auto"/>
            <w:noWrap w:val="0"/>
            <w:vAlign w:val="center"/>
          </w:tcPr>
          <w:p w14:paraId="500B80EB">
            <w:pPr>
              <w:spacing w:line="300" w:lineRule="exact"/>
              <w:ind w:firstLine="0" w:firstLineChars="0"/>
              <w:jc w:val="center"/>
              <w:rPr>
                <w:rFonts w:hint="eastAsia" w:ascii="Times New Roman" w:hAnsi="Times New Roman" w:eastAsia="宋体" w:cs="Times New Roman"/>
                <w:color w:val="auto"/>
                <w:sz w:val="21"/>
                <w:szCs w:val="21"/>
                <w:lang w:val="en-US" w:eastAsia="zh-CN"/>
              </w:rPr>
            </w:pPr>
          </w:p>
        </w:tc>
        <w:tc>
          <w:tcPr>
            <w:tcW w:w="14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679F3D9">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排水构筑物跑浑、漏砂</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D01BCA1">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尾矿</w:t>
            </w:r>
          </w:p>
          <w:p w14:paraId="22065919">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泄漏</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9653B0">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3BC871E">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4FAEC8B">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2EFB4A7">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8D5FFEE">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严重</w:t>
            </w:r>
          </w:p>
        </w:tc>
        <w:tc>
          <w:tcPr>
            <w:tcW w:w="144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5AB1F0F8">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Ⅲ级</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7AEB4D27">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排洪系统</w:t>
            </w:r>
          </w:p>
        </w:tc>
      </w:tr>
      <w:tr w14:paraId="4C07A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3FFE9C9">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9</w:t>
            </w:r>
          </w:p>
        </w:tc>
        <w:tc>
          <w:tcPr>
            <w:tcW w:w="720" w:type="dxa"/>
            <w:vMerge w:val="continue"/>
            <w:tcBorders>
              <w:left w:val="single" w:color="auto" w:sz="4" w:space="0"/>
              <w:right w:val="single" w:color="auto" w:sz="4" w:space="0"/>
            </w:tcBorders>
            <w:shd w:val="clear" w:color="auto" w:fill="auto"/>
            <w:noWrap w:val="0"/>
            <w:vAlign w:val="center"/>
          </w:tcPr>
          <w:p w14:paraId="5276F82B">
            <w:pPr>
              <w:spacing w:line="300" w:lineRule="exact"/>
              <w:ind w:firstLine="0" w:firstLineChars="0"/>
              <w:jc w:val="center"/>
              <w:rPr>
                <w:rFonts w:hint="eastAsia" w:ascii="Times New Roman" w:hAnsi="Times New Roman" w:eastAsia="宋体" w:cs="Times New Roman"/>
                <w:color w:val="auto"/>
                <w:sz w:val="21"/>
                <w:szCs w:val="21"/>
                <w:lang w:val="en-US" w:eastAsia="zh-CN"/>
              </w:rPr>
            </w:pPr>
          </w:p>
        </w:tc>
        <w:tc>
          <w:tcPr>
            <w:tcW w:w="14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1EBD9DF">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井架、拱板施工质量影响结构安全</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A345C66">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坍塌、漫坝</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1DE3901">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7B74E18">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0206788">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FB0C2D">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E7CF83B">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严重</w:t>
            </w:r>
          </w:p>
        </w:tc>
        <w:tc>
          <w:tcPr>
            <w:tcW w:w="144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46623330">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Ⅲ级</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0426857B">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排洪系统</w:t>
            </w:r>
          </w:p>
        </w:tc>
      </w:tr>
      <w:tr w14:paraId="631B0C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088E43">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w:t>
            </w:r>
          </w:p>
        </w:tc>
        <w:tc>
          <w:tcPr>
            <w:tcW w:w="720" w:type="dxa"/>
            <w:vMerge w:val="continue"/>
            <w:tcBorders>
              <w:left w:val="single" w:color="auto" w:sz="4" w:space="0"/>
              <w:right w:val="single" w:color="auto" w:sz="4" w:space="0"/>
            </w:tcBorders>
            <w:shd w:val="clear" w:color="auto" w:fill="auto"/>
            <w:noWrap w:val="0"/>
            <w:vAlign w:val="center"/>
          </w:tcPr>
          <w:p w14:paraId="6FCD056E">
            <w:pPr>
              <w:spacing w:line="300" w:lineRule="exact"/>
              <w:ind w:firstLine="0" w:firstLineChars="0"/>
              <w:jc w:val="center"/>
              <w:rPr>
                <w:rFonts w:hint="eastAsia" w:ascii="Times New Roman" w:hAnsi="Times New Roman" w:eastAsia="宋体" w:cs="Times New Roman"/>
                <w:color w:val="auto"/>
                <w:sz w:val="21"/>
                <w:szCs w:val="21"/>
                <w:lang w:val="en-US" w:eastAsia="zh-CN"/>
              </w:rPr>
            </w:pPr>
          </w:p>
        </w:tc>
        <w:tc>
          <w:tcPr>
            <w:tcW w:w="14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678571D">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井壁无显著的水位标尺</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FE2EB7">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影响排水控制</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2EB6307">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2DB5F6">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AAAF7DF">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3618255">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55CD04A">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轻微</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686D3FA4">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Ⅳ级</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7CD47AD4">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排水井</w:t>
            </w:r>
          </w:p>
        </w:tc>
      </w:tr>
      <w:tr w14:paraId="0D791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1CE6B7F">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11</w:t>
            </w:r>
          </w:p>
        </w:tc>
        <w:tc>
          <w:tcPr>
            <w:tcW w:w="720" w:type="dxa"/>
            <w:vMerge w:val="continue"/>
            <w:tcBorders>
              <w:left w:val="single" w:color="auto" w:sz="4" w:space="0"/>
              <w:right w:val="single" w:color="auto" w:sz="4" w:space="0"/>
            </w:tcBorders>
            <w:shd w:val="clear" w:color="auto" w:fill="auto"/>
            <w:noWrap w:val="0"/>
            <w:vAlign w:val="center"/>
          </w:tcPr>
          <w:p w14:paraId="02470292">
            <w:pPr>
              <w:spacing w:line="300" w:lineRule="exact"/>
              <w:ind w:firstLine="0" w:firstLineChars="0"/>
              <w:jc w:val="center"/>
              <w:rPr>
                <w:rFonts w:hint="eastAsia" w:ascii="Times New Roman" w:hAnsi="Times New Roman" w:eastAsia="宋体" w:cs="Times New Roman"/>
                <w:color w:val="auto"/>
                <w:sz w:val="21"/>
                <w:szCs w:val="21"/>
                <w:lang w:val="en-US" w:eastAsia="zh-CN"/>
              </w:rPr>
            </w:pPr>
          </w:p>
        </w:tc>
        <w:tc>
          <w:tcPr>
            <w:tcW w:w="14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957B9D3">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排水构筑物封堵不严</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A7CA55A">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尾矿泄漏</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4375CF8">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585658">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23154ED">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9</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AA2592A">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3029FC">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严重</w:t>
            </w:r>
          </w:p>
        </w:tc>
        <w:tc>
          <w:tcPr>
            <w:tcW w:w="1440"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52CB7F4F">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Ⅱ级</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475A6EA2">
            <w:pPr>
              <w:spacing w:line="300" w:lineRule="exact"/>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尾矿库</w:t>
            </w:r>
          </w:p>
        </w:tc>
      </w:tr>
    </w:tbl>
    <w:p w14:paraId="30C0F190">
      <w:pPr>
        <w:bidi w:val="0"/>
        <w:rPr>
          <w:rFonts w:hint="default"/>
          <w:color w:val="auto"/>
          <w:lang w:val="en-US" w:eastAsia="zh-CN"/>
        </w:rPr>
      </w:pPr>
      <w:r>
        <w:rPr>
          <w:rFonts w:hint="default"/>
          <w:color w:val="auto"/>
          <w:lang w:val="en-US" w:eastAsia="zh-CN"/>
        </w:rPr>
        <w:t>杨家店尾矿库排渗系统LS法风险分析如下表：</w:t>
      </w:r>
    </w:p>
    <w:tbl>
      <w:tblPr>
        <w:tblStyle w:val="19"/>
        <w:tblpPr w:leftFromText="180" w:rightFromText="180" w:vertAnchor="text" w:horzAnchor="margin" w:tblpX="108" w:tblpY="313"/>
        <w:tblW w:w="94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8"/>
        <w:gridCol w:w="720"/>
        <w:gridCol w:w="1440"/>
        <w:gridCol w:w="1260"/>
        <w:gridCol w:w="360"/>
        <w:gridCol w:w="360"/>
        <w:gridCol w:w="540"/>
        <w:gridCol w:w="900"/>
        <w:gridCol w:w="900"/>
        <w:gridCol w:w="1440"/>
        <w:gridCol w:w="1080"/>
      </w:tblGrid>
      <w:tr w14:paraId="03FD0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468" w:type="dxa"/>
            <w:vMerge w:val="restart"/>
            <w:tcBorders>
              <w:top w:val="single" w:color="auto" w:sz="4" w:space="0"/>
              <w:left w:val="single" w:color="auto" w:sz="4" w:space="0"/>
              <w:right w:val="single" w:color="auto" w:sz="4" w:space="0"/>
            </w:tcBorders>
            <w:noWrap w:val="0"/>
            <w:vAlign w:val="center"/>
          </w:tcPr>
          <w:p w14:paraId="73518CF4">
            <w:pPr>
              <w:tabs>
                <w:tab w:val="left" w:pos="945"/>
                <w:tab w:val="left" w:pos="1155"/>
              </w:tabs>
              <w:snapToGrid w:val="0"/>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序号</w:t>
            </w:r>
          </w:p>
        </w:tc>
        <w:tc>
          <w:tcPr>
            <w:tcW w:w="720" w:type="dxa"/>
            <w:vMerge w:val="restart"/>
            <w:tcBorders>
              <w:top w:val="single" w:color="auto" w:sz="4" w:space="0"/>
              <w:left w:val="single" w:color="auto" w:sz="4" w:space="0"/>
              <w:right w:val="single" w:color="auto" w:sz="4" w:space="0"/>
            </w:tcBorders>
            <w:noWrap w:val="0"/>
            <w:vAlign w:val="center"/>
          </w:tcPr>
          <w:p w14:paraId="00D24876">
            <w:pPr>
              <w:tabs>
                <w:tab w:val="left" w:pos="945"/>
                <w:tab w:val="left" w:pos="1155"/>
              </w:tabs>
              <w:snapToGrid w:val="0"/>
              <w:spacing w:line="300" w:lineRule="exact"/>
              <w:ind w:firstLine="0" w:firstLineChars="0"/>
              <w:jc w:val="center"/>
              <w:rPr>
                <w:rFonts w:hint="eastAsia" w:ascii="Times New Roman" w:hAnsi="宋体" w:eastAsia="宋体" w:cs="Times New Roman"/>
                <w:color w:val="auto"/>
                <w:sz w:val="21"/>
                <w:szCs w:val="21"/>
              </w:rPr>
            </w:pPr>
            <w:r>
              <w:rPr>
                <w:rFonts w:hint="eastAsia" w:ascii="Times New Roman" w:hAnsi="宋体" w:eastAsia="宋体" w:cs="Times New Roman"/>
                <w:color w:val="auto"/>
                <w:sz w:val="21"/>
                <w:szCs w:val="21"/>
              </w:rPr>
              <w:t>单元/</w:t>
            </w:r>
          </w:p>
          <w:p w14:paraId="75FB0077">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宋体" w:eastAsia="宋体" w:cs="Times New Roman"/>
                <w:color w:val="auto"/>
                <w:sz w:val="21"/>
                <w:szCs w:val="21"/>
              </w:rPr>
              <w:t>系统</w:t>
            </w:r>
          </w:p>
        </w:tc>
        <w:tc>
          <w:tcPr>
            <w:tcW w:w="1440" w:type="dxa"/>
            <w:vMerge w:val="restart"/>
            <w:tcBorders>
              <w:top w:val="single" w:color="auto" w:sz="4" w:space="0"/>
              <w:left w:val="single" w:color="auto" w:sz="4" w:space="0"/>
              <w:right w:val="single" w:color="auto" w:sz="4" w:space="0"/>
            </w:tcBorders>
            <w:noWrap w:val="0"/>
            <w:vAlign w:val="center"/>
          </w:tcPr>
          <w:p w14:paraId="7BAAB01D">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危险源</w:t>
            </w:r>
          </w:p>
          <w:p w14:paraId="221C3D5C">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及风险</w:t>
            </w:r>
          </w:p>
        </w:tc>
        <w:tc>
          <w:tcPr>
            <w:tcW w:w="1260" w:type="dxa"/>
            <w:vMerge w:val="restart"/>
            <w:tcBorders>
              <w:top w:val="single" w:color="auto" w:sz="4" w:space="0"/>
              <w:left w:val="single" w:color="auto" w:sz="4" w:space="0"/>
              <w:right w:val="single" w:color="auto" w:sz="4" w:space="0"/>
            </w:tcBorders>
            <w:noWrap w:val="0"/>
            <w:vAlign w:val="center"/>
          </w:tcPr>
          <w:p w14:paraId="51426C3B">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可能后果</w:t>
            </w:r>
          </w:p>
        </w:tc>
        <w:tc>
          <w:tcPr>
            <w:tcW w:w="1260" w:type="dxa"/>
            <w:gridSpan w:val="3"/>
            <w:tcBorders>
              <w:top w:val="single" w:color="auto" w:sz="4" w:space="0"/>
              <w:left w:val="single" w:color="auto" w:sz="4" w:space="0"/>
              <w:bottom w:val="single" w:color="auto" w:sz="4" w:space="0"/>
              <w:right w:val="single" w:color="auto" w:sz="4" w:space="0"/>
            </w:tcBorders>
            <w:noWrap w:val="0"/>
            <w:vAlign w:val="center"/>
          </w:tcPr>
          <w:p w14:paraId="78E9E6DE">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ascii="Times New Roman" w:hAnsi="宋体" w:eastAsia="宋体" w:cs="Times New Roman"/>
                <w:color w:val="auto"/>
                <w:sz w:val="21"/>
                <w:szCs w:val="21"/>
              </w:rPr>
              <w:t>风险值</w:t>
            </w:r>
            <w:r>
              <w:rPr>
                <w:rFonts w:hint="eastAsia" w:ascii="Times New Roman" w:hAnsi="Times New Roman" w:eastAsia="宋体" w:cs="Times New Roman"/>
                <w:color w:val="auto"/>
                <w:sz w:val="21"/>
                <w:szCs w:val="21"/>
              </w:rPr>
              <w:t>R</w:t>
            </w:r>
            <w:r>
              <w:rPr>
                <w:rFonts w:ascii="Times New Roman" w:hAnsi="Times New Roman" w:eastAsia="宋体" w:cs="Times New Roman"/>
                <w:color w:val="auto"/>
                <w:sz w:val="21"/>
                <w:szCs w:val="21"/>
              </w:rPr>
              <w:t>=L·</w:t>
            </w:r>
            <w:r>
              <w:rPr>
                <w:rFonts w:hint="eastAsia" w:ascii="Times New Roman" w:hAnsi="Times New Roman" w:eastAsia="宋体" w:cs="Times New Roman"/>
                <w:color w:val="auto"/>
                <w:sz w:val="21"/>
                <w:szCs w:val="21"/>
              </w:rPr>
              <w:t>S</w:t>
            </w:r>
          </w:p>
        </w:tc>
        <w:tc>
          <w:tcPr>
            <w:tcW w:w="900" w:type="dxa"/>
            <w:vMerge w:val="restart"/>
            <w:tcBorders>
              <w:top w:val="single" w:color="auto" w:sz="4" w:space="0"/>
              <w:left w:val="single" w:color="auto" w:sz="4" w:space="0"/>
              <w:right w:val="single" w:color="auto" w:sz="4" w:space="0"/>
            </w:tcBorders>
            <w:noWrap w:val="0"/>
            <w:vAlign w:val="center"/>
          </w:tcPr>
          <w:p w14:paraId="55A0730E">
            <w:pPr>
              <w:tabs>
                <w:tab w:val="left" w:pos="945"/>
                <w:tab w:val="left" w:pos="1155"/>
              </w:tabs>
              <w:snapToGrid w:val="0"/>
              <w:spacing w:line="300" w:lineRule="exact"/>
              <w:ind w:firstLine="0" w:firstLineChars="0"/>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可能性</w:t>
            </w:r>
          </w:p>
        </w:tc>
        <w:tc>
          <w:tcPr>
            <w:tcW w:w="900" w:type="dxa"/>
            <w:vMerge w:val="restart"/>
            <w:tcBorders>
              <w:top w:val="single" w:color="auto" w:sz="4" w:space="0"/>
              <w:left w:val="single" w:color="auto" w:sz="4" w:space="0"/>
              <w:right w:val="single" w:color="auto" w:sz="4" w:space="0"/>
            </w:tcBorders>
            <w:noWrap w:val="0"/>
            <w:vAlign w:val="center"/>
          </w:tcPr>
          <w:p w14:paraId="4A10F0E9">
            <w:pPr>
              <w:tabs>
                <w:tab w:val="left" w:pos="945"/>
                <w:tab w:val="left" w:pos="1155"/>
              </w:tabs>
              <w:snapToGrid w:val="0"/>
              <w:spacing w:line="300" w:lineRule="exact"/>
              <w:ind w:firstLine="0" w:firstLineChars="0"/>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严重性</w:t>
            </w:r>
          </w:p>
        </w:tc>
        <w:tc>
          <w:tcPr>
            <w:tcW w:w="1440" w:type="dxa"/>
            <w:vMerge w:val="restart"/>
            <w:tcBorders>
              <w:top w:val="single" w:color="auto" w:sz="4" w:space="0"/>
              <w:left w:val="single" w:color="auto" w:sz="4" w:space="0"/>
              <w:right w:val="single" w:color="auto" w:sz="4" w:space="0"/>
            </w:tcBorders>
            <w:noWrap w:val="0"/>
            <w:vAlign w:val="center"/>
          </w:tcPr>
          <w:p w14:paraId="4813C73F">
            <w:pPr>
              <w:tabs>
                <w:tab w:val="left" w:pos="18"/>
              </w:tabs>
              <w:snapToGrid w:val="0"/>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危险性程度（风险等级）</w:t>
            </w:r>
          </w:p>
        </w:tc>
        <w:tc>
          <w:tcPr>
            <w:tcW w:w="1080" w:type="dxa"/>
            <w:vMerge w:val="restart"/>
            <w:tcBorders>
              <w:top w:val="single" w:color="auto" w:sz="4" w:space="0"/>
              <w:left w:val="single" w:color="auto" w:sz="4" w:space="0"/>
              <w:right w:val="single" w:color="auto" w:sz="4" w:space="0"/>
            </w:tcBorders>
            <w:noWrap w:val="0"/>
            <w:vAlign w:val="center"/>
          </w:tcPr>
          <w:p w14:paraId="17A437FF">
            <w:pPr>
              <w:tabs>
                <w:tab w:val="left" w:pos="18"/>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影响范围</w:t>
            </w:r>
          </w:p>
        </w:tc>
      </w:tr>
      <w:tr w14:paraId="4D4F9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468" w:type="dxa"/>
            <w:vMerge w:val="continue"/>
            <w:tcBorders>
              <w:left w:val="single" w:color="auto" w:sz="4" w:space="0"/>
              <w:bottom w:val="single" w:color="auto" w:sz="4" w:space="0"/>
              <w:right w:val="single" w:color="auto" w:sz="4" w:space="0"/>
            </w:tcBorders>
            <w:noWrap w:val="0"/>
            <w:vAlign w:val="center"/>
          </w:tcPr>
          <w:p w14:paraId="1BCB7831">
            <w:pPr>
              <w:tabs>
                <w:tab w:val="left" w:pos="945"/>
                <w:tab w:val="left" w:pos="1155"/>
              </w:tabs>
              <w:snapToGrid w:val="0"/>
              <w:spacing w:line="300" w:lineRule="exact"/>
              <w:ind w:firstLine="420" w:firstLineChars="0"/>
              <w:jc w:val="center"/>
              <w:rPr>
                <w:rFonts w:ascii="Times New Roman" w:hAnsi="Times New Roman" w:eastAsia="宋体" w:cs="Times New Roman"/>
                <w:color w:val="auto"/>
                <w:sz w:val="21"/>
                <w:szCs w:val="21"/>
              </w:rPr>
            </w:pPr>
          </w:p>
        </w:tc>
        <w:tc>
          <w:tcPr>
            <w:tcW w:w="720" w:type="dxa"/>
            <w:vMerge w:val="continue"/>
            <w:tcBorders>
              <w:left w:val="single" w:color="auto" w:sz="4" w:space="0"/>
              <w:bottom w:val="single" w:color="auto" w:sz="4" w:space="0"/>
              <w:right w:val="single" w:color="auto" w:sz="4" w:space="0"/>
            </w:tcBorders>
            <w:noWrap w:val="0"/>
            <w:vAlign w:val="center"/>
          </w:tcPr>
          <w:p w14:paraId="3756BFF7">
            <w:pPr>
              <w:tabs>
                <w:tab w:val="left" w:pos="945"/>
                <w:tab w:val="left" w:pos="1155"/>
              </w:tabs>
              <w:snapToGrid w:val="0"/>
              <w:spacing w:line="300" w:lineRule="exact"/>
              <w:ind w:firstLine="420" w:firstLineChars="0"/>
              <w:jc w:val="center"/>
              <w:rPr>
                <w:rFonts w:ascii="Times New Roman" w:hAnsi="Times New Roman" w:eastAsia="宋体" w:cs="Times New Roman"/>
                <w:color w:val="auto"/>
                <w:sz w:val="21"/>
                <w:szCs w:val="21"/>
              </w:rPr>
            </w:pPr>
          </w:p>
        </w:tc>
        <w:tc>
          <w:tcPr>
            <w:tcW w:w="1440" w:type="dxa"/>
            <w:vMerge w:val="continue"/>
            <w:tcBorders>
              <w:left w:val="single" w:color="auto" w:sz="4" w:space="0"/>
              <w:bottom w:val="single" w:color="auto" w:sz="4" w:space="0"/>
              <w:right w:val="single" w:color="auto" w:sz="4" w:space="0"/>
            </w:tcBorders>
            <w:noWrap w:val="0"/>
            <w:vAlign w:val="center"/>
          </w:tcPr>
          <w:p w14:paraId="5CADC91A">
            <w:pPr>
              <w:tabs>
                <w:tab w:val="left" w:pos="945"/>
                <w:tab w:val="left" w:pos="1155"/>
              </w:tabs>
              <w:snapToGrid w:val="0"/>
              <w:spacing w:line="300" w:lineRule="exact"/>
              <w:ind w:firstLine="420" w:firstLineChars="0"/>
              <w:jc w:val="center"/>
              <w:rPr>
                <w:rFonts w:ascii="Times New Roman" w:hAnsi="Times New Roman" w:eastAsia="宋体" w:cs="Times New Roman"/>
                <w:color w:val="auto"/>
                <w:sz w:val="21"/>
                <w:szCs w:val="21"/>
              </w:rPr>
            </w:pPr>
          </w:p>
        </w:tc>
        <w:tc>
          <w:tcPr>
            <w:tcW w:w="1260" w:type="dxa"/>
            <w:vMerge w:val="continue"/>
            <w:tcBorders>
              <w:left w:val="single" w:color="auto" w:sz="4" w:space="0"/>
              <w:bottom w:val="single" w:color="auto" w:sz="4" w:space="0"/>
              <w:right w:val="single" w:color="auto" w:sz="4" w:space="0"/>
            </w:tcBorders>
            <w:noWrap w:val="0"/>
            <w:vAlign w:val="center"/>
          </w:tcPr>
          <w:p w14:paraId="722C3D65">
            <w:pPr>
              <w:tabs>
                <w:tab w:val="left" w:pos="945"/>
                <w:tab w:val="left" w:pos="1155"/>
              </w:tabs>
              <w:snapToGrid w:val="0"/>
              <w:spacing w:line="300" w:lineRule="exact"/>
              <w:ind w:firstLine="420" w:firstLineChars="0"/>
              <w:jc w:val="center"/>
              <w:rPr>
                <w:rFonts w:ascii="Times New Roman" w:hAnsi="Times New Roman" w:eastAsia="宋体" w:cs="Times New Roman"/>
                <w:color w:val="auto"/>
                <w:sz w:val="21"/>
                <w:szCs w:val="21"/>
              </w:rPr>
            </w:pPr>
          </w:p>
        </w:tc>
        <w:tc>
          <w:tcPr>
            <w:tcW w:w="360" w:type="dxa"/>
            <w:tcBorders>
              <w:top w:val="single" w:color="auto" w:sz="4" w:space="0"/>
              <w:left w:val="single" w:color="auto" w:sz="4" w:space="0"/>
              <w:bottom w:val="single" w:color="auto" w:sz="4" w:space="0"/>
              <w:right w:val="single" w:color="auto" w:sz="4" w:space="0"/>
            </w:tcBorders>
            <w:noWrap w:val="0"/>
            <w:vAlign w:val="center"/>
          </w:tcPr>
          <w:p w14:paraId="44FD259B">
            <w:pPr>
              <w:tabs>
                <w:tab w:val="left" w:pos="945"/>
                <w:tab w:val="left" w:pos="1155"/>
              </w:tabs>
              <w:snapToGrid w:val="0"/>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L</w:t>
            </w:r>
          </w:p>
        </w:tc>
        <w:tc>
          <w:tcPr>
            <w:tcW w:w="360" w:type="dxa"/>
            <w:tcBorders>
              <w:top w:val="single" w:color="auto" w:sz="4" w:space="0"/>
              <w:left w:val="single" w:color="auto" w:sz="4" w:space="0"/>
              <w:bottom w:val="single" w:color="auto" w:sz="4" w:space="0"/>
              <w:right w:val="single" w:color="auto" w:sz="4" w:space="0"/>
            </w:tcBorders>
            <w:noWrap w:val="0"/>
            <w:vAlign w:val="center"/>
          </w:tcPr>
          <w:p w14:paraId="0B38C339">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S</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0BE96293">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R</w:t>
            </w:r>
          </w:p>
        </w:tc>
        <w:tc>
          <w:tcPr>
            <w:tcW w:w="900" w:type="dxa"/>
            <w:vMerge w:val="continue"/>
            <w:tcBorders>
              <w:left w:val="single" w:color="auto" w:sz="4" w:space="0"/>
              <w:bottom w:val="single" w:color="auto" w:sz="4" w:space="0"/>
              <w:right w:val="single" w:color="auto" w:sz="4" w:space="0"/>
            </w:tcBorders>
            <w:noWrap w:val="0"/>
            <w:vAlign w:val="center"/>
          </w:tcPr>
          <w:p w14:paraId="683ADFD2">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p>
        </w:tc>
        <w:tc>
          <w:tcPr>
            <w:tcW w:w="900" w:type="dxa"/>
            <w:vMerge w:val="continue"/>
            <w:tcBorders>
              <w:left w:val="single" w:color="auto" w:sz="4" w:space="0"/>
              <w:bottom w:val="single" w:color="auto" w:sz="4" w:space="0"/>
              <w:right w:val="single" w:color="auto" w:sz="4" w:space="0"/>
            </w:tcBorders>
            <w:noWrap w:val="0"/>
            <w:vAlign w:val="center"/>
          </w:tcPr>
          <w:p w14:paraId="7C0056F9">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p>
        </w:tc>
        <w:tc>
          <w:tcPr>
            <w:tcW w:w="1440" w:type="dxa"/>
            <w:vMerge w:val="continue"/>
            <w:tcBorders>
              <w:left w:val="single" w:color="auto" w:sz="4" w:space="0"/>
              <w:bottom w:val="single" w:color="auto" w:sz="4" w:space="0"/>
              <w:right w:val="single" w:color="auto" w:sz="4" w:space="0"/>
            </w:tcBorders>
            <w:noWrap w:val="0"/>
            <w:vAlign w:val="center"/>
          </w:tcPr>
          <w:p w14:paraId="11503BA4">
            <w:pPr>
              <w:tabs>
                <w:tab w:val="left" w:pos="18"/>
              </w:tabs>
              <w:snapToGrid w:val="0"/>
              <w:spacing w:line="300" w:lineRule="exact"/>
              <w:ind w:firstLine="420" w:firstLineChars="0"/>
              <w:jc w:val="center"/>
              <w:rPr>
                <w:rFonts w:ascii="Times New Roman" w:hAnsi="Times New Roman" w:eastAsia="宋体" w:cs="Times New Roman"/>
                <w:color w:val="auto"/>
                <w:sz w:val="21"/>
                <w:szCs w:val="21"/>
              </w:rPr>
            </w:pPr>
          </w:p>
        </w:tc>
        <w:tc>
          <w:tcPr>
            <w:tcW w:w="1080" w:type="dxa"/>
            <w:vMerge w:val="continue"/>
            <w:tcBorders>
              <w:left w:val="single" w:color="auto" w:sz="4" w:space="0"/>
              <w:bottom w:val="single" w:color="auto" w:sz="4" w:space="0"/>
              <w:right w:val="single" w:color="auto" w:sz="4" w:space="0"/>
            </w:tcBorders>
            <w:noWrap w:val="0"/>
            <w:vAlign w:val="center"/>
          </w:tcPr>
          <w:p w14:paraId="7CC539EB">
            <w:pPr>
              <w:tabs>
                <w:tab w:val="left" w:pos="18"/>
              </w:tabs>
              <w:snapToGrid w:val="0"/>
              <w:spacing w:line="300" w:lineRule="exact"/>
              <w:ind w:firstLine="420" w:firstLineChars="0"/>
              <w:jc w:val="center"/>
              <w:rPr>
                <w:rFonts w:ascii="Times New Roman" w:hAnsi="Times New Roman" w:eastAsia="宋体" w:cs="Times New Roman"/>
                <w:color w:val="auto"/>
                <w:sz w:val="21"/>
                <w:szCs w:val="21"/>
              </w:rPr>
            </w:pPr>
          </w:p>
        </w:tc>
      </w:tr>
      <w:tr w14:paraId="34A7A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F866869">
            <w:pPr>
              <w:tabs>
                <w:tab w:val="left" w:pos="945"/>
                <w:tab w:val="left" w:pos="1155"/>
              </w:tabs>
              <w:snapToGrid w:val="0"/>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720" w:type="dxa"/>
            <w:vMerge w:val="restart"/>
            <w:tcBorders>
              <w:top w:val="single" w:color="auto" w:sz="4" w:space="0"/>
              <w:left w:val="single" w:color="auto" w:sz="4" w:space="0"/>
              <w:right w:val="single" w:color="auto" w:sz="4" w:space="0"/>
            </w:tcBorders>
            <w:shd w:val="clear" w:color="auto" w:fill="auto"/>
            <w:noWrap w:val="0"/>
            <w:vAlign w:val="center"/>
          </w:tcPr>
          <w:p w14:paraId="48F721FB">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宋体" w:eastAsia="宋体" w:cs="Times New Roman"/>
                <w:b w:val="0"/>
                <w:bCs/>
                <w:color w:val="auto"/>
                <w:kern w:val="2"/>
                <w:sz w:val="21"/>
                <w:szCs w:val="21"/>
                <w:lang w:val="en-US" w:eastAsia="zh-CN" w:bidi="ar-SA"/>
              </w:rPr>
              <w:t>排渗系统</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1B0AB53">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坝体出现较大范围管涌、流土</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88332C6">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泥石流、淹溺</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AC8E6A3">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851611B">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5</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A9688B5">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15</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DE9EA70">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CE2DA5E">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灾难</w:t>
            </w:r>
          </w:p>
        </w:tc>
        <w:tc>
          <w:tcPr>
            <w:tcW w:w="1440" w:type="dxa"/>
            <w:tcBorders>
              <w:top w:val="single" w:color="auto" w:sz="4" w:space="0"/>
              <w:left w:val="single" w:color="auto" w:sz="4" w:space="0"/>
              <w:bottom w:val="single" w:color="auto" w:sz="4" w:space="0"/>
              <w:right w:val="single" w:color="auto" w:sz="4" w:space="0"/>
            </w:tcBorders>
            <w:shd w:val="clear" w:color="auto" w:fill="FF0000"/>
            <w:noWrap w:val="0"/>
            <w:vAlign w:val="center"/>
          </w:tcPr>
          <w:p w14:paraId="235DB37D">
            <w:pPr>
              <w:tabs>
                <w:tab w:val="left" w:pos="18"/>
              </w:tabs>
              <w:snapToGrid w:val="0"/>
              <w:spacing w:line="300" w:lineRule="exact"/>
              <w:ind w:firstLine="0" w:firstLineChars="0"/>
              <w:jc w:val="center"/>
              <w:rPr>
                <w:rFonts w:ascii="Times New Roman" w:hAnsi="Times New Roman" w:eastAsia="宋体" w:cs="Times New Roman"/>
                <w:color w:val="auto"/>
                <w:sz w:val="21"/>
                <w:szCs w:val="21"/>
              </w:rPr>
            </w:pPr>
            <w:r>
              <w:rPr>
                <w:rFonts w:hint="eastAsia" w:ascii="Times New Roman" w:hAnsi="宋体" w:eastAsia="宋体" w:cs="Times New Roman"/>
                <w:color w:val="auto"/>
                <w:sz w:val="21"/>
                <w:szCs w:val="21"/>
              </w:rPr>
              <w:t>Ⅰ</w:t>
            </w:r>
            <w:r>
              <w:rPr>
                <w:rFonts w:ascii="Times New Roman" w:hAnsi="宋体" w:eastAsia="宋体" w:cs="Times New Roman"/>
                <w:color w:val="auto"/>
                <w:sz w:val="21"/>
                <w:szCs w:val="21"/>
              </w:rPr>
              <w:t>级</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171E9312">
            <w:pPr>
              <w:tabs>
                <w:tab w:val="left" w:pos="18"/>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尾矿坝、库下游1.0km</w:t>
            </w:r>
          </w:p>
        </w:tc>
      </w:tr>
      <w:tr w14:paraId="48EBB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650AD14">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720" w:type="dxa"/>
            <w:vMerge w:val="continue"/>
            <w:tcBorders>
              <w:left w:val="single" w:color="auto" w:sz="4" w:space="0"/>
              <w:right w:val="single" w:color="auto" w:sz="4" w:space="0"/>
            </w:tcBorders>
            <w:shd w:val="clear" w:color="auto" w:fill="auto"/>
            <w:noWrap w:val="0"/>
            <w:vAlign w:val="center"/>
          </w:tcPr>
          <w:p w14:paraId="7187DDC5">
            <w:pPr>
              <w:widowControl/>
              <w:spacing w:line="300" w:lineRule="exact"/>
              <w:ind w:firstLine="0" w:firstLineChars="0"/>
              <w:jc w:val="center"/>
              <w:rPr>
                <w:rFonts w:hint="eastAsia" w:ascii="Times New Roman" w:hAnsi="宋体" w:eastAsia="宋体" w:cs="Times New Roman"/>
                <w:b w:val="0"/>
                <w:bCs/>
                <w:color w:val="auto"/>
                <w:kern w:val="2"/>
                <w:sz w:val="21"/>
                <w:szCs w:val="21"/>
                <w:lang w:val="en-US" w:eastAsia="zh-CN" w:bidi="ar-SA"/>
              </w:rPr>
            </w:pPr>
          </w:p>
        </w:tc>
        <w:tc>
          <w:tcPr>
            <w:tcW w:w="14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09C2A5C">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浸润线</w:t>
            </w:r>
          </w:p>
          <w:p w14:paraId="4D395FC0">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埋深不足</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019F0CA">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塌陷、泥石流</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0311197">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6FD75E1">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F63F9A0">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12</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6B7218E">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E67AFDA">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严重</w:t>
            </w:r>
          </w:p>
        </w:tc>
        <w:tc>
          <w:tcPr>
            <w:tcW w:w="1440"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0E28F1B7">
            <w:pPr>
              <w:tabs>
                <w:tab w:val="left" w:pos="18"/>
              </w:tabs>
              <w:snapToGrid w:val="0"/>
              <w:spacing w:line="300" w:lineRule="exact"/>
              <w:ind w:firstLine="0" w:firstLineChars="0"/>
              <w:jc w:val="center"/>
              <w:rPr>
                <w:rFonts w:ascii="Times New Roman" w:hAnsi="Times New Roman" w:eastAsia="宋体" w:cs="Times New Roman"/>
                <w:color w:val="auto"/>
                <w:sz w:val="21"/>
                <w:szCs w:val="21"/>
              </w:rPr>
            </w:pPr>
            <w:r>
              <w:rPr>
                <w:rFonts w:hint="eastAsia" w:ascii="Times New Roman" w:hAnsi="宋体" w:eastAsia="宋体" w:cs="Times New Roman"/>
                <w:color w:val="auto"/>
                <w:sz w:val="21"/>
                <w:szCs w:val="21"/>
              </w:rPr>
              <w:t>Ⅱ</w:t>
            </w:r>
            <w:r>
              <w:rPr>
                <w:rFonts w:ascii="Times New Roman" w:hAnsi="宋体" w:eastAsia="宋体" w:cs="Times New Roman"/>
                <w:color w:val="auto"/>
                <w:sz w:val="21"/>
                <w:szCs w:val="21"/>
              </w:rPr>
              <w:t>级</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2A24331D">
            <w:pPr>
              <w:tabs>
                <w:tab w:val="left" w:pos="18"/>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尾矿坝、库下游1.0km</w:t>
            </w:r>
          </w:p>
        </w:tc>
      </w:tr>
      <w:tr w14:paraId="76D9F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3209716">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720" w:type="dxa"/>
            <w:vMerge w:val="continue"/>
            <w:tcBorders>
              <w:left w:val="single" w:color="auto" w:sz="4" w:space="0"/>
              <w:right w:val="single" w:color="auto" w:sz="4" w:space="0"/>
            </w:tcBorders>
            <w:shd w:val="clear" w:color="auto" w:fill="auto"/>
            <w:noWrap w:val="0"/>
            <w:vAlign w:val="center"/>
          </w:tcPr>
          <w:p w14:paraId="3D1694AE">
            <w:pPr>
              <w:widowControl/>
              <w:spacing w:line="300" w:lineRule="exact"/>
              <w:ind w:firstLine="0" w:firstLineChars="0"/>
              <w:jc w:val="center"/>
              <w:rPr>
                <w:rFonts w:hint="eastAsia" w:ascii="Times New Roman" w:hAnsi="宋体" w:eastAsia="宋体" w:cs="Times New Roman"/>
                <w:b w:val="0"/>
                <w:bCs/>
                <w:color w:val="auto"/>
                <w:kern w:val="2"/>
                <w:sz w:val="21"/>
                <w:szCs w:val="21"/>
                <w:lang w:val="en-US" w:eastAsia="zh-CN" w:bidi="ar-SA"/>
              </w:rPr>
            </w:pPr>
          </w:p>
        </w:tc>
        <w:tc>
          <w:tcPr>
            <w:tcW w:w="14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7B1032">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坝面局部出渗</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35083C5">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局部垮塌</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0FE6E2">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D3482EC">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99A6B52">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9</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3A55723">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0511BBE">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较严重</w:t>
            </w:r>
          </w:p>
        </w:tc>
        <w:tc>
          <w:tcPr>
            <w:tcW w:w="144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6D411CD9">
            <w:pPr>
              <w:tabs>
                <w:tab w:val="left" w:pos="18"/>
              </w:tabs>
              <w:snapToGrid w:val="0"/>
              <w:spacing w:line="300" w:lineRule="exact"/>
              <w:ind w:firstLine="0" w:firstLineChars="0"/>
              <w:jc w:val="center"/>
              <w:rPr>
                <w:rFonts w:hint="eastAsia" w:ascii="Times New Roman" w:hAnsi="宋体" w:eastAsia="宋体" w:cs="Times New Roman"/>
                <w:color w:val="auto"/>
                <w:sz w:val="21"/>
                <w:szCs w:val="21"/>
              </w:rPr>
            </w:pPr>
            <w:r>
              <w:rPr>
                <w:rFonts w:hint="eastAsia" w:ascii="Times New Roman" w:hAnsi="宋体" w:eastAsia="宋体" w:cs="Times New Roman"/>
                <w:color w:val="auto"/>
                <w:sz w:val="21"/>
                <w:szCs w:val="21"/>
              </w:rPr>
              <w:t>Ⅲ级</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276B1E7A">
            <w:pPr>
              <w:tabs>
                <w:tab w:val="left" w:pos="18"/>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局部坝体</w:t>
            </w:r>
          </w:p>
        </w:tc>
      </w:tr>
      <w:tr w14:paraId="1E46A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B0D3AB">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720" w:type="dxa"/>
            <w:vMerge w:val="continue"/>
            <w:tcBorders>
              <w:left w:val="single" w:color="auto" w:sz="4" w:space="0"/>
              <w:right w:val="single" w:color="auto" w:sz="4" w:space="0"/>
            </w:tcBorders>
            <w:shd w:val="clear" w:color="auto" w:fill="auto"/>
            <w:noWrap w:val="0"/>
            <w:vAlign w:val="center"/>
          </w:tcPr>
          <w:p w14:paraId="6A33145D">
            <w:pPr>
              <w:widowControl/>
              <w:spacing w:line="300" w:lineRule="exact"/>
              <w:ind w:firstLine="0" w:firstLineChars="0"/>
              <w:jc w:val="center"/>
              <w:rPr>
                <w:rFonts w:hint="eastAsia" w:ascii="Times New Roman" w:hAnsi="宋体" w:eastAsia="宋体" w:cs="Times New Roman"/>
                <w:b w:val="0"/>
                <w:bCs/>
                <w:color w:val="auto"/>
                <w:kern w:val="2"/>
                <w:sz w:val="21"/>
                <w:szCs w:val="21"/>
                <w:lang w:val="en-US" w:eastAsia="zh-CN" w:bidi="ar-SA"/>
              </w:rPr>
            </w:pPr>
          </w:p>
        </w:tc>
        <w:tc>
          <w:tcPr>
            <w:tcW w:w="14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4C79C42">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排渗水质浑浊或排渗效果差</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E0E9F5C">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渗透破坏</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68BC3C8">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28EA57C">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D2C421C">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9</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E1854DC">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4CC460E">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较严重</w:t>
            </w:r>
          </w:p>
        </w:tc>
        <w:tc>
          <w:tcPr>
            <w:tcW w:w="144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2FCCAAA4">
            <w:pPr>
              <w:tabs>
                <w:tab w:val="left" w:pos="18"/>
              </w:tabs>
              <w:snapToGrid w:val="0"/>
              <w:spacing w:line="300" w:lineRule="exact"/>
              <w:ind w:firstLine="0" w:firstLineChars="0"/>
              <w:jc w:val="center"/>
              <w:rPr>
                <w:rFonts w:hint="eastAsia" w:ascii="Times New Roman" w:hAnsi="宋体" w:eastAsia="宋体" w:cs="Times New Roman"/>
                <w:color w:val="auto"/>
                <w:sz w:val="21"/>
                <w:szCs w:val="21"/>
              </w:rPr>
            </w:pPr>
            <w:r>
              <w:rPr>
                <w:rFonts w:hint="eastAsia" w:ascii="Times New Roman" w:hAnsi="宋体" w:eastAsia="宋体" w:cs="Times New Roman"/>
                <w:color w:val="auto"/>
                <w:sz w:val="21"/>
                <w:szCs w:val="21"/>
              </w:rPr>
              <w:t>Ⅲ级</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122E2412">
            <w:pPr>
              <w:tabs>
                <w:tab w:val="left" w:pos="18"/>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局部坝体</w:t>
            </w:r>
          </w:p>
        </w:tc>
      </w:tr>
      <w:tr w14:paraId="6D173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C565EC9">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5</w:t>
            </w:r>
          </w:p>
        </w:tc>
        <w:tc>
          <w:tcPr>
            <w:tcW w:w="720" w:type="dxa"/>
            <w:vMerge w:val="continue"/>
            <w:tcBorders>
              <w:left w:val="single" w:color="auto" w:sz="4" w:space="0"/>
              <w:right w:val="single" w:color="auto" w:sz="4" w:space="0"/>
            </w:tcBorders>
            <w:shd w:val="clear" w:color="auto" w:fill="auto"/>
            <w:noWrap w:val="0"/>
            <w:vAlign w:val="center"/>
          </w:tcPr>
          <w:p w14:paraId="2B7AB5E1">
            <w:pPr>
              <w:widowControl/>
              <w:spacing w:line="300" w:lineRule="exact"/>
              <w:ind w:firstLine="0" w:firstLineChars="0"/>
              <w:jc w:val="center"/>
              <w:rPr>
                <w:rFonts w:hint="eastAsia" w:ascii="Times New Roman" w:hAnsi="宋体" w:eastAsia="宋体" w:cs="Times New Roman"/>
                <w:b w:val="0"/>
                <w:bCs/>
                <w:color w:val="auto"/>
                <w:kern w:val="2"/>
                <w:sz w:val="21"/>
                <w:szCs w:val="21"/>
                <w:lang w:val="en-US" w:eastAsia="zh-CN" w:bidi="ar-SA"/>
              </w:rPr>
            </w:pPr>
          </w:p>
        </w:tc>
        <w:tc>
          <w:tcPr>
            <w:tcW w:w="14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D4E3702">
            <w:pPr>
              <w:widowControl/>
              <w:spacing w:line="300" w:lineRule="exact"/>
              <w:ind w:firstLine="0" w:firstLineChars="0"/>
              <w:jc w:val="left"/>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坝肩存在集中渗流</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D3E270C">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山体破坏、尾矿泄漏</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A41E434">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4422A7">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5</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65AFDB6">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10</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687249">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66EE8E4">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较严重</w:t>
            </w:r>
          </w:p>
        </w:tc>
        <w:tc>
          <w:tcPr>
            <w:tcW w:w="144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7C58137F">
            <w:pPr>
              <w:tabs>
                <w:tab w:val="left" w:pos="18"/>
              </w:tabs>
              <w:snapToGrid w:val="0"/>
              <w:spacing w:line="300" w:lineRule="exact"/>
              <w:ind w:firstLine="0" w:firstLineChars="0"/>
              <w:jc w:val="center"/>
              <w:rPr>
                <w:rFonts w:hint="eastAsia" w:ascii="Times New Roman" w:hAnsi="宋体" w:eastAsia="宋体" w:cs="Times New Roman"/>
                <w:color w:val="auto"/>
                <w:sz w:val="21"/>
                <w:szCs w:val="21"/>
              </w:rPr>
            </w:pPr>
            <w:r>
              <w:rPr>
                <w:rFonts w:hint="eastAsia" w:ascii="Times New Roman" w:hAnsi="宋体" w:eastAsia="宋体" w:cs="Times New Roman"/>
                <w:color w:val="auto"/>
                <w:sz w:val="21"/>
                <w:szCs w:val="21"/>
              </w:rPr>
              <w:t>Ⅲ</w:t>
            </w:r>
            <w:r>
              <w:rPr>
                <w:rFonts w:ascii="Times New Roman" w:hAnsi="宋体" w:eastAsia="宋体" w:cs="Times New Roman"/>
                <w:color w:val="auto"/>
                <w:sz w:val="21"/>
                <w:szCs w:val="21"/>
              </w:rPr>
              <w:t>级</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07F50B51">
            <w:pPr>
              <w:tabs>
                <w:tab w:val="left" w:pos="18"/>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局部坝体</w:t>
            </w:r>
          </w:p>
        </w:tc>
      </w:tr>
      <w:tr w14:paraId="72473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2AF9118">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w:t>
            </w:r>
          </w:p>
        </w:tc>
        <w:tc>
          <w:tcPr>
            <w:tcW w:w="720" w:type="dxa"/>
            <w:vMerge w:val="continue"/>
            <w:tcBorders>
              <w:left w:val="single" w:color="auto" w:sz="4" w:space="0"/>
              <w:right w:val="single" w:color="auto" w:sz="4" w:space="0"/>
            </w:tcBorders>
            <w:shd w:val="clear" w:color="auto" w:fill="auto"/>
            <w:noWrap w:val="0"/>
            <w:vAlign w:val="center"/>
          </w:tcPr>
          <w:p w14:paraId="1CC7A946">
            <w:pPr>
              <w:widowControl/>
              <w:spacing w:line="300" w:lineRule="exact"/>
              <w:ind w:firstLine="0" w:firstLineChars="0"/>
              <w:jc w:val="center"/>
              <w:rPr>
                <w:rFonts w:hint="eastAsia" w:ascii="Times New Roman" w:hAnsi="宋体" w:eastAsia="宋体" w:cs="Times New Roman"/>
                <w:b w:val="0"/>
                <w:bCs/>
                <w:color w:val="auto"/>
                <w:kern w:val="2"/>
                <w:sz w:val="21"/>
                <w:szCs w:val="21"/>
                <w:lang w:val="en-US" w:eastAsia="zh-CN" w:bidi="ar-SA"/>
              </w:rPr>
            </w:pPr>
          </w:p>
        </w:tc>
        <w:tc>
          <w:tcPr>
            <w:tcW w:w="14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D6BBCBD">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未按设计要求埋设排渗设施；或尾矿坝出现渗流、渗流、沼泽化等现象，未采取措施处理</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F5E0AB7">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坝体</w:t>
            </w:r>
          </w:p>
          <w:p w14:paraId="41F29611">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失稳、滑坡、垮塌</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A69DD94">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7C3BC6B">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9BFAA64">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12</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159FF13">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24480EC">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严重</w:t>
            </w:r>
          </w:p>
        </w:tc>
        <w:tc>
          <w:tcPr>
            <w:tcW w:w="1440"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48D98F11">
            <w:pPr>
              <w:tabs>
                <w:tab w:val="left" w:pos="18"/>
              </w:tabs>
              <w:snapToGrid w:val="0"/>
              <w:spacing w:line="300" w:lineRule="exact"/>
              <w:ind w:firstLine="0" w:firstLineChars="0"/>
              <w:jc w:val="center"/>
              <w:rPr>
                <w:rFonts w:hint="eastAsia" w:ascii="Times New Roman" w:hAnsi="宋体" w:eastAsia="宋体" w:cs="Times New Roman"/>
                <w:color w:val="auto"/>
                <w:sz w:val="21"/>
                <w:szCs w:val="21"/>
              </w:rPr>
            </w:pPr>
            <w:r>
              <w:rPr>
                <w:rFonts w:hint="eastAsia" w:ascii="Times New Roman" w:hAnsi="宋体" w:eastAsia="宋体" w:cs="Times New Roman"/>
                <w:color w:val="auto"/>
                <w:sz w:val="21"/>
                <w:szCs w:val="21"/>
              </w:rPr>
              <w:t>Ⅱ</w:t>
            </w:r>
            <w:r>
              <w:rPr>
                <w:rFonts w:ascii="Times New Roman" w:hAnsi="宋体" w:eastAsia="宋体" w:cs="Times New Roman"/>
                <w:color w:val="auto"/>
                <w:sz w:val="21"/>
                <w:szCs w:val="21"/>
              </w:rPr>
              <w:t>级</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3262EA41">
            <w:pPr>
              <w:tabs>
                <w:tab w:val="left" w:pos="18"/>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堆积坝</w:t>
            </w:r>
          </w:p>
        </w:tc>
      </w:tr>
      <w:tr w14:paraId="64DC5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BC49457">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7</w:t>
            </w:r>
          </w:p>
        </w:tc>
        <w:tc>
          <w:tcPr>
            <w:tcW w:w="720" w:type="dxa"/>
            <w:vMerge w:val="continue"/>
            <w:tcBorders>
              <w:left w:val="single" w:color="auto" w:sz="4" w:space="0"/>
              <w:right w:val="single" w:color="auto" w:sz="4" w:space="0"/>
            </w:tcBorders>
            <w:shd w:val="clear" w:color="auto" w:fill="auto"/>
            <w:noWrap w:val="0"/>
            <w:vAlign w:val="center"/>
          </w:tcPr>
          <w:p w14:paraId="59231696">
            <w:pPr>
              <w:widowControl/>
              <w:spacing w:line="300" w:lineRule="exact"/>
              <w:ind w:firstLine="0" w:firstLineChars="0"/>
              <w:jc w:val="center"/>
              <w:rPr>
                <w:rFonts w:hint="eastAsia" w:ascii="Times New Roman" w:hAnsi="宋体" w:eastAsia="宋体" w:cs="Times New Roman"/>
                <w:b w:val="0"/>
                <w:bCs/>
                <w:color w:val="auto"/>
                <w:kern w:val="2"/>
                <w:sz w:val="21"/>
                <w:szCs w:val="21"/>
                <w:lang w:val="en-US" w:eastAsia="zh-CN" w:bidi="ar-SA"/>
              </w:rPr>
            </w:pPr>
          </w:p>
        </w:tc>
        <w:tc>
          <w:tcPr>
            <w:tcW w:w="14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31D823">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排渗设施损坏</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2E1C941">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渗透破坏</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CD3004">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6EDAA14">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5</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FA8CFE1">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10</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5F5DFE9">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3D38E70">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较严重</w:t>
            </w:r>
          </w:p>
        </w:tc>
        <w:tc>
          <w:tcPr>
            <w:tcW w:w="144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3969A220">
            <w:pPr>
              <w:tabs>
                <w:tab w:val="left" w:pos="18"/>
              </w:tabs>
              <w:snapToGrid w:val="0"/>
              <w:spacing w:line="300" w:lineRule="exact"/>
              <w:ind w:firstLine="0" w:firstLineChars="0"/>
              <w:jc w:val="center"/>
              <w:rPr>
                <w:rFonts w:hint="eastAsia" w:ascii="Times New Roman" w:hAnsi="宋体" w:eastAsia="宋体" w:cs="Times New Roman"/>
                <w:color w:val="auto"/>
                <w:sz w:val="21"/>
                <w:szCs w:val="21"/>
              </w:rPr>
            </w:pPr>
            <w:r>
              <w:rPr>
                <w:rFonts w:hint="eastAsia" w:ascii="Times New Roman" w:hAnsi="宋体" w:eastAsia="宋体" w:cs="Times New Roman"/>
                <w:color w:val="auto"/>
                <w:sz w:val="21"/>
                <w:szCs w:val="21"/>
              </w:rPr>
              <w:t>Ⅲ</w:t>
            </w:r>
            <w:r>
              <w:rPr>
                <w:rFonts w:ascii="Times New Roman" w:hAnsi="宋体" w:eastAsia="宋体" w:cs="Times New Roman"/>
                <w:color w:val="auto"/>
                <w:sz w:val="21"/>
                <w:szCs w:val="21"/>
              </w:rPr>
              <w:t>级</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0DEB13BA">
            <w:pPr>
              <w:tabs>
                <w:tab w:val="left" w:pos="18"/>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局部坝体</w:t>
            </w:r>
          </w:p>
        </w:tc>
      </w:tr>
    </w:tbl>
    <w:p w14:paraId="21CE4588">
      <w:pPr>
        <w:bidi w:val="0"/>
        <w:rPr>
          <w:rFonts w:hint="default"/>
          <w:color w:val="auto"/>
          <w:lang w:val="en-US" w:eastAsia="zh-CN"/>
        </w:rPr>
      </w:pPr>
      <w:r>
        <w:rPr>
          <w:rFonts w:hint="default"/>
          <w:color w:val="auto"/>
          <w:lang w:val="en-US" w:eastAsia="zh-CN"/>
        </w:rPr>
        <w:t>杨家店尾矿库安全监测设施LS法风险分析如下表：</w:t>
      </w:r>
    </w:p>
    <w:tbl>
      <w:tblPr>
        <w:tblStyle w:val="19"/>
        <w:tblpPr w:leftFromText="180" w:rightFromText="180" w:vertAnchor="text" w:horzAnchor="margin" w:tblpX="108" w:tblpY="313"/>
        <w:tblW w:w="94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8"/>
        <w:gridCol w:w="1080"/>
        <w:gridCol w:w="1260"/>
        <w:gridCol w:w="1080"/>
        <w:gridCol w:w="360"/>
        <w:gridCol w:w="360"/>
        <w:gridCol w:w="540"/>
        <w:gridCol w:w="900"/>
        <w:gridCol w:w="900"/>
        <w:gridCol w:w="1440"/>
        <w:gridCol w:w="1080"/>
      </w:tblGrid>
      <w:tr w14:paraId="50504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468" w:type="dxa"/>
            <w:vMerge w:val="restart"/>
            <w:tcBorders>
              <w:top w:val="single" w:color="auto" w:sz="4" w:space="0"/>
              <w:left w:val="single" w:color="auto" w:sz="4" w:space="0"/>
              <w:right w:val="single" w:color="auto" w:sz="4" w:space="0"/>
            </w:tcBorders>
            <w:noWrap w:val="0"/>
            <w:vAlign w:val="center"/>
          </w:tcPr>
          <w:p w14:paraId="2D7887B0">
            <w:pPr>
              <w:tabs>
                <w:tab w:val="left" w:pos="945"/>
                <w:tab w:val="left" w:pos="1155"/>
              </w:tabs>
              <w:snapToGrid w:val="0"/>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序号</w:t>
            </w:r>
          </w:p>
        </w:tc>
        <w:tc>
          <w:tcPr>
            <w:tcW w:w="1080" w:type="dxa"/>
            <w:vMerge w:val="restart"/>
            <w:tcBorders>
              <w:top w:val="single" w:color="auto" w:sz="4" w:space="0"/>
              <w:left w:val="single" w:color="auto" w:sz="4" w:space="0"/>
              <w:right w:val="single" w:color="auto" w:sz="4" w:space="0"/>
            </w:tcBorders>
            <w:noWrap w:val="0"/>
            <w:vAlign w:val="center"/>
          </w:tcPr>
          <w:p w14:paraId="27EE92D6">
            <w:pPr>
              <w:tabs>
                <w:tab w:val="left" w:pos="945"/>
                <w:tab w:val="left" w:pos="1155"/>
              </w:tabs>
              <w:snapToGrid w:val="0"/>
              <w:spacing w:line="300" w:lineRule="exact"/>
              <w:ind w:firstLine="0" w:firstLineChars="0"/>
              <w:jc w:val="center"/>
              <w:rPr>
                <w:rFonts w:hint="eastAsia" w:ascii="Times New Roman" w:hAnsi="宋体" w:eastAsia="宋体" w:cs="Times New Roman"/>
                <w:color w:val="auto"/>
                <w:sz w:val="21"/>
                <w:szCs w:val="21"/>
              </w:rPr>
            </w:pPr>
            <w:r>
              <w:rPr>
                <w:rFonts w:hint="eastAsia" w:ascii="Times New Roman" w:hAnsi="宋体" w:eastAsia="宋体" w:cs="Times New Roman"/>
                <w:color w:val="auto"/>
                <w:sz w:val="21"/>
                <w:szCs w:val="21"/>
              </w:rPr>
              <w:t>单元/</w:t>
            </w:r>
          </w:p>
          <w:p w14:paraId="10898CBD">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宋体" w:eastAsia="宋体" w:cs="Times New Roman"/>
                <w:color w:val="auto"/>
                <w:sz w:val="21"/>
                <w:szCs w:val="21"/>
              </w:rPr>
              <w:t>系统</w:t>
            </w:r>
          </w:p>
        </w:tc>
        <w:tc>
          <w:tcPr>
            <w:tcW w:w="1260" w:type="dxa"/>
            <w:vMerge w:val="restart"/>
            <w:tcBorders>
              <w:top w:val="single" w:color="auto" w:sz="4" w:space="0"/>
              <w:left w:val="single" w:color="auto" w:sz="4" w:space="0"/>
              <w:right w:val="single" w:color="auto" w:sz="4" w:space="0"/>
            </w:tcBorders>
            <w:noWrap w:val="0"/>
            <w:vAlign w:val="center"/>
          </w:tcPr>
          <w:p w14:paraId="62451AB7">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危险源</w:t>
            </w:r>
          </w:p>
          <w:p w14:paraId="013259B0">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及风险</w:t>
            </w:r>
          </w:p>
        </w:tc>
        <w:tc>
          <w:tcPr>
            <w:tcW w:w="1080" w:type="dxa"/>
            <w:vMerge w:val="restart"/>
            <w:tcBorders>
              <w:top w:val="single" w:color="auto" w:sz="4" w:space="0"/>
              <w:left w:val="single" w:color="auto" w:sz="4" w:space="0"/>
              <w:right w:val="single" w:color="auto" w:sz="4" w:space="0"/>
            </w:tcBorders>
            <w:noWrap w:val="0"/>
            <w:vAlign w:val="center"/>
          </w:tcPr>
          <w:p w14:paraId="28E74EAD">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可能后果</w:t>
            </w:r>
          </w:p>
        </w:tc>
        <w:tc>
          <w:tcPr>
            <w:tcW w:w="1260" w:type="dxa"/>
            <w:gridSpan w:val="3"/>
            <w:tcBorders>
              <w:top w:val="single" w:color="auto" w:sz="4" w:space="0"/>
              <w:left w:val="single" w:color="auto" w:sz="4" w:space="0"/>
              <w:bottom w:val="single" w:color="auto" w:sz="4" w:space="0"/>
              <w:right w:val="single" w:color="auto" w:sz="4" w:space="0"/>
            </w:tcBorders>
            <w:noWrap w:val="0"/>
            <w:vAlign w:val="center"/>
          </w:tcPr>
          <w:p w14:paraId="01C5C5A8">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ascii="Times New Roman" w:hAnsi="宋体" w:eastAsia="宋体" w:cs="Times New Roman"/>
                <w:color w:val="auto"/>
                <w:sz w:val="21"/>
                <w:szCs w:val="21"/>
              </w:rPr>
              <w:t>风险值</w:t>
            </w:r>
            <w:r>
              <w:rPr>
                <w:rFonts w:hint="eastAsia" w:ascii="Times New Roman" w:hAnsi="Times New Roman" w:eastAsia="宋体" w:cs="Times New Roman"/>
                <w:color w:val="auto"/>
                <w:sz w:val="21"/>
                <w:szCs w:val="21"/>
              </w:rPr>
              <w:t>R</w:t>
            </w:r>
            <w:r>
              <w:rPr>
                <w:rFonts w:ascii="Times New Roman" w:hAnsi="Times New Roman" w:eastAsia="宋体" w:cs="Times New Roman"/>
                <w:color w:val="auto"/>
                <w:sz w:val="21"/>
                <w:szCs w:val="21"/>
              </w:rPr>
              <w:t>=L·</w:t>
            </w:r>
            <w:r>
              <w:rPr>
                <w:rFonts w:hint="eastAsia" w:ascii="Times New Roman" w:hAnsi="Times New Roman" w:eastAsia="宋体" w:cs="Times New Roman"/>
                <w:color w:val="auto"/>
                <w:sz w:val="21"/>
                <w:szCs w:val="21"/>
              </w:rPr>
              <w:t>S</w:t>
            </w:r>
          </w:p>
        </w:tc>
        <w:tc>
          <w:tcPr>
            <w:tcW w:w="900" w:type="dxa"/>
            <w:vMerge w:val="restart"/>
            <w:tcBorders>
              <w:top w:val="single" w:color="auto" w:sz="4" w:space="0"/>
              <w:left w:val="single" w:color="auto" w:sz="4" w:space="0"/>
              <w:right w:val="single" w:color="auto" w:sz="4" w:space="0"/>
            </w:tcBorders>
            <w:noWrap w:val="0"/>
            <w:vAlign w:val="center"/>
          </w:tcPr>
          <w:p w14:paraId="0E163058">
            <w:pPr>
              <w:tabs>
                <w:tab w:val="left" w:pos="945"/>
                <w:tab w:val="left" w:pos="1155"/>
              </w:tabs>
              <w:snapToGrid w:val="0"/>
              <w:spacing w:line="300" w:lineRule="exact"/>
              <w:ind w:firstLine="0" w:firstLineChars="0"/>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可能性</w:t>
            </w:r>
          </w:p>
        </w:tc>
        <w:tc>
          <w:tcPr>
            <w:tcW w:w="900" w:type="dxa"/>
            <w:vMerge w:val="restart"/>
            <w:tcBorders>
              <w:top w:val="single" w:color="auto" w:sz="4" w:space="0"/>
              <w:left w:val="single" w:color="auto" w:sz="4" w:space="0"/>
              <w:right w:val="single" w:color="auto" w:sz="4" w:space="0"/>
            </w:tcBorders>
            <w:noWrap w:val="0"/>
            <w:vAlign w:val="center"/>
          </w:tcPr>
          <w:p w14:paraId="2DB0C48B">
            <w:pPr>
              <w:tabs>
                <w:tab w:val="left" w:pos="945"/>
                <w:tab w:val="left" w:pos="1155"/>
              </w:tabs>
              <w:snapToGrid w:val="0"/>
              <w:spacing w:line="300" w:lineRule="exact"/>
              <w:ind w:firstLine="0" w:firstLineChars="0"/>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严重性</w:t>
            </w:r>
          </w:p>
        </w:tc>
        <w:tc>
          <w:tcPr>
            <w:tcW w:w="1440" w:type="dxa"/>
            <w:vMerge w:val="restart"/>
            <w:tcBorders>
              <w:top w:val="single" w:color="auto" w:sz="4" w:space="0"/>
              <w:left w:val="single" w:color="auto" w:sz="4" w:space="0"/>
              <w:right w:val="single" w:color="auto" w:sz="4" w:space="0"/>
            </w:tcBorders>
            <w:noWrap w:val="0"/>
            <w:vAlign w:val="center"/>
          </w:tcPr>
          <w:p w14:paraId="26CF1D5D">
            <w:pPr>
              <w:tabs>
                <w:tab w:val="left" w:pos="18"/>
              </w:tabs>
              <w:snapToGrid w:val="0"/>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危险性程度（风险等级）</w:t>
            </w:r>
          </w:p>
        </w:tc>
        <w:tc>
          <w:tcPr>
            <w:tcW w:w="1080" w:type="dxa"/>
            <w:vMerge w:val="restart"/>
            <w:tcBorders>
              <w:top w:val="single" w:color="auto" w:sz="4" w:space="0"/>
              <w:left w:val="single" w:color="auto" w:sz="4" w:space="0"/>
              <w:right w:val="single" w:color="auto" w:sz="4" w:space="0"/>
            </w:tcBorders>
            <w:noWrap w:val="0"/>
            <w:vAlign w:val="center"/>
          </w:tcPr>
          <w:p w14:paraId="5161F4CC">
            <w:pPr>
              <w:tabs>
                <w:tab w:val="left" w:pos="18"/>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影响范围</w:t>
            </w:r>
          </w:p>
        </w:tc>
      </w:tr>
      <w:tr w14:paraId="43581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468" w:type="dxa"/>
            <w:vMerge w:val="continue"/>
            <w:tcBorders>
              <w:left w:val="single" w:color="auto" w:sz="4" w:space="0"/>
              <w:bottom w:val="single" w:color="auto" w:sz="4" w:space="0"/>
              <w:right w:val="single" w:color="auto" w:sz="4" w:space="0"/>
            </w:tcBorders>
            <w:noWrap w:val="0"/>
            <w:vAlign w:val="center"/>
          </w:tcPr>
          <w:p w14:paraId="141F2831">
            <w:pPr>
              <w:tabs>
                <w:tab w:val="left" w:pos="945"/>
                <w:tab w:val="left" w:pos="1155"/>
              </w:tabs>
              <w:snapToGrid w:val="0"/>
              <w:spacing w:line="300" w:lineRule="exact"/>
              <w:ind w:firstLine="420" w:firstLineChars="0"/>
              <w:jc w:val="center"/>
              <w:rPr>
                <w:rFonts w:ascii="Times New Roman" w:hAnsi="Times New Roman" w:eastAsia="宋体" w:cs="Times New Roman"/>
                <w:color w:val="auto"/>
                <w:sz w:val="21"/>
                <w:szCs w:val="21"/>
              </w:rPr>
            </w:pPr>
          </w:p>
        </w:tc>
        <w:tc>
          <w:tcPr>
            <w:tcW w:w="1080" w:type="dxa"/>
            <w:vMerge w:val="continue"/>
            <w:tcBorders>
              <w:left w:val="single" w:color="auto" w:sz="4" w:space="0"/>
              <w:bottom w:val="single" w:color="auto" w:sz="4" w:space="0"/>
              <w:right w:val="single" w:color="auto" w:sz="4" w:space="0"/>
            </w:tcBorders>
            <w:noWrap w:val="0"/>
            <w:vAlign w:val="center"/>
          </w:tcPr>
          <w:p w14:paraId="79360A2A">
            <w:pPr>
              <w:tabs>
                <w:tab w:val="left" w:pos="945"/>
                <w:tab w:val="left" w:pos="1155"/>
              </w:tabs>
              <w:snapToGrid w:val="0"/>
              <w:spacing w:line="300" w:lineRule="exact"/>
              <w:ind w:firstLine="420" w:firstLineChars="0"/>
              <w:jc w:val="center"/>
              <w:rPr>
                <w:rFonts w:ascii="Times New Roman" w:hAnsi="Times New Roman" w:eastAsia="宋体" w:cs="Times New Roman"/>
                <w:color w:val="auto"/>
                <w:sz w:val="21"/>
                <w:szCs w:val="21"/>
              </w:rPr>
            </w:pPr>
          </w:p>
        </w:tc>
        <w:tc>
          <w:tcPr>
            <w:tcW w:w="1260" w:type="dxa"/>
            <w:vMerge w:val="continue"/>
            <w:tcBorders>
              <w:left w:val="single" w:color="auto" w:sz="4" w:space="0"/>
              <w:bottom w:val="single" w:color="auto" w:sz="4" w:space="0"/>
              <w:right w:val="single" w:color="auto" w:sz="4" w:space="0"/>
            </w:tcBorders>
            <w:noWrap w:val="0"/>
            <w:vAlign w:val="center"/>
          </w:tcPr>
          <w:p w14:paraId="36AE3766">
            <w:pPr>
              <w:tabs>
                <w:tab w:val="left" w:pos="945"/>
                <w:tab w:val="left" w:pos="1155"/>
              </w:tabs>
              <w:snapToGrid w:val="0"/>
              <w:spacing w:line="300" w:lineRule="exact"/>
              <w:ind w:firstLine="420" w:firstLineChars="0"/>
              <w:jc w:val="center"/>
              <w:rPr>
                <w:rFonts w:ascii="Times New Roman" w:hAnsi="Times New Roman" w:eastAsia="宋体" w:cs="Times New Roman"/>
                <w:color w:val="auto"/>
                <w:sz w:val="21"/>
                <w:szCs w:val="21"/>
              </w:rPr>
            </w:pPr>
          </w:p>
        </w:tc>
        <w:tc>
          <w:tcPr>
            <w:tcW w:w="1080" w:type="dxa"/>
            <w:vMerge w:val="continue"/>
            <w:tcBorders>
              <w:left w:val="single" w:color="auto" w:sz="4" w:space="0"/>
              <w:bottom w:val="single" w:color="auto" w:sz="4" w:space="0"/>
              <w:right w:val="single" w:color="auto" w:sz="4" w:space="0"/>
            </w:tcBorders>
            <w:noWrap w:val="0"/>
            <w:vAlign w:val="center"/>
          </w:tcPr>
          <w:p w14:paraId="47C5F196">
            <w:pPr>
              <w:tabs>
                <w:tab w:val="left" w:pos="945"/>
                <w:tab w:val="left" w:pos="1155"/>
              </w:tabs>
              <w:snapToGrid w:val="0"/>
              <w:spacing w:line="300" w:lineRule="exact"/>
              <w:ind w:firstLine="420" w:firstLineChars="0"/>
              <w:jc w:val="center"/>
              <w:rPr>
                <w:rFonts w:ascii="Times New Roman" w:hAnsi="Times New Roman" w:eastAsia="宋体" w:cs="Times New Roman"/>
                <w:color w:val="auto"/>
                <w:sz w:val="21"/>
                <w:szCs w:val="21"/>
              </w:rPr>
            </w:pPr>
          </w:p>
        </w:tc>
        <w:tc>
          <w:tcPr>
            <w:tcW w:w="360" w:type="dxa"/>
            <w:tcBorders>
              <w:top w:val="single" w:color="auto" w:sz="4" w:space="0"/>
              <w:left w:val="single" w:color="auto" w:sz="4" w:space="0"/>
              <w:bottom w:val="single" w:color="auto" w:sz="4" w:space="0"/>
              <w:right w:val="single" w:color="auto" w:sz="4" w:space="0"/>
            </w:tcBorders>
            <w:noWrap w:val="0"/>
            <w:vAlign w:val="center"/>
          </w:tcPr>
          <w:p w14:paraId="439BA0CE">
            <w:pPr>
              <w:tabs>
                <w:tab w:val="left" w:pos="945"/>
                <w:tab w:val="left" w:pos="1155"/>
              </w:tabs>
              <w:snapToGrid w:val="0"/>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L</w:t>
            </w:r>
          </w:p>
        </w:tc>
        <w:tc>
          <w:tcPr>
            <w:tcW w:w="360" w:type="dxa"/>
            <w:tcBorders>
              <w:top w:val="single" w:color="auto" w:sz="4" w:space="0"/>
              <w:left w:val="single" w:color="auto" w:sz="4" w:space="0"/>
              <w:bottom w:val="single" w:color="auto" w:sz="4" w:space="0"/>
              <w:right w:val="single" w:color="auto" w:sz="4" w:space="0"/>
            </w:tcBorders>
            <w:noWrap w:val="0"/>
            <w:vAlign w:val="center"/>
          </w:tcPr>
          <w:p w14:paraId="1DCD00C3">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S</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2456427C">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R</w:t>
            </w:r>
          </w:p>
        </w:tc>
        <w:tc>
          <w:tcPr>
            <w:tcW w:w="900" w:type="dxa"/>
            <w:vMerge w:val="continue"/>
            <w:tcBorders>
              <w:left w:val="single" w:color="auto" w:sz="4" w:space="0"/>
              <w:bottom w:val="single" w:color="auto" w:sz="4" w:space="0"/>
              <w:right w:val="single" w:color="auto" w:sz="4" w:space="0"/>
            </w:tcBorders>
            <w:noWrap w:val="0"/>
            <w:vAlign w:val="center"/>
          </w:tcPr>
          <w:p w14:paraId="3DBCD744">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p>
        </w:tc>
        <w:tc>
          <w:tcPr>
            <w:tcW w:w="900" w:type="dxa"/>
            <w:vMerge w:val="continue"/>
            <w:tcBorders>
              <w:left w:val="single" w:color="auto" w:sz="4" w:space="0"/>
              <w:bottom w:val="single" w:color="auto" w:sz="4" w:space="0"/>
              <w:right w:val="single" w:color="auto" w:sz="4" w:space="0"/>
            </w:tcBorders>
            <w:noWrap w:val="0"/>
            <w:vAlign w:val="center"/>
          </w:tcPr>
          <w:p w14:paraId="232FE69A">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p>
        </w:tc>
        <w:tc>
          <w:tcPr>
            <w:tcW w:w="1440" w:type="dxa"/>
            <w:vMerge w:val="continue"/>
            <w:tcBorders>
              <w:left w:val="single" w:color="auto" w:sz="4" w:space="0"/>
              <w:bottom w:val="single" w:color="auto" w:sz="4" w:space="0"/>
              <w:right w:val="single" w:color="auto" w:sz="4" w:space="0"/>
            </w:tcBorders>
            <w:noWrap w:val="0"/>
            <w:vAlign w:val="center"/>
          </w:tcPr>
          <w:p w14:paraId="51A6AA9E">
            <w:pPr>
              <w:tabs>
                <w:tab w:val="left" w:pos="18"/>
              </w:tabs>
              <w:snapToGrid w:val="0"/>
              <w:spacing w:line="300" w:lineRule="exact"/>
              <w:ind w:firstLine="420" w:firstLineChars="0"/>
              <w:jc w:val="center"/>
              <w:rPr>
                <w:rFonts w:ascii="Times New Roman" w:hAnsi="Times New Roman" w:eastAsia="宋体" w:cs="Times New Roman"/>
                <w:color w:val="auto"/>
                <w:sz w:val="21"/>
                <w:szCs w:val="21"/>
              </w:rPr>
            </w:pPr>
          </w:p>
        </w:tc>
        <w:tc>
          <w:tcPr>
            <w:tcW w:w="1080" w:type="dxa"/>
            <w:vMerge w:val="continue"/>
            <w:tcBorders>
              <w:left w:val="single" w:color="auto" w:sz="4" w:space="0"/>
              <w:bottom w:val="single" w:color="auto" w:sz="4" w:space="0"/>
              <w:right w:val="single" w:color="auto" w:sz="4" w:space="0"/>
            </w:tcBorders>
            <w:noWrap w:val="0"/>
            <w:vAlign w:val="center"/>
          </w:tcPr>
          <w:p w14:paraId="1D4DD589">
            <w:pPr>
              <w:tabs>
                <w:tab w:val="left" w:pos="18"/>
              </w:tabs>
              <w:snapToGrid w:val="0"/>
              <w:spacing w:line="300" w:lineRule="exact"/>
              <w:ind w:firstLine="420" w:firstLineChars="0"/>
              <w:jc w:val="center"/>
              <w:rPr>
                <w:rFonts w:ascii="Times New Roman" w:hAnsi="Times New Roman" w:eastAsia="宋体" w:cs="Times New Roman"/>
                <w:color w:val="auto"/>
                <w:sz w:val="21"/>
                <w:szCs w:val="21"/>
              </w:rPr>
            </w:pPr>
          </w:p>
        </w:tc>
      </w:tr>
      <w:tr w14:paraId="30448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0874F9">
            <w:pPr>
              <w:tabs>
                <w:tab w:val="left" w:pos="945"/>
                <w:tab w:val="left" w:pos="1155"/>
              </w:tabs>
              <w:snapToGrid w:val="0"/>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1080" w:type="dxa"/>
            <w:vMerge w:val="restart"/>
            <w:tcBorders>
              <w:top w:val="single" w:color="auto" w:sz="4" w:space="0"/>
              <w:left w:val="single" w:color="auto" w:sz="4" w:space="0"/>
              <w:right w:val="single" w:color="auto" w:sz="4" w:space="0"/>
            </w:tcBorders>
            <w:shd w:val="clear" w:color="auto" w:fill="auto"/>
            <w:noWrap w:val="0"/>
            <w:vAlign w:val="center"/>
          </w:tcPr>
          <w:p w14:paraId="47FCF800">
            <w:pPr>
              <w:widowControl/>
              <w:spacing w:line="300" w:lineRule="exact"/>
              <w:ind w:firstLine="0" w:firstLineChars="0"/>
              <w:jc w:val="center"/>
              <w:rPr>
                <w:rFonts w:hint="eastAsia" w:ascii="Times New Roman" w:hAnsi="宋体" w:eastAsia="宋体" w:cs="Times New Roman"/>
                <w:b w:val="0"/>
                <w:bCs/>
                <w:color w:val="auto"/>
                <w:kern w:val="2"/>
                <w:sz w:val="21"/>
                <w:szCs w:val="21"/>
                <w:lang w:val="en-US" w:eastAsia="zh-CN" w:bidi="ar-SA"/>
              </w:rPr>
            </w:pPr>
            <w:r>
              <w:rPr>
                <w:rFonts w:hint="eastAsia" w:ascii="Times New Roman" w:hAnsi="宋体" w:eastAsia="宋体" w:cs="Times New Roman"/>
                <w:b w:val="0"/>
                <w:bCs/>
                <w:color w:val="auto"/>
                <w:kern w:val="2"/>
                <w:sz w:val="21"/>
                <w:szCs w:val="21"/>
                <w:lang w:val="en-US" w:eastAsia="zh-CN" w:bidi="ar-SA"/>
              </w:rPr>
              <w:t>安全</w:t>
            </w:r>
          </w:p>
          <w:p w14:paraId="06E3A1C5">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宋体" w:eastAsia="宋体" w:cs="Times New Roman"/>
                <w:b w:val="0"/>
                <w:bCs/>
                <w:color w:val="auto"/>
                <w:kern w:val="2"/>
                <w:sz w:val="21"/>
                <w:szCs w:val="21"/>
                <w:lang w:val="en-US" w:eastAsia="zh-CN" w:bidi="ar-SA"/>
              </w:rPr>
              <w:t>监测设施</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7C29CB">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监测设施工作不正常、有故障</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D34C81D">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不能监控尾矿库安全</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F4DE22A">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749AF17">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D4DE481">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48712E9">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637B09">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一般</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2E00F0C1">
            <w:pPr>
              <w:tabs>
                <w:tab w:val="left" w:pos="18"/>
              </w:tabs>
              <w:snapToGrid w:val="0"/>
              <w:spacing w:line="300" w:lineRule="exact"/>
              <w:ind w:firstLine="0" w:firstLineChars="0"/>
              <w:jc w:val="center"/>
              <w:rPr>
                <w:rFonts w:ascii="Times New Roman" w:hAnsi="Times New Roman" w:eastAsia="宋体" w:cs="Times New Roman"/>
                <w:color w:val="auto"/>
                <w:sz w:val="21"/>
                <w:szCs w:val="21"/>
              </w:rPr>
            </w:pPr>
            <w:r>
              <w:rPr>
                <w:rFonts w:hint="eastAsia" w:ascii="Times New Roman" w:hAnsi="宋体" w:eastAsia="宋体" w:cs="Times New Roman"/>
                <w:color w:val="auto"/>
                <w:sz w:val="21"/>
                <w:szCs w:val="21"/>
              </w:rPr>
              <w:t>Ⅳ</w:t>
            </w:r>
            <w:r>
              <w:rPr>
                <w:rFonts w:ascii="Times New Roman" w:hAnsi="宋体" w:eastAsia="宋体" w:cs="Times New Roman"/>
                <w:color w:val="auto"/>
                <w:sz w:val="21"/>
                <w:szCs w:val="21"/>
              </w:rPr>
              <w:t>级</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571704F3">
            <w:pPr>
              <w:tabs>
                <w:tab w:val="left" w:pos="18"/>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安全</w:t>
            </w:r>
          </w:p>
          <w:p w14:paraId="0AF86CC7">
            <w:pPr>
              <w:tabs>
                <w:tab w:val="left" w:pos="18"/>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监测设施</w:t>
            </w:r>
          </w:p>
        </w:tc>
      </w:tr>
      <w:tr w14:paraId="459383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5ACE3E">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1080" w:type="dxa"/>
            <w:vMerge w:val="continue"/>
            <w:tcBorders>
              <w:left w:val="single" w:color="auto" w:sz="4" w:space="0"/>
              <w:right w:val="single" w:color="auto" w:sz="4" w:space="0"/>
            </w:tcBorders>
            <w:shd w:val="clear" w:color="auto" w:fill="auto"/>
            <w:noWrap w:val="0"/>
            <w:vAlign w:val="center"/>
          </w:tcPr>
          <w:p w14:paraId="3EF21545">
            <w:pPr>
              <w:widowControl/>
              <w:spacing w:line="300" w:lineRule="exact"/>
              <w:ind w:firstLine="0" w:firstLineChars="0"/>
              <w:jc w:val="center"/>
              <w:rPr>
                <w:rFonts w:hint="eastAsia" w:ascii="Times New Roman" w:hAnsi="宋体" w:eastAsia="宋体" w:cs="Times New Roman"/>
                <w:b w:val="0"/>
                <w:bCs/>
                <w:color w:val="auto"/>
                <w:kern w:val="2"/>
                <w:sz w:val="21"/>
                <w:szCs w:val="21"/>
                <w:lang w:val="en-US" w:eastAsia="zh-CN" w:bidi="ar-SA"/>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C2AAEF1">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尾矿库监测网络不能覆盖整个库区</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6BA371D">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监测不完整</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45D0DE2">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275E781">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0004C95">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12</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695329">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D9EE384">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较严重</w:t>
            </w:r>
          </w:p>
        </w:tc>
        <w:tc>
          <w:tcPr>
            <w:tcW w:w="144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70CF82DC">
            <w:pPr>
              <w:tabs>
                <w:tab w:val="left" w:pos="18"/>
              </w:tabs>
              <w:snapToGrid w:val="0"/>
              <w:spacing w:line="300" w:lineRule="exact"/>
              <w:ind w:firstLine="0" w:firstLineChars="0"/>
              <w:jc w:val="center"/>
              <w:rPr>
                <w:rFonts w:ascii="Times New Roman" w:hAnsi="Times New Roman" w:eastAsia="宋体" w:cs="Times New Roman"/>
                <w:color w:val="auto"/>
                <w:sz w:val="21"/>
                <w:szCs w:val="21"/>
              </w:rPr>
            </w:pPr>
            <w:r>
              <w:rPr>
                <w:rFonts w:hint="eastAsia" w:ascii="Times New Roman" w:hAnsi="宋体" w:eastAsia="宋体" w:cs="Times New Roman"/>
                <w:color w:val="auto"/>
                <w:sz w:val="21"/>
                <w:szCs w:val="21"/>
              </w:rPr>
              <w:t>Ⅲ</w:t>
            </w:r>
            <w:r>
              <w:rPr>
                <w:rFonts w:ascii="Times New Roman" w:hAnsi="宋体" w:eastAsia="宋体" w:cs="Times New Roman"/>
                <w:color w:val="auto"/>
                <w:sz w:val="21"/>
                <w:szCs w:val="21"/>
              </w:rPr>
              <w:t>级</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470C6826">
            <w:pPr>
              <w:tabs>
                <w:tab w:val="left" w:pos="18"/>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安全</w:t>
            </w:r>
          </w:p>
          <w:p w14:paraId="5AF5C9DA">
            <w:pPr>
              <w:tabs>
                <w:tab w:val="left" w:pos="18"/>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监测设施</w:t>
            </w:r>
          </w:p>
        </w:tc>
      </w:tr>
      <w:tr w14:paraId="55CF8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2E941B9">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1080" w:type="dxa"/>
            <w:vMerge w:val="continue"/>
            <w:tcBorders>
              <w:left w:val="single" w:color="auto" w:sz="4" w:space="0"/>
              <w:right w:val="single" w:color="auto" w:sz="4" w:space="0"/>
            </w:tcBorders>
            <w:shd w:val="clear" w:color="auto" w:fill="auto"/>
            <w:noWrap w:val="0"/>
            <w:vAlign w:val="center"/>
          </w:tcPr>
          <w:p w14:paraId="795EC3AD">
            <w:pPr>
              <w:widowControl/>
              <w:spacing w:line="300" w:lineRule="exact"/>
              <w:ind w:firstLine="0" w:firstLineChars="0"/>
              <w:jc w:val="center"/>
              <w:rPr>
                <w:rFonts w:hint="eastAsia" w:ascii="Times New Roman" w:hAnsi="宋体" w:eastAsia="宋体" w:cs="Times New Roman"/>
                <w:b w:val="0"/>
                <w:bCs/>
                <w:color w:val="auto"/>
                <w:kern w:val="2"/>
                <w:sz w:val="21"/>
                <w:szCs w:val="21"/>
                <w:lang w:val="en-US" w:eastAsia="zh-CN" w:bidi="ar-SA"/>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854279C">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测量误差大</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FB96C93">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结果不可靠</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ADCFECC">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6F00DC6">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E393D6C">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9</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22F1710">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F12E0F5">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严重</w:t>
            </w:r>
          </w:p>
        </w:tc>
        <w:tc>
          <w:tcPr>
            <w:tcW w:w="144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67438CAE">
            <w:pPr>
              <w:tabs>
                <w:tab w:val="left" w:pos="18"/>
              </w:tabs>
              <w:snapToGrid w:val="0"/>
              <w:spacing w:line="300" w:lineRule="exact"/>
              <w:ind w:firstLine="0" w:firstLineChars="0"/>
              <w:jc w:val="center"/>
              <w:rPr>
                <w:rFonts w:hint="eastAsia" w:ascii="Times New Roman" w:hAnsi="宋体" w:eastAsia="宋体" w:cs="Times New Roman"/>
                <w:color w:val="auto"/>
                <w:sz w:val="21"/>
                <w:szCs w:val="21"/>
              </w:rPr>
            </w:pPr>
            <w:r>
              <w:rPr>
                <w:rFonts w:hint="eastAsia" w:ascii="Times New Roman" w:hAnsi="宋体" w:eastAsia="宋体" w:cs="Times New Roman"/>
                <w:color w:val="auto"/>
                <w:sz w:val="21"/>
                <w:szCs w:val="21"/>
              </w:rPr>
              <w:t>Ⅲ级</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0544A9D0">
            <w:pPr>
              <w:tabs>
                <w:tab w:val="left" w:pos="18"/>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安全</w:t>
            </w:r>
          </w:p>
          <w:p w14:paraId="5618DB50">
            <w:pPr>
              <w:tabs>
                <w:tab w:val="left" w:pos="18"/>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监测设施</w:t>
            </w:r>
          </w:p>
        </w:tc>
      </w:tr>
      <w:tr w14:paraId="6D11A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001577">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1080" w:type="dxa"/>
            <w:vMerge w:val="continue"/>
            <w:tcBorders>
              <w:left w:val="single" w:color="auto" w:sz="4" w:space="0"/>
              <w:right w:val="single" w:color="auto" w:sz="4" w:space="0"/>
            </w:tcBorders>
            <w:shd w:val="clear" w:color="auto" w:fill="auto"/>
            <w:noWrap w:val="0"/>
            <w:vAlign w:val="center"/>
          </w:tcPr>
          <w:p w14:paraId="3197C111">
            <w:pPr>
              <w:widowControl/>
              <w:spacing w:line="300" w:lineRule="exact"/>
              <w:ind w:firstLine="0" w:firstLineChars="0"/>
              <w:jc w:val="center"/>
              <w:rPr>
                <w:rFonts w:hint="eastAsia" w:ascii="Times New Roman" w:hAnsi="宋体" w:eastAsia="宋体" w:cs="Times New Roman"/>
                <w:b w:val="0"/>
                <w:bCs/>
                <w:color w:val="auto"/>
                <w:kern w:val="2"/>
                <w:sz w:val="21"/>
                <w:szCs w:val="21"/>
                <w:lang w:val="en-US" w:eastAsia="zh-CN" w:bidi="ar-SA"/>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9F42B7">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监测设施被破坏</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47062DA">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无法测量</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44A80E6">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2740424">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752E7DB">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8AC76B6">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432726E">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一般</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5C0CC88A">
            <w:pPr>
              <w:tabs>
                <w:tab w:val="left" w:pos="18"/>
              </w:tabs>
              <w:snapToGrid w:val="0"/>
              <w:spacing w:line="300" w:lineRule="exact"/>
              <w:ind w:firstLine="0" w:firstLineChars="0"/>
              <w:jc w:val="center"/>
              <w:rPr>
                <w:rFonts w:hint="eastAsia" w:ascii="Times New Roman" w:hAnsi="宋体" w:eastAsia="宋体" w:cs="Times New Roman"/>
                <w:color w:val="auto"/>
                <w:sz w:val="21"/>
                <w:szCs w:val="21"/>
              </w:rPr>
            </w:pPr>
            <w:r>
              <w:rPr>
                <w:rFonts w:hint="eastAsia" w:ascii="Times New Roman" w:hAnsi="宋体" w:eastAsia="宋体" w:cs="Times New Roman"/>
                <w:color w:val="auto"/>
                <w:sz w:val="21"/>
                <w:szCs w:val="21"/>
              </w:rPr>
              <w:t>Ⅳ级</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5B012F1A">
            <w:pPr>
              <w:tabs>
                <w:tab w:val="left" w:pos="18"/>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安全</w:t>
            </w:r>
          </w:p>
          <w:p w14:paraId="12260550">
            <w:pPr>
              <w:tabs>
                <w:tab w:val="left" w:pos="18"/>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监测设施</w:t>
            </w:r>
          </w:p>
        </w:tc>
      </w:tr>
      <w:tr w14:paraId="4FE9D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E6C039E">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5</w:t>
            </w:r>
          </w:p>
        </w:tc>
        <w:tc>
          <w:tcPr>
            <w:tcW w:w="1080" w:type="dxa"/>
            <w:vMerge w:val="continue"/>
            <w:tcBorders>
              <w:left w:val="single" w:color="auto" w:sz="4" w:space="0"/>
              <w:right w:val="single" w:color="auto" w:sz="4" w:space="0"/>
            </w:tcBorders>
            <w:shd w:val="clear" w:color="auto" w:fill="auto"/>
            <w:noWrap w:val="0"/>
            <w:vAlign w:val="center"/>
          </w:tcPr>
          <w:p w14:paraId="19CC9898">
            <w:pPr>
              <w:widowControl/>
              <w:spacing w:line="300" w:lineRule="exact"/>
              <w:ind w:firstLine="0" w:firstLineChars="0"/>
              <w:jc w:val="center"/>
              <w:rPr>
                <w:rFonts w:hint="eastAsia" w:ascii="Times New Roman" w:hAnsi="宋体" w:eastAsia="宋体" w:cs="Times New Roman"/>
                <w:b w:val="0"/>
                <w:bCs/>
                <w:color w:val="auto"/>
                <w:kern w:val="2"/>
                <w:sz w:val="21"/>
                <w:szCs w:val="21"/>
                <w:lang w:val="en-US" w:eastAsia="zh-CN" w:bidi="ar-SA"/>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279E2FF">
            <w:pPr>
              <w:widowControl/>
              <w:spacing w:line="300" w:lineRule="exact"/>
              <w:ind w:firstLine="0" w:firstLineChars="0"/>
              <w:jc w:val="left"/>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无在线监测设施；或监测设施不齐全</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C04D133">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安全监测措施缺失，不合规</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79112F7">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22D6E55">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5</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1BDD342">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10</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B9C6C90">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可能小</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20B24BA">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严重</w:t>
            </w:r>
          </w:p>
        </w:tc>
        <w:tc>
          <w:tcPr>
            <w:tcW w:w="144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4DEE582D">
            <w:pPr>
              <w:tabs>
                <w:tab w:val="left" w:pos="18"/>
              </w:tabs>
              <w:snapToGrid w:val="0"/>
              <w:spacing w:line="300" w:lineRule="exact"/>
              <w:ind w:firstLine="0" w:firstLineChars="0"/>
              <w:jc w:val="center"/>
              <w:rPr>
                <w:rFonts w:hint="eastAsia" w:ascii="Times New Roman" w:hAnsi="宋体" w:eastAsia="宋体" w:cs="Times New Roman"/>
                <w:color w:val="auto"/>
                <w:sz w:val="21"/>
                <w:szCs w:val="21"/>
              </w:rPr>
            </w:pPr>
            <w:r>
              <w:rPr>
                <w:rFonts w:hint="eastAsia" w:ascii="Times New Roman" w:hAnsi="宋体" w:eastAsia="宋体" w:cs="Times New Roman"/>
                <w:color w:val="auto"/>
                <w:sz w:val="21"/>
                <w:szCs w:val="21"/>
              </w:rPr>
              <w:t>Ⅲ</w:t>
            </w:r>
            <w:r>
              <w:rPr>
                <w:rFonts w:ascii="Times New Roman" w:hAnsi="宋体" w:eastAsia="宋体" w:cs="Times New Roman"/>
                <w:color w:val="auto"/>
                <w:sz w:val="21"/>
                <w:szCs w:val="21"/>
              </w:rPr>
              <w:t>级</w:t>
            </w:r>
          </w:p>
        </w:tc>
        <w:tc>
          <w:tcPr>
            <w:tcW w:w="1080" w:type="dxa"/>
            <w:tcBorders>
              <w:top w:val="single" w:color="auto" w:sz="4" w:space="0"/>
              <w:left w:val="single" w:color="auto" w:sz="4" w:space="0"/>
              <w:bottom w:val="single" w:color="auto" w:sz="4" w:space="0"/>
              <w:right w:val="single" w:color="auto" w:sz="4" w:space="0"/>
            </w:tcBorders>
            <w:noWrap w:val="0"/>
            <w:vAlign w:val="top"/>
          </w:tcPr>
          <w:p w14:paraId="1A4D8F72">
            <w:pPr>
              <w:tabs>
                <w:tab w:val="left" w:pos="18"/>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安全</w:t>
            </w:r>
          </w:p>
          <w:p w14:paraId="6BF5D48E">
            <w:pPr>
              <w:tabs>
                <w:tab w:val="left" w:pos="18"/>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监测设施</w:t>
            </w:r>
          </w:p>
        </w:tc>
      </w:tr>
      <w:tr w14:paraId="4E26B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AEE86CD">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w:t>
            </w:r>
          </w:p>
        </w:tc>
        <w:tc>
          <w:tcPr>
            <w:tcW w:w="1080" w:type="dxa"/>
            <w:vMerge w:val="continue"/>
            <w:tcBorders>
              <w:left w:val="single" w:color="auto" w:sz="4" w:space="0"/>
              <w:right w:val="single" w:color="auto" w:sz="4" w:space="0"/>
            </w:tcBorders>
            <w:shd w:val="clear" w:color="auto" w:fill="auto"/>
            <w:noWrap w:val="0"/>
            <w:vAlign w:val="center"/>
          </w:tcPr>
          <w:p w14:paraId="00335F94">
            <w:pPr>
              <w:widowControl/>
              <w:spacing w:line="300" w:lineRule="exact"/>
              <w:ind w:firstLine="0" w:firstLineChars="0"/>
              <w:jc w:val="center"/>
              <w:rPr>
                <w:rFonts w:hint="eastAsia" w:ascii="Times New Roman" w:hAnsi="宋体" w:eastAsia="宋体" w:cs="Times New Roman"/>
                <w:b w:val="0"/>
                <w:bCs/>
                <w:color w:val="auto"/>
                <w:kern w:val="2"/>
                <w:sz w:val="21"/>
                <w:szCs w:val="21"/>
                <w:lang w:val="en-US" w:eastAsia="zh-CN" w:bidi="ar-SA"/>
              </w:rPr>
            </w:pP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2A63F4">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在线监测设施防雷设施不完善</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8A6A98">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监测设施破坏</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EDF568E">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354DBCC">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0A0199C">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12</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947AE1">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30F6C82">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严重</w:t>
            </w:r>
          </w:p>
        </w:tc>
        <w:tc>
          <w:tcPr>
            <w:tcW w:w="144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122CEC34">
            <w:pPr>
              <w:tabs>
                <w:tab w:val="left" w:pos="18"/>
              </w:tabs>
              <w:snapToGrid w:val="0"/>
              <w:spacing w:line="300" w:lineRule="exact"/>
              <w:ind w:firstLine="0" w:firstLineChars="0"/>
              <w:jc w:val="center"/>
              <w:rPr>
                <w:rFonts w:hint="eastAsia" w:ascii="Times New Roman" w:hAnsi="宋体" w:eastAsia="宋体" w:cs="Times New Roman"/>
                <w:color w:val="auto"/>
                <w:sz w:val="21"/>
                <w:szCs w:val="21"/>
              </w:rPr>
            </w:pPr>
            <w:r>
              <w:rPr>
                <w:rFonts w:hint="eastAsia" w:ascii="Times New Roman" w:hAnsi="宋体" w:eastAsia="宋体" w:cs="Times New Roman"/>
                <w:color w:val="auto"/>
                <w:sz w:val="21"/>
                <w:szCs w:val="21"/>
              </w:rPr>
              <w:t>Ⅲ</w:t>
            </w:r>
            <w:r>
              <w:rPr>
                <w:rFonts w:ascii="Times New Roman" w:hAnsi="宋体" w:eastAsia="宋体" w:cs="Times New Roman"/>
                <w:color w:val="auto"/>
                <w:sz w:val="21"/>
                <w:szCs w:val="21"/>
              </w:rPr>
              <w:t>级</w:t>
            </w:r>
          </w:p>
        </w:tc>
        <w:tc>
          <w:tcPr>
            <w:tcW w:w="1080" w:type="dxa"/>
            <w:tcBorders>
              <w:top w:val="single" w:color="auto" w:sz="4" w:space="0"/>
              <w:left w:val="single" w:color="auto" w:sz="4" w:space="0"/>
              <w:bottom w:val="single" w:color="auto" w:sz="4" w:space="0"/>
              <w:right w:val="single" w:color="auto" w:sz="4" w:space="0"/>
            </w:tcBorders>
            <w:noWrap w:val="0"/>
            <w:vAlign w:val="top"/>
          </w:tcPr>
          <w:p w14:paraId="24563752">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安全</w:t>
            </w:r>
          </w:p>
          <w:p w14:paraId="2E4C4B6F">
            <w:pPr>
              <w:spacing w:line="300" w:lineRule="exact"/>
              <w:ind w:firstLine="0" w:firstLineChars="0"/>
              <w:rPr>
                <w:rFonts w:ascii="Times New Roman" w:hAnsi="Times New Roman" w:eastAsia="宋体" w:cs="Times New Roman"/>
                <w:color w:val="auto"/>
                <w:sz w:val="21"/>
              </w:rPr>
            </w:pPr>
            <w:r>
              <w:rPr>
                <w:rFonts w:hint="eastAsia" w:ascii="Times New Roman" w:hAnsi="Times New Roman" w:eastAsia="宋体" w:cs="Times New Roman"/>
                <w:color w:val="auto"/>
                <w:sz w:val="21"/>
                <w:szCs w:val="21"/>
              </w:rPr>
              <w:t>监测设施</w:t>
            </w:r>
          </w:p>
        </w:tc>
      </w:tr>
    </w:tbl>
    <w:p w14:paraId="35DE417F">
      <w:pPr>
        <w:bidi w:val="0"/>
        <w:rPr>
          <w:rFonts w:hint="default"/>
          <w:color w:val="auto"/>
          <w:lang w:val="en-US" w:eastAsia="zh-CN"/>
        </w:rPr>
      </w:pPr>
      <w:r>
        <w:rPr>
          <w:rFonts w:hint="default"/>
          <w:color w:val="auto"/>
          <w:lang w:val="en-US" w:eastAsia="zh-CN"/>
        </w:rPr>
        <w:t>杨家店尾矿库辅助设施LS法风险分析如下表：</w:t>
      </w:r>
    </w:p>
    <w:tbl>
      <w:tblPr>
        <w:tblStyle w:val="19"/>
        <w:tblpPr w:leftFromText="180" w:rightFromText="180" w:vertAnchor="text" w:horzAnchor="margin" w:tblpX="-216" w:tblpY="313"/>
        <w:tblW w:w="979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8"/>
        <w:gridCol w:w="720"/>
        <w:gridCol w:w="1764"/>
        <w:gridCol w:w="1260"/>
        <w:gridCol w:w="360"/>
        <w:gridCol w:w="451"/>
        <w:gridCol w:w="449"/>
        <w:gridCol w:w="900"/>
        <w:gridCol w:w="900"/>
        <w:gridCol w:w="1440"/>
        <w:gridCol w:w="1080"/>
      </w:tblGrid>
      <w:tr w14:paraId="4335C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468" w:type="dxa"/>
            <w:vMerge w:val="restart"/>
            <w:tcBorders>
              <w:top w:val="single" w:color="auto" w:sz="4" w:space="0"/>
              <w:left w:val="single" w:color="auto" w:sz="4" w:space="0"/>
              <w:right w:val="single" w:color="auto" w:sz="4" w:space="0"/>
            </w:tcBorders>
            <w:noWrap w:val="0"/>
            <w:vAlign w:val="center"/>
          </w:tcPr>
          <w:p w14:paraId="35CEEA21">
            <w:pPr>
              <w:tabs>
                <w:tab w:val="left" w:pos="945"/>
                <w:tab w:val="left" w:pos="1155"/>
              </w:tabs>
              <w:snapToGrid w:val="0"/>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序号</w:t>
            </w:r>
          </w:p>
        </w:tc>
        <w:tc>
          <w:tcPr>
            <w:tcW w:w="720" w:type="dxa"/>
            <w:vMerge w:val="restart"/>
            <w:tcBorders>
              <w:top w:val="single" w:color="auto" w:sz="4" w:space="0"/>
              <w:left w:val="single" w:color="auto" w:sz="4" w:space="0"/>
              <w:right w:val="single" w:color="auto" w:sz="4" w:space="0"/>
            </w:tcBorders>
            <w:noWrap w:val="0"/>
            <w:vAlign w:val="center"/>
          </w:tcPr>
          <w:p w14:paraId="6155C1B1">
            <w:pPr>
              <w:tabs>
                <w:tab w:val="left" w:pos="945"/>
                <w:tab w:val="left" w:pos="1155"/>
              </w:tabs>
              <w:snapToGrid w:val="0"/>
              <w:spacing w:line="300" w:lineRule="exact"/>
              <w:ind w:firstLine="0" w:firstLineChars="0"/>
              <w:jc w:val="center"/>
              <w:rPr>
                <w:rFonts w:hint="eastAsia" w:ascii="Times New Roman" w:hAnsi="宋体" w:eastAsia="宋体" w:cs="Times New Roman"/>
                <w:color w:val="auto"/>
                <w:sz w:val="21"/>
                <w:szCs w:val="21"/>
              </w:rPr>
            </w:pPr>
            <w:r>
              <w:rPr>
                <w:rFonts w:hint="eastAsia" w:ascii="Times New Roman" w:hAnsi="宋体" w:eastAsia="宋体" w:cs="Times New Roman"/>
                <w:color w:val="auto"/>
                <w:sz w:val="21"/>
                <w:szCs w:val="21"/>
              </w:rPr>
              <w:t>单元/</w:t>
            </w:r>
          </w:p>
          <w:p w14:paraId="66E6D657">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宋体" w:eastAsia="宋体" w:cs="Times New Roman"/>
                <w:color w:val="auto"/>
                <w:sz w:val="21"/>
                <w:szCs w:val="21"/>
              </w:rPr>
              <w:t>系统</w:t>
            </w:r>
          </w:p>
        </w:tc>
        <w:tc>
          <w:tcPr>
            <w:tcW w:w="1764" w:type="dxa"/>
            <w:vMerge w:val="restart"/>
            <w:tcBorders>
              <w:top w:val="single" w:color="auto" w:sz="4" w:space="0"/>
              <w:left w:val="single" w:color="auto" w:sz="4" w:space="0"/>
              <w:right w:val="single" w:color="auto" w:sz="4" w:space="0"/>
            </w:tcBorders>
            <w:noWrap w:val="0"/>
            <w:vAlign w:val="center"/>
          </w:tcPr>
          <w:p w14:paraId="0F59A417">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危险源</w:t>
            </w:r>
          </w:p>
          <w:p w14:paraId="72E2809E">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及风险</w:t>
            </w:r>
          </w:p>
        </w:tc>
        <w:tc>
          <w:tcPr>
            <w:tcW w:w="1260" w:type="dxa"/>
            <w:vMerge w:val="restart"/>
            <w:tcBorders>
              <w:top w:val="single" w:color="auto" w:sz="4" w:space="0"/>
              <w:left w:val="single" w:color="auto" w:sz="4" w:space="0"/>
              <w:right w:val="single" w:color="auto" w:sz="4" w:space="0"/>
            </w:tcBorders>
            <w:noWrap w:val="0"/>
            <w:vAlign w:val="center"/>
          </w:tcPr>
          <w:p w14:paraId="40853F95">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可能后果</w:t>
            </w:r>
          </w:p>
        </w:tc>
        <w:tc>
          <w:tcPr>
            <w:tcW w:w="1260" w:type="dxa"/>
            <w:gridSpan w:val="3"/>
            <w:tcBorders>
              <w:top w:val="single" w:color="auto" w:sz="4" w:space="0"/>
              <w:left w:val="single" w:color="auto" w:sz="4" w:space="0"/>
              <w:bottom w:val="single" w:color="auto" w:sz="4" w:space="0"/>
              <w:right w:val="single" w:color="auto" w:sz="4" w:space="0"/>
            </w:tcBorders>
            <w:noWrap w:val="0"/>
            <w:vAlign w:val="center"/>
          </w:tcPr>
          <w:p w14:paraId="4AD32DC5">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ascii="Times New Roman" w:hAnsi="宋体" w:eastAsia="宋体" w:cs="Times New Roman"/>
                <w:color w:val="auto"/>
                <w:sz w:val="21"/>
                <w:szCs w:val="21"/>
              </w:rPr>
              <w:t>风险值</w:t>
            </w:r>
            <w:r>
              <w:rPr>
                <w:rFonts w:hint="eastAsia" w:ascii="Times New Roman" w:hAnsi="Times New Roman" w:eastAsia="宋体" w:cs="Times New Roman"/>
                <w:color w:val="auto"/>
                <w:sz w:val="21"/>
                <w:szCs w:val="21"/>
              </w:rPr>
              <w:t>R</w:t>
            </w:r>
            <w:r>
              <w:rPr>
                <w:rFonts w:ascii="Times New Roman" w:hAnsi="Times New Roman" w:eastAsia="宋体" w:cs="Times New Roman"/>
                <w:color w:val="auto"/>
                <w:sz w:val="21"/>
                <w:szCs w:val="21"/>
              </w:rPr>
              <w:t>=L·</w:t>
            </w:r>
            <w:r>
              <w:rPr>
                <w:rFonts w:hint="eastAsia" w:ascii="Times New Roman" w:hAnsi="Times New Roman" w:eastAsia="宋体" w:cs="Times New Roman"/>
                <w:color w:val="auto"/>
                <w:sz w:val="21"/>
                <w:szCs w:val="21"/>
              </w:rPr>
              <w:t>S</w:t>
            </w:r>
          </w:p>
        </w:tc>
        <w:tc>
          <w:tcPr>
            <w:tcW w:w="900" w:type="dxa"/>
            <w:vMerge w:val="restart"/>
            <w:tcBorders>
              <w:top w:val="single" w:color="auto" w:sz="4" w:space="0"/>
              <w:left w:val="single" w:color="auto" w:sz="4" w:space="0"/>
              <w:right w:val="single" w:color="auto" w:sz="4" w:space="0"/>
            </w:tcBorders>
            <w:noWrap w:val="0"/>
            <w:vAlign w:val="center"/>
          </w:tcPr>
          <w:p w14:paraId="7CB7B465">
            <w:pPr>
              <w:tabs>
                <w:tab w:val="left" w:pos="945"/>
                <w:tab w:val="left" w:pos="1155"/>
              </w:tabs>
              <w:snapToGrid w:val="0"/>
              <w:spacing w:line="300" w:lineRule="exact"/>
              <w:ind w:firstLine="0" w:firstLineChars="0"/>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可能性</w:t>
            </w:r>
          </w:p>
        </w:tc>
        <w:tc>
          <w:tcPr>
            <w:tcW w:w="900" w:type="dxa"/>
            <w:vMerge w:val="restart"/>
            <w:tcBorders>
              <w:top w:val="single" w:color="auto" w:sz="4" w:space="0"/>
              <w:left w:val="single" w:color="auto" w:sz="4" w:space="0"/>
              <w:right w:val="single" w:color="auto" w:sz="4" w:space="0"/>
            </w:tcBorders>
            <w:noWrap w:val="0"/>
            <w:vAlign w:val="center"/>
          </w:tcPr>
          <w:p w14:paraId="7F5D8902">
            <w:pPr>
              <w:tabs>
                <w:tab w:val="left" w:pos="945"/>
                <w:tab w:val="left" w:pos="1155"/>
              </w:tabs>
              <w:snapToGrid w:val="0"/>
              <w:spacing w:line="300" w:lineRule="exact"/>
              <w:ind w:firstLine="0" w:firstLineChars="0"/>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严重性</w:t>
            </w:r>
          </w:p>
        </w:tc>
        <w:tc>
          <w:tcPr>
            <w:tcW w:w="1440" w:type="dxa"/>
            <w:vMerge w:val="restart"/>
            <w:tcBorders>
              <w:top w:val="single" w:color="auto" w:sz="4" w:space="0"/>
              <w:left w:val="single" w:color="auto" w:sz="4" w:space="0"/>
              <w:right w:val="single" w:color="auto" w:sz="4" w:space="0"/>
            </w:tcBorders>
            <w:noWrap w:val="0"/>
            <w:vAlign w:val="center"/>
          </w:tcPr>
          <w:p w14:paraId="7010D04E">
            <w:pPr>
              <w:tabs>
                <w:tab w:val="left" w:pos="18"/>
              </w:tabs>
              <w:snapToGrid w:val="0"/>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危险性程度（风险等级）</w:t>
            </w:r>
          </w:p>
        </w:tc>
        <w:tc>
          <w:tcPr>
            <w:tcW w:w="1080" w:type="dxa"/>
            <w:vMerge w:val="restart"/>
            <w:tcBorders>
              <w:top w:val="single" w:color="auto" w:sz="4" w:space="0"/>
              <w:left w:val="single" w:color="auto" w:sz="4" w:space="0"/>
              <w:right w:val="single" w:color="auto" w:sz="4" w:space="0"/>
            </w:tcBorders>
            <w:noWrap w:val="0"/>
            <w:vAlign w:val="center"/>
          </w:tcPr>
          <w:p w14:paraId="7AB98069">
            <w:pPr>
              <w:tabs>
                <w:tab w:val="left" w:pos="18"/>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影响范围</w:t>
            </w:r>
          </w:p>
        </w:tc>
      </w:tr>
      <w:tr w14:paraId="4265D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468" w:type="dxa"/>
            <w:vMerge w:val="continue"/>
            <w:tcBorders>
              <w:left w:val="single" w:color="auto" w:sz="4" w:space="0"/>
              <w:bottom w:val="single" w:color="auto" w:sz="4" w:space="0"/>
              <w:right w:val="single" w:color="auto" w:sz="4" w:space="0"/>
            </w:tcBorders>
            <w:noWrap w:val="0"/>
            <w:vAlign w:val="center"/>
          </w:tcPr>
          <w:p w14:paraId="737B1FFC">
            <w:pPr>
              <w:tabs>
                <w:tab w:val="left" w:pos="945"/>
                <w:tab w:val="left" w:pos="1155"/>
              </w:tabs>
              <w:snapToGrid w:val="0"/>
              <w:spacing w:line="300" w:lineRule="exact"/>
              <w:ind w:firstLine="420" w:firstLineChars="0"/>
              <w:jc w:val="center"/>
              <w:rPr>
                <w:rFonts w:ascii="Times New Roman" w:hAnsi="Times New Roman" w:eastAsia="宋体" w:cs="Times New Roman"/>
                <w:color w:val="auto"/>
                <w:sz w:val="21"/>
                <w:szCs w:val="21"/>
              </w:rPr>
            </w:pPr>
          </w:p>
        </w:tc>
        <w:tc>
          <w:tcPr>
            <w:tcW w:w="720" w:type="dxa"/>
            <w:vMerge w:val="continue"/>
            <w:tcBorders>
              <w:left w:val="single" w:color="auto" w:sz="4" w:space="0"/>
              <w:bottom w:val="single" w:color="auto" w:sz="4" w:space="0"/>
              <w:right w:val="single" w:color="auto" w:sz="4" w:space="0"/>
            </w:tcBorders>
            <w:noWrap w:val="0"/>
            <w:vAlign w:val="center"/>
          </w:tcPr>
          <w:p w14:paraId="120D2501">
            <w:pPr>
              <w:tabs>
                <w:tab w:val="left" w:pos="945"/>
                <w:tab w:val="left" w:pos="1155"/>
              </w:tabs>
              <w:snapToGrid w:val="0"/>
              <w:spacing w:line="300" w:lineRule="exact"/>
              <w:ind w:firstLine="420" w:firstLineChars="0"/>
              <w:jc w:val="center"/>
              <w:rPr>
                <w:rFonts w:ascii="Times New Roman" w:hAnsi="Times New Roman" w:eastAsia="宋体" w:cs="Times New Roman"/>
                <w:color w:val="auto"/>
                <w:sz w:val="21"/>
                <w:szCs w:val="21"/>
              </w:rPr>
            </w:pPr>
          </w:p>
        </w:tc>
        <w:tc>
          <w:tcPr>
            <w:tcW w:w="1764" w:type="dxa"/>
            <w:vMerge w:val="continue"/>
            <w:tcBorders>
              <w:left w:val="single" w:color="auto" w:sz="4" w:space="0"/>
              <w:bottom w:val="single" w:color="auto" w:sz="4" w:space="0"/>
              <w:right w:val="single" w:color="auto" w:sz="4" w:space="0"/>
            </w:tcBorders>
            <w:noWrap w:val="0"/>
            <w:vAlign w:val="center"/>
          </w:tcPr>
          <w:p w14:paraId="293854BC">
            <w:pPr>
              <w:tabs>
                <w:tab w:val="left" w:pos="945"/>
                <w:tab w:val="left" w:pos="1155"/>
              </w:tabs>
              <w:snapToGrid w:val="0"/>
              <w:spacing w:line="300" w:lineRule="exact"/>
              <w:ind w:firstLine="420" w:firstLineChars="0"/>
              <w:jc w:val="center"/>
              <w:rPr>
                <w:rFonts w:ascii="Times New Roman" w:hAnsi="Times New Roman" w:eastAsia="宋体" w:cs="Times New Roman"/>
                <w:color w:val="auto"/>
                <w:sz w:val="21"/>
                <w:szCs w:val="21"/>
              </w:rPr>
            </w:pPr>
          </w:p>
        </w:tc>
        <w:tc>
          <w:tcPr>
            <w:tcW w:w="1260" w:type="dxa"/>
            <w:vMerge w:val="continue"/>
            <w:tcBorders>
              <w:left w:val="single" w:color="auto" w:sz="4" w:space="0"/>
              <w:bottom w:val="single" w:color="auto" w:sz="4" w:space="0"/>
              <w:right w:val="single" w:color="auto" w:sz="4" w:space="0"/>
            </w:tcBorders>
            <w:noWrap w:val="0"/>
            <w:vAlign w:val="center"/>
          </w:tcPr>
          <w:p w14:paraId="2A433BE5">
            <w:pPr>
              <w:tabs>
                <w:tab w:val="left" w:pos="945"/>
                <w:tab w:val="left" w:pos="1155"/>
              </w:tabs>
              <w:snapToGrid w:val="0"/>
              <w:spacing w:line="300" w:lineRule="exact"/>
              <w:ind w:firstLine="420" w:firstLineChars="0"/>
              <w:jc w:val="center"/>
              <w:rPr>
                <w:rFonts w:ascii="Times New Roman" w:hAnsi="Times New Roman" w:eastAsia="宋体" w:cs="Times New Roman"/>
                <w:color w:val="auto"/>
                <w:sz w:val="21"/>
                <w:szCs w:val="21"/>
              </w:rPr>
            </w:pPr>
          </w:p>
        </w:tc>
        <w:tc>
          <w:tcPr>
            <w:tcW w:w="360" w:type="dxa"/>
            <w:tcBorders>
              <w:top w:val="single" w:color="auto" w:sz="4" w:space="0"/>
              <w:left w:val="single" w:color="auto" w:sz="4" w:space="0"/>
              <w:bottom w:val="single" w:color="auto" w:sz="4" w:space="0"/>
              <w:right w:val="single" w:color="auto" w:sz="4" w:space="0"/>
            </w:tcBorders>
            <w:noWrap w:val="0"/>
            <w:vAlign w:val="center"/>
          </w:tcPr>
          <w:p w14:paraId="53E0219A">
            <w:pPr>
              <w:tabs>
                <w:tab w:val="left" w:pos="945"/>
                <w:tab w:val="left" w:pos="1155"/>
              </w:tabs>
              <w:snapToGrid w:val="0"/>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L</w:t>
            </w:r>
          </w:p>
        </w:tc>
        <w:tc>
          <w:tcPr>
            <w:tcW w:w="451" w:type="dxa"/>
            <w:tcBorders>
              <w:top w:val="single" w:color="auto" w:sz="4" w:space="0"/>
              <w:left w:val="single" w:color="auto" w:sz="4" w:space="0"/>
              <w:bottom w:val="single" w:color="auto" w:sz="4" w:space="0"/>
              <w:right w:val="single" w:color="auto" w:sz="4" w:space="0"/>
            </w:tcBorders>
            <w:noWrap w:val="0"/>
            <w:vAlign w:val="center"/>
          </w:tcPr>
          <w:p w14:paraId="3E838B8B">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S</w:t>
            </w:r>
          </w:p>
        </w:tc>
        <w:tc>
          <w:tcPr>
            <w:tcW w:w="449" w:type="dxa"/>
            <w:tcBorders>
              <w:top w:val="single" w:color="auto" w:sz="4" w:space="0"/>
              <w:left w:val="single" w:color="auto" w:sz="4" w:space="0"/>
              <w:bottom w:val="single" w:color="auto" w:sz="4" w:space="0"/>
              <w:right w:val="single" w:color="auto" w:sz="4" w:space="0"/>
            </w:tcBorders>
            <w:noWrap w:val="0"/>
            <w:vAlign w:val="center"/>
          </w:tcPr>
          <w:p w14:paraId="6A93C85F">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R</w:t>
            </w:r>
          </w:p>
        </w:tc>
        <w:tc>
          <w:tcPr>
            <w:tcW w:w="900" w:type="dxa"/>
            <w:vMerge w:val="continue"/>
            <w:tcBorders>
              <w:left w:val="single" w:color="auto" w:sz="4" w:space="0"/>
              <w:bottom w:val="single" w:color="auto" w:sz="4" w:space="0"/>
              <w:right w:val="single" w:color="auto" w:sz="4" w:space="0"/>
            </w:tcBorders>
            <w:noWrap w:val="0"/>
            <w:vAlign w:val="center"/>
          </w:tcPr>
          <w:p w14:paraId="20A46BA4">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p>
        </w:tc>
        <w:tc>
          <w:tcPr>
            <w:tcW w:w="900" w:type="dxa"/>
            <w:vMerge w:val="continue"/>
            <w:tcBorders>
              <w:left w:val="single" w:color="auto" w:sz="4" w:space="0"/>
              <w:bottom w:val="single" w:color="auto" w:sz="4" w:space="0"/>
              <w:right w:val="single" w:color="auto" w:sz="4" w:space="0"/>
            </w:tcBorders>
            <w:noWrap w:val="0"/>
            <w:vAlign w:val="center"/>
          </w:tcPr>
          <w:p w14:paraId="5406BAEC">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p>
        </w:tc>
        <w:tc>
          <w:tcPr>
            <w:tcW w:w="1440" w:type="dxa"/>
            <w:vMerge w:val="continue"/>
            <w:tcBorders>
              <w:left w:val="single" w:color="auto" w:sz="4" w:space="0"/>
              <w:bottom w:val="single" w:color="auto" w:sz="4" w:space="0"/>
              <w:right w:val="single" w:color="auto" w:sz="4" w:space="0"/>
            </w:tcBorders>
            <w:noWrap w:val="0"/>
            <w:vAlign w:val="center"/>
          </w:tcPr>
          <w:p w14:paraId="4BE90AC9">
            <w:pPr>
              <w:tabs>
                <w:tab w:val="left" w:pos="18"/>
              </w:tabs>
              <w:snapToGrid w:val="0"/>
              <w:spacing w:line="300" w:lineRule="exact"/>
              <w:ind w:firstLine="420" w:firstLineChars="0"/>
              <w:jc w:val="center"/>
              <w:rPr>
                <w:rFonts w:ascii="Times New Roman" w:hAnsi="Times New Roman" w:eastAsia="宋体" w:cs="Times New Roman"/>
                <w:color w:val="auto"/>
                <w:sz w:val="21"/>
                <w:szCs w:val="21"/>
              </w:rPr>
            </w:pPr>
          </w:p>
        </w:tc>
        <w:tc>
          <w:tcPr>
            <w:tcW w:w="1080" w:type="dxa"/>
            <w:vMerge w:val="continue"/>
            <w:tcBorders>
              <w:left w:val="single" w:color="auto" w:sz="4" w:space="0"/>
              <w:bottom w:val="single" w:color="auto" w:sz="4" w:space="0"/>
              <w:right w:val="single" w:color="auto" w:sz="4" w:space="0"/>
            </w:tcBorders>
            <w:noWrap w:val="0"/>
            <w:vAlign w:val="center"/>
          </w:tcPr>
          <w:p w14:paraId="7F83E81F">
            <w:pPr>
              <w:tabs>
                <w:tab w:val="left" w:pos="18"/>
              </w:tabs>
              <w:snapToGrid w:val="0"/>
              <w:spacing w:line="300" w:lineRule="exact"/>
              <w:ind w:firstLine="420" w:firstLineChars="0"/>
              <w:jc w:val="center"/>
              <w:rPr>
                <w:rFonts w:ascii="Times New Roman" w:hAnsi="Times New Roman" w:eastAsia="宋体" w:cs="Times New Roman"/>
                <w:color w:val="auto"/>
                <w:sz w:val="21"/>
                <w:szCs w:val="21"/>
              </w:rPr>
            </w:pPr>
          </w:p>
        </w:tc>
      </w:tr>
      <w:tr w14:paraId="2973C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356DF53">
            <w:pPr>
              <w:tabs>
                <w:tab w:val="left" w:pos="945"/>
                <w:tab w:val="left" w:pos="1155"/>
              </w:tabs>
              <w:snapToGrid w:val="0"/>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720" w:type="dxa"/>
            <w:vMerge w:val="restart"/>
            <w:tcBorders>
              <w:top w:val="single" w:color="auto" w:sz="4" w:space="0"/>
              <w:left w:val="single" w:color="auto" w:sz="4" w:space="0"/>
              <w:right w:val="single" w:color="auto" w:sz="4" w:space="0"/>
            </w:tcBorders>
            <w:shd w:val="clear" w:color="auto" w:fill="auto"/>
            <w:noWrap w:val="0"/>
            <w:vAlign w:val="center"/>
          </w:tcPr>
          <w:p w14:paraId="6CB86BBC">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宋体" w:eastAsia="宋体" w:cs="Times New Roman"/>
                <w:b w:val="0"/>
                <w:bCs/>
                <w:color w:val="auto"/>
                <w:kern w:val="2"/>
                <w:sz w:val="21"/>
                <w:szCs w:val="21"/>
                <w:lang w:val="en-US" w:eastAsia="zh-CN" w:bidi="ar-SA"/>
              </w:rPr>
              <w:t>辅助设施</w:t>
            </w:r>
          </w:p>
        </w:tc>
        <w:tc>
          <w:tcPr>
            <w:tcW w:w="17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00F1CAD">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道路宽度、坡度、路面不符合要求</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C20E60A">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车辆</w:t>
            </w:r>
          </w:p>
          <w:p w14:paraId="59AEDBB3">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伤害</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36D676A">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45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BE098F8">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44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6AFDD27">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12</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F2FAD63">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EFCDE6">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一般</w:t>
            </w:r>
          </w:p>
        </w:tc>
        <w:tc>
          <w:tcPr>
            <w:tcW w:w="144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097C72B6">
            <w:pPr>
              <w:tabs>
                <w:tab w:val="left" w:pos="18"/>
              </w:tabs>
              <w:snapToGrid w:val="0"/>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Ⅲ级</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3F0C64D6">
            <w:pPr>
              <w:tabs>
                <w:tab w:val="left" w:pos="18"/>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宋体" w:eastAsia="宋体" w:cs="Times New Roman"/>
                <w:color w:val="auto"/>
                <w:sz w:val="21"/>
                <w:szCs w:val="21"/>
              </w:rPr>
              <w:t>局部道路</w:t>
            </w:r>
          </w:p>
        </w:tc>
      </w:tr>
      <w:tr w14:paraId="1A0D1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E7F00E9">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720" w:type="dxa"/>
            <w:vMerge w:val="continue"/>
            <w:tcBorders>
              <w:left w:val="single" w:color="auto" w:sz="4" w:space="0"/>
              <w:right w:val="single" w:color="auto" w:sz="4" w:space="0"/>
            </w:tcBorders>
            <w:shd w:val="clear" w:color="auto" w:fill="auto"/>
            <w:noWrap w:val="0"/>
            <w:vAlign w:val="center"/>
          </w:tcPr>
          <w:p w14:paraId="789C446F">
            <w:pPr>
              <w:widowControl/>
              <w:spacing w:line="300" w:lineRule="exact"/>
              <w:ind w:firstLine="0" w:firstLineChars="0"/>
              <w:jc w:val="center"/>
              <w:rPr>
                <w:rFonts w:hint="eastAsia" w:ascii="Times New Roman" w:hAnsi="宋体" w:eastAsia="宋体" w:cs="Times New Roman"/>
                <w:b w:val="0"/>
                <w:bCs/>
                <w:color w:val="auto"/>
                <w:kern w:val="2"/>
                <w:sz w:val="21"/>
                <w:szCs w:val="21"/>
                <w:lang w:val="en-US" w:eastAsia="zh-CN" w:bidi="ar-SA"/>
              </w:rPr>
            </w:pPr>
          </w:p>
        </w:tc>
        <w:tc>
          <w:tcPr>
            <w:tcW w:w="17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6EB9937">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道路、坝体、滩面、排水井、其他地段照明不足</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91C9EAA">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可能造成夜间巡查不畅或高处坠落</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A2FDC9C">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45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8D9A3C2">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44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61EE2B2">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8</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FFEF37">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963770">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轻微</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7D73126D">
            <w:pPr>
              <w:spacing w:line="300" w:lineRule="exact"/>
              <w:ind w:firstLine="0" w:firstLineChars="0"/>
              <w:jc w:val="center"/>
              <w:rPr>
                <w:rFonts w:ascii="Times New Roman" w:hAnsi="Times New Roman" w:eastAsia="宋体" w:cs="Times New Roman"/>
                <w:color w:val="auto"/>
                <w:sz w:val="21"/>
              </w:rPr>
            </w:pPr>
            <w:r>
              <w:rPr>
                <w:rFonts w:ascii="Times New Roman" w:hAnsi="Times New Roman" w:eastAsia="宋体" w:cs="Times New Roman"/>
                <w:color w:val="auto"/>
                <w:sz w:val="21"/>
                <w:szCs w:val="21"/>
              </w:rPr>
              <w:t>Ⅳ级</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4E8EE99B">
            <w:pPr>
              <w:tabs>
                <w:tab w:val="left" w:pos="18"/>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宋体" w:eastAsia="宋体" w:cs="Times New Roman"/>
                <w:color w:val="auto"/>
                <w:sz w:val="21"/>
                <w:szCs w:val="21"/>
              </w:rPr>
              <w:t>局部区域</w:t>
            </w:r>
          </w:p>
        </w:tc>
      </w:tr>
      <w:tr w14:paraId="64A8B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27C1366">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720" w:type="dxa"/>
            <w:vMerge w:val="continue"/>
            <w:tcBorders>
              <w:left w:val="single" w:color="auto" w:sz="4" w:space="0"/>
              <w:right w:val="single" w:color="auto" w:sz="4" w:space="0"/>
            </w:tcBorders>
            <w:shd w:val="clear" w:color="auto" w:fill="auto"/>
            <w:noWrap w:val="0"/>
            <w:vAlign w:val="center"/>
          </w:tcPr>
          <w:p w14:paraId="7F105566">
            <w:pPr>
              <w:widowControl/>
              <w:spacing w:line="300" w:lineRule="exact"/>
              <w:ind w:firstLine="0" w:firstLineChars="0"/>
              <w:jc w:val="center"/>
              <w:rPr>
                <w:rFonts w:hint="eastAsia" w:ascii="Times New Roman" w:hAnsi="宋体" w:eastAsia="宋体" w:cs="Times New Roman"/>
                <w:b w:val="0"/>
                <w:bCs/>
                <w:color w:val="auto"/>
                <w:kern w:val="2"/>
                <w:sz w:val="21"/>
                <w:szCs w:val="21"/>
                <w:lang w:val="en-US" w:eastAsia="zh-CN" w:bidi="ar-SA"/>
              </w:rPr>
            </w:pPr>
          </w:p>
        </w:tc>
        <w:tc>
          <w:tcPr>
            <w:tcW w:w="17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60257FA">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未配备通讯设备，或通讯设备维护不当，无法使用</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EC5B811">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预警</w:t>
            </w:r>
          </w:p>
          <w:p w14:paraId="53DE1E93">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不及时</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7CAC549">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45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28F5549">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44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3555716">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8</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87B5923">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E2BFD4">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轻微</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68928EC3">
            <w:pPr>
              <w:spacing w:line="300" w:lineRule="exact"/>
              <w:ind w:firstLine="0" w:firstLineChars="0"/>
              <w:jc w:val="center"/>
              <w:rPr>
                <w:rFonts w:ascii="Times New Roman" w:hAnsi="Times New Roman" w:eastAsia="宋体" w:cs="Times New Roman"/>
                <w:color w:val="auto"/>
                <w:sz w:val="21"/>
              </w:rPr>
            </w:pPr>
            <w:r>
              <w:rPr>
                <w:rFonts w:hint="eastAsia" w:ascii="宋体" w:hAnsi="宋体" w:eastAsia="宋体" w:cs="宋体"/>
                <w:color w:val="auto"/>
                <w:sz w:val="21"/>
                <w:szCs w:val="21"/>
              </w:rPr>
              <w:t>Ⅳ</w:t>
            </w:r>
            <w:r>
              <w:rPr>
                <w:rFonts w:ascii="Times New Roman" w:hAnsi="Times New Roman" w:eastAsia="宋体" w:cs="Times New Roman"/>
                <w:color w:val="auto"/>
                <w:sz w:val="21"/>
                <w:szCs w:val="21"/>
              </w:rPr>
              <w:t>级</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6650F2DD">
            <w:pPr>
              <w:tabs>
                <w:tab w:val="left" w:pos="18"/>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宋体" w:eastAsia="宋体" w:cs="Times New Roman"/>
                <w:color w:val="auto"/>
                <w:sz w:val="21"/>
                <w:szCs w:val="21"/>
              </w:rPr>
              <w:t>库区</w:t>
            </w:r>
          </w:p>
        </w:tc>
      </w:tr>
      <w:tr w14:paraId="4B6FA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CB8C5DE">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720" w:type="dxa"/>
            <w:vMerge w:val="continue"/>
            <w:tcBorders>
              <w:left w:val="single" w:color="auto" w:sz="4" w:space="0"/>
              <w:right w:val="single" w:color="auto" w:sz="4" w:space="0"/>
            </w:tcBorders>
            <w:shd w:val="clear" w:color="auto" w:fill="auto"/>
            <w:noWrap w:val="0"/>
            <w:vAlign w:val="center"/>
          </w:tcPr>
          <w:p w14:paraId="521803DB">
            <w:pPr>
              <w:widowControl/>
              <w:spacing w:line="300" w:lineRule="exact"/>
              <w:ind w:firstLine="0" w:firstLineChars="0"/>
              <w:jc w:val="center"/>
              <w:rPr>
                <w:rFonts w:hint="eastAsia" w:ascii="Times New Roman" w:hAnsi="宋体" w:eastAsia="宋体" w:cs="Times New Roman"/>
                <w:b w:val="0"/>
                <w:bCs/>
                <w:color w:val="auto"/>
                <w:kern w:val="2"/>
                <w:sz w:val="21"/>
                <w:szCs w:val="21"/>
                <w:lang w:val="en-US" w:eastAsia="zh-CN" w:bidi="ar-SA"/>
              </w:rPr>
            </w:pPr>
          </w:p>
        </w:tc>
        <w:tc>
          <w:tcPr>
            <w:tcW w:w="17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DDC6615">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道路陡峭和关键部位无安全护栏、安全标志</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E64819">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高处坠落</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5A7AF5A">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45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0746B09">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44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BD1CFB4">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12</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77E6E8A">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B272A4">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较严重</w:t>
            </w:r>
          </w:p>
        </w:tc>
        <w:tc>
          <w:tcPr>
            <w:tcW w:w="144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4D71CFEC">
            <w:pPr>
              <w:tabs>
                <w:tab w:val="left" w:pos="18"/>
              </w:tabs>
              <w:snapToGrid w:val="0"/>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Ⅲ级</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64B0206C">
            <w:pPr>
              <w:tabs>
                <w:tab w:val="left" w:pos="18"/>
              </w:tabs>
              <w:snapToGrid w:val="0"/>
              <w:spacing w:line="300" w:lineRule="exact"/>
              <w:ind w:firstLine="0" w:firstLineChars="0"/>
              <w:rPr>
                <w:rFonts w:hint="eastAsia" w:ascii="Times New Roman" w:hAnsi="Times New Roman" w:eastAsia="宋体" w:cs="Times New Roman"/>
                <w:color w:val="auto"/>
                <w:sz w:val="21"/>
                <w:szCs w:val="21"/>
              </w:rPr>
            </w:pPr>
            <w:r>
              <w:rPr>
                <w:rFonts w:hint="eastAsia" w:ascii="Times New Roman" w:hAnsi="宋体" w:eastAsia="宋体" w:cs="Times New Roman"/>
                <w:color w:val="auto"/>
                <w:sz w:val="21"/>
                <w:szCs w:val="21"/>
              </w:rPr>
              <w:t>局部区域</w:t>
            </w:r>
          </w:p>
        </w:tc>
      </w:tr>
      <w:tr w14:paraId="0EA72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AC0B6F1">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5</w:t>
            </w:r>
          </w:p>
        </w:tc>
        <w:tc>
          <w:tcPr>
            <w:tcW w:w="720" w:type="dxa"/>
            <w:vMerge w:val="continue"/>
            <w:tcBorders>
              <w:left w:val="single" w:color="auto" w:sz="4" w:space="0"/>
              <w:right w:val="single" w:color="auto" w:sz="4" w:space="0"/>
            </w:tcBorders>
            <w:shd w:val="clear" w:color="auto" w:fill="auto"/>
            <w:noWrap w:val="0"/>
            <w:vAlign w:val="center"/>
          </w:tcPr>
          <w:p w14:paraId="75EC3963">
            <w:pPr>
              <w:widowControl/>
              <w:spacing w:line="300" w:lineRule="exact"/>
              <w:ind w:firstLine="0" w:firstLineChars="0"/>
              <w:jc w:val="center"/>
              <w:rPr>
                <w:rFonts w:hint="eastAsia" w:ascii="Times New Roman" w:hAnsi="宋体" w:eastAsia="宋体" w:cs="Times New Roman"/>
                <w:b w:val="0"/>
                <w:bCs/>
                <w:color w:val="auto"/>
                <w:kern w:val="2"/>
                <w:sz w:val="21"/>
                <w:szCs w:val="21"/>
                <w:lang w:val="en-US" w:eastAsia="zh-CN" w:bidi="ar-SA"/>
              </w:rPr>
            </w:pPr>
          </w:p>
        </w:tc>
        <w:tc>
          <w:tcPr>
            <w:tcW w:w="17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AF73F8E">
            <w:pPr>
              <w:widowControl/>
              <w:spacing w:line="300" w:lineRule="exact"/>
              <w:ind w:firstLine="0" w:firstLineChars="0"/>
              <w:jc w:val="left"/>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挖掘机、车辆行驶中刹车失灵</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A8E7598">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机械</w:t>
            </w:r>
          </w:p>
          <w:p w14:paraId="0B20AFE6">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伤害</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9AFCEAD">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45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731E77A">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44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C316ADA">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12</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D3F74F5">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04D36C9">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较严重</w:t>
            </w:r>
          </w:p>
        </w:tc>
        <w:tc>
          <w:tcPr>
            <w:tcW w:w="144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3DAE1747">
            <w:pPr>
              <w:tabs>
                <w:tab w:val="left" w:pos="18"/>
              </w:tabs>
              <w:snapToGrid w:val="0"/>
              <w:spacing w:line="300" w:lineRule="exact"/>
              <w:ind w:firstLine="0" w:firstLineChars="0"/>
              <w:jc w:val="center"/>
              <w:rPr>
                <w:rFonts w:ascii="Times New Roman" w:hAnsi="Times New Roman" w:eastAsia="宋体" w:cs="Times New Roman"/>
                <w:color w:val="auto"/>
                <w:sz w:val="21"/>
                <w:szCs w:val="21"/>
              </w:rPr>
            </w:pPr>
            <w:r>
              <w:rPr>
                <w:rFonts w:hint="eastAsia" w:ascii="宋体" w:hAnsi="宋体" w:eastAsia="宋体" w:cs="宋体"/>
                <w:color w:val="auto"/>
                <w:sz w:val="21"/>
                <w:szCs w:val="21"/>
              </w:rPr>
              <w:t>Ⅲ</w:t>
            </w:r>
            <w:r>
              <w:rPr>
                <w:rFonts w:ascii="Times New Roman" w:hAnsi="Times New Roman" w:eastAsia="宋体" w:cs="Times New Roman"/>
                <w:color w:val="auto"/>
                <w:sz w:val="21"/>
                <w:szCs w:val="21"/>
              </w:rPr>
              <w:t>级</w:t>
            </w:r>
          </w:p>
        </w:tc>
        <w:tc>
          <w:tcPr>
            <w:tcW w:w="1080" w:type="dxa"/>
            <w:tcBorders>
              <w:top w:val="single" w:color="auto" w:sz="4" w:space="0"/>
              <w:left w:val="single" w:color="auto" w:sz="4" w:space="0"/>
              <w:bottom w:val="single" w:color="auto" w:sz="4" w:space="0"/>
              <w:right w:val="single" w:color="auto" w:sz="4" w:space="0"/>
            </w:tcBorders>
            <w:noWrap w:val="0"/>
            <w:vAlign w:val="top"/>
          </w:tcPr>
          <w:p w14:paraId="7F9EA8CD">
            <w:pPr>
              <w:tabs>
                <w:tab w:val="left" w:pos="18"/>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宋体" w:eastAsia="宋体" w:cs="Times New Roman"/>
                <w:color w:val="auto"/>
                <w:sz w:val="21"/>
                <w:szCs w:val="21"/>
              </w:rPr>
              <w:t>局部道路</w:t>
            </w:r>
          </w:p>
        </w:tc>
      </w:tr>
      <w:tr w14:paraId="107E6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8A06CF1">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w:t>
            </w:r>
          </w:p>
        </w:tc>
        <w:tc>
          <w:tcPr>
            <w:tcW w:w="720" w:type="dxa"/>
            <w:vMerge w:val="continue"/>
            <w:tcBorders>
              <w:left w:val="single" w:color="auto" w:sz="4" w:space="0"/>
              <w:right w:val="single" w:color="auto" w:sz="4" w:space="0"/>
            </w:tcBorders>
            <w:shd w:val="clear" w:color="auto" w:fill="auto"/>
            <w:noWrap w:val="0"/>
            <w:vAlign w:val="center"/>
          </w:tcPr>
          <w:p w14:paraId="2BE232B3">
            <w:pPr>
              <w:widowControl/>
              <w:spacing w:line="300" w:lineRule="exact"/>
              <w:ind w:firstLine="0" w:firstLineChars="0"/>
              <w:jc w:val="center"/>
              <w:rPr>
                <w:rFonts w:hint="eastAsia" w:ascii="Times New Roman" w:hAnsi="宋体" w:eastAsia="宋体" w:cs="Times New Roman"/>
                <w:b w:val="0"/>
                <w:bCs/>
                <w:color w:val="auto"/>
                <w:kern w:val="2"/>
                <w:sz w:val="21"/>
                <w:szCs w:val="21"/>
                <w:lang w:val="en-US" w:eastAsia="zh-CN" w:bidi="ar-SA"/>
              </w:rPr>
            </w:pPr>
          </w:p>
        </w:tc>
        <w:tc>
          <w:tcPr>
            <w:tcW w:w="17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325BE54">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值班房、应急物资库、电气设备失火</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F3CDC9">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火灾</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EB82AD4">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45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BFBA4DE">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44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C05032C">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8</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1FF3527">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328A3E0">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一般</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3608C65F">
            <w:pPr>
              <w:spacing w:line="300" w:lineRule="exact"/>
              <w:ind w:firstLine="0" w:firstLineChars="0"/>
              <w:jc w:val="center"/>
              <w:rPr>
                <w:rFonts w:ascii="Times New Roman" w:hAnsi="Times New Roman" w:eastAsia="宋体" w:cs="Times New Roman"/>
                <w:color w:val="auto"/>
                <w:sz w:val="21"/>
              </w:rPr>
            </w:pPr>
            <w:r>
              <w:rPr>
                <w:rFonts w:hint="eastAsia" w:ascii="宋体" w:hAnsi="宋体" w:eastAsia="宋体" w:cs="宋体"/>
                <w:color w:val="auto"/>
                <w:sz w:val="21"/>
                <w:szCs w:val="21"/>
              </w:rPr>
              <w:t>Ⅳ</w:t>
            </w:r>
            <w:r>
              <w:rPr>
                <w:rFonts w:ascii="Times New Roman" w:hAnsi="Times New Roman" w:eastAsia="宋体" w:cs="Times New Roman"/>
                <w:color w:val="auto"/>
                <w:sz w:val="21"/>
                <w:szCs w:val="21"/>
              </w:rPr>
              <w:t>级</w:t>
            </w:r>
          </w:p>
        </w:tc>
        <w:tc>
          <w:tcPr>
            <w:tcW w:w="1080" w:type="dxa"/>
            <w:tcBorders>
              <w:top w:val="single" w:color="auto" w:sz="4" w:space="0"/>
              <w:left w:val="single" w:color="auto" w:sz="4" w:space="0"/>
              <w:bottom w:val="single" w:color="auto" w:sz="4" w:space="0"/>
              <w:right w:val="single" w:color="auto" w:sz="4" w:space="0"/>
            </w:tcBorders>
            <w:noWrap w:val="0"/>
            <w:vAlign w:val="top"/>
          </w:tcPr>
          <w:p w14:paraId="6AB74AD9">
            <w:pPr>
              <w:spacing w:line="300" w:lineRule="exact"/>
              <w:ind w:firstLine="0" w:firstLineChars="0"/>
              <w:jc w:val="center"/>
              <w:rPr>
                <w:rFonts w:ascii="Times New Roman" w:hAnsi="Times New Roman" w:eastAsia="宋体" w:cs="Times New Roman"/>
                <w:color w:val="auto"/>
                <w:sz w:val="21"/>
              </w:rPr>
            </w:pPr>
            <w:r>
              <w:rPr>
                <w:rFonts w:hint="eastAsia" w:ascii="Times New Roman" w:hAnsi="宋体" w:eastAsia="宋体" w:cs="Times New Roman"/>
                <w:color w:val="auto"/>
                <w:sz w:val="21"/>
                <w:szCs w:val="21"/>
              </w:rPr>
              <w:t>局部库房</w:t>
            </w:r>
          </w:p>
        </w:tc>
      </w:tr>
      <w:tr w14:paraId="56AB9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ECDBA7C">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7</w:t>
            </w:r>
          </w:p>
        </w:tc>
        <w:tc>
          <w:tcPr>
            <w:tcW w:w="720" w:type="dxa"/>
            <w:vMerge w:val="continue"/>
            <w:tcBorders>
              <w:left w:val="single" w:color="auto" w:sz="4" w:space="0"/>
              <w:right w:val="single" w:color="auto" w:sz="4" w:space="0"/>
            </w:tcBorders>
            <w:shd w:val="clear" w:color="auto" w:fill="auto"/>
            <w:noWrap w:val="0"/>
            <w:vAlign w:val="center"/>
          </w:tcPr>
          <w:p w14:paraId="368FB897">
            <w:pPr>
              <w:widowControl/>
              <w:spacing w:line="300" w:lineRule="exact"/>
              <w:ind w:firstLine="0" w:firstLineChars="0"/>
              <w:jc w:val="center"/>
              <w:rPr>
                <w:rFonts w:hint="eastAsia" w:ascii="Times New Roman" w:hAnsi="宋体" w:eastAsia="宋体" w:cs="Times New Roman"/>
                <w:b w:val="0"/>
                <w:bCs/>
                <w:color w:val="auto"/>
                <w:kern w:val="2"/>
                <w:sz w:val="21"/>
                <w:szCs w:val="21"/>
                <w:lang w:val="en-US" w:eastAsia="zh-CN" w:bidi="ar-SA"/>
              </w:rPr>
            </w:pPr>
          </w:p>
        </w:tc>
        <w:tc>
          <w:tcPr>
            <w:tcW w:w="17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C2DB2A">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安全标志、避灾线路标识缺失或不齐</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D0C9186">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无法预知安全风险</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8004E6A">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45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267F36C">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44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2C82D8">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8</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1DBB59B">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D589865">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轻微</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6A5641CF">
            <w:pPr>
              <w:spacing w:line="300" w:lineRule="exact"/>
              <w:ind w:firstLine="0" w:firstLineChars="0"/>
              <w:jc w:val="center"/>
              <w:rPr>
                <w:rFonts w:ascii="Times New Roman" w:hAnsi="Times New Roman" w:eastAsia="宋体" w:cs="Times New Roman"/>
                <w:color w:val="auto"/>
                <w:sz w:val="21"/>
              </w:rPr>
            </w:pPr>
            <w:r>
              <w:rPr>
                <w:rFonts w:hint="eastAsia" w:ascii="宋体" w:hAnsi="宋体" w:eastAsia="宋体" w:cs="宋体"/>
                <w:color w:val="auto"/>
                <w:sz w:val="21"/>
                <w:szCs w:val="21"/>
              </w:rPr>
              <w:t>Ⅳ</w:t>
            </w:r>
            <w:r>
              <w:rPr>
                <w:rFonts w:ascii="Times New Roman" w:hAnsi="Times New Roman" w:eastAsia="宋体" w:cs="Times New Roman"/>
                <w:color w:val="auto"/>
                <w:sz w:val="21"/>
                <w:szCs w:val="21"/>
              </w:rPr>
              <w:t>级</w:t>
            </w:r>
          </w:p>
        </w:tc>
        <w:tc>
          <w:tcPr>
            <w:tcW w:w="1080" w:type="dxa"/>
            <w:tcBorders>
              <w:top w:val="single" w:color="auto" w:sz="4" w:space="0"/>
              <w:left w:val="single" w:color="auto" w:sz="4" w:space="0"/>
              <w:bottom w:val="single" w:color="auto" w:sz="4" w:space="0"/>
              <w:right w:val="single" w:color="auto" w:sz="4" w:space="0"/>
            </w:tcBorders>
            <w:noWrap w:val="0"/>
            <w:vAlign w:val="top"/>
          </w:tcPr>
          <w:p w14:paraId="4867A893">
            <w:pPr>
              <w:spacing w:line="300" w:lineRule="exact"/>
              <w:ind w:firstLine="0" w:firstLineChars="0"/>
              <w:jc w:val="center"/>
              <w:rPr>
                <w:rFonts w:hint="eastAsia" w:ascii="Times New Roman" w:hAnsi="宋体" w:eastAsia="宋体" w:cs="Times New Roman"/>
                <w:color w:val="auto"/>
                <w:sz w:val="21"/>
                <w:szCs w:val="21"/>
              </w:rPr>
            </w:pPr>
            <w:r>
              <w:rPr>
                <w:rFonts w:hint="eastAsia" w:ascii="Times New Roman" w:hAnsi="宋体" w:eastAsia="宋体" w:cs="Times New Roman"/>
                <w:color w:val="auto"/>
                <w:sz w:val="21"/>
                <w:szCs w:val="21"/>
              </w:rPr>
              <w:t>库区</w:t>
            </w:r>
          </w:p>
        </w:tc>
      </w:tr>
      <w:tr w14:paraId="160AC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5E7DC2E">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8</w:t>
            </w:r>
          </w:p>
        </w:tc>
        <w:tc>
          <w:tcPr>
            <w:tcW w:w="720" w:type="dxa"/>
            <w:vMerge w:val="continue"/>
            <w:tcBorders>
              <w:left w:val="single" w:color="auto" w:sz="4" w:space="0"/>
              <w:right w:val="single" w:color="auto" w:sz="4" w:space="0"/>
            </w:tcBorders>
            <w:shd w:val="clear" w:color="auto" w:fill="auto"/>
            <w:noWrap w:val="0"/>
            <w:vAlign w:val="center"/>
          </w:tcPr>
          <w:p w14:paraId="48BCBE56">
            <w:pPr>
              <w:widowControl/>
              <w:spacing w:line="300" w:lineRule="exact"/>
              <w:ind w:firstLine="0" w:firstLineChars="0"/>
              <w:jc w:val="center"/>
              <w:rPr>
                <w:rFonts w:hint="eastAsia" w:ascii="Times New Roman" w:hAnsi="宋体" w:eastAsia="宋体" w:cs="Times New Roman"/>
                <w:b w:val="0"/>
                <w:bCs/>
                <w:color w:val="auto"/>
                <w:kern w:val="2"/>
                <w:sz w:val="21"/>
                <w:szCs w:val="21"/>
                <w:lang w:val="en-US" w:eastAsia="zh-CN" w:bidi="ar-SA"/>
              </w:rPr>
            </w:pPr>
          </w:p>
        </w:tc>
        <w:tc>
          <w:tcPr>
            <w:tcW w:w="17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38F9796">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库房受洪水冲击，或大雪压垮</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8588D8">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垮塌</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DA71AED">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45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C199C06">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44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2DEB8F">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15AEC77">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可能性小</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0DCD97B">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较严重</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6EEEBE35">
            <w:pPr>
              <w:spacing w:line="300" w:lineRule="exact"/>
              <w:ind w:firstLine="0" w:firstLineChars="0"/>
              <w:jc w:val="center"/>
              <w:rPr>
                <w:rFonts w:ascii="Times New Roman" w:hAnsi="Times New Roman" w:eastAsia="宋体" w:cs="Times New Roman"/>
                <w:color w:val="auto"/>
                <w:sz w:val="21"/>
              </w:rPr>
            </w:pPr>
            <w:r>
              <w:rPr>
                <w:rFonts w:hint="eastAsia" w:ascii="宋体" w:hAnsi="宋体" w:eastAsia="宋体" w:cs="宋体"/>
                <w:color w:val="auto"/>
                <w:sz w:val="21"/>
                <w:szCs w:val="21"/>
              </w:rPr>
              <w:t>Ⅳ</w:t>
            </w:r>
            <w:r>
              <w:rPr>
                <w:rFonts w:ascii="Times New Roman" w:hAnsi="Times New Roman" w:eastAsia="宋体" w:cs="Times New Roman"/>
                <w:color w:val="auto"/>
                <w:sz w:val="21"/>
                <w:szCs w:val="21"/>
              </w:rPr>
              <w:t>级</w:t>
            </w:r>
          </w:p>
        </w:tc>
        <w:tc>
          <w:tcPr>
            <w:tcW w:w="1080" w:type="dxa"/>
            <w:tcBorders>
              <w:top w:val="single" w:color="auto" w:sz="4" w:space="0"/>
              <w:left w:val="single" w:color="auto" w:sz="4" w:space="0"/>
              <w:bottom w:val="single" w:color="auto" w:sz="4" w:space="0"/>
              <w:right w:val="single" w:color="auto" w:sz="4" w:space="0"/>
            </w:tcBorders>
            <w:noWrap w:val="0"/>
            <w:vAlign w:val="top"/>
          </w:tcPr>
          <w:p w14:paraId="29A40928">
            <w:pPr>
              <w:spacing w:line="300" w:lineRule="exact"/>
              <w:ind w:firstLine="0" w:firstLineChars="0"/>
              <w:jc w:val="center"/>
              <w:rPr>
                <w:rFonts w:hint="eastAsia" w:ascii="Times New Roman" w:hAnsi="宋体" w:eastAsia="宋体" w:cs="Times New Roman"/>
                <w:color w:val="auto"/>
                <w:sz w:val="21"/>
                <w:szCs w:val="21"/>
              </w:rPr>
            </w:pPr>
            <w:r>
              <w:rPr>
                <w:rFonts w:hint="eastAsia" w:ascii="Times New Roman" w:hAnsi="宋体" w:eastAsia="宋体" w:cs="Times New Roman"/>
                <w:color w:val="auto"/>
                <w:sz w:val="21"/>
                <w:szCs w:val="21"/>
              </w:rPr>
              <w:t>局部库房</w:t>
            </w:r>
          </w:p>
        </w:tc>
      </w:tr>
      <w:tr w14:paraId="0F092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4510A28">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9</w:t>
            </w:r>
          </w:p>
        </w:tc>
        <w:tc>
          <w:tcPr>
            <w:tcW w:w="720" w:type="dxa"/>
            <w:vMerge w:val="continue"/>
            <w:tcBorders>
              <w:left w:val="single" w:color="auto" w:sz="4" w:space="0"/>
              <w:right w:val="single" w:color="auto" w:sz="4" w:space="0"/>
            </w:tcBorders>
            <w:shd w:val="clear" w:color="auto" w:fill="auto"/>
            <w:noWrap w:val="0"/>
            <w:vAlign w:val="center"/>
          </w:tcPr>
          <w:p w14:paraId="014DAEA8">
            <w:pPr>
              <w:widowControl/>
              <w:spacing w:line="300" w:lineRule="exact"/>
              <w:ind w:firstLine="0" w:firstLineChars="0"/>
              <w:jc w:val="center"/>
              <w:rPr>
                <w:rFonts w:hint="eastAsia" w:ascii="Times New Roman" w:hAnsi="宋体" w:eastAsia="宋体" w:cs="Times New Roman"/>
                <w:b w:val="0"/>
                <w:bCs/>
                <w:color w:val="auto"/>
                <w:kern w:val="2"/>
                <w:sz w:val="21"/>
                <w:szCs w:val="21"/>
                <w:lang w:val="en-US" w:eastAsia="zh-CN" w:bidi="ar-SA"/>
              </w:rPr>
            </w:pPr>
          </w:p>
        </w:tc>
        <w:tc>
          <w:tcPr>
            <w:tcW w:w="17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93EFD3E">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应急物资缺失或不齐</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CF439A3">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救援资源不足</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6191FF6">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45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85D7A4E">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44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44936A5">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16</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29B572A">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E71AB3">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严重</w:t>
            </w:r>
          </w:p>
        </w:tc>
        <w:tc>
          <w:tcPr>
            <w:tcW w:w="1440"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2D80CB01">
            <w:pPr>
              <w:tabs>
                <w:tab w:val="left" w:pos="18"/>
              </w:tabs>
              <w:snapToGrid w:val="0"/>
              <w:spacing w:line="300" w:lineRule="exact"/>
              <w:ind w:firstLine="0" w:firstLineChars="0"/>
              <w:jc w:val="center"/>
              <w:rPr>
                <w:rFonts w:ascii="Times New Roman" w:hAnsi="Times New Roman" w:eastAsia="宋体" w:cs="Times New Roman"/>
                <w:color w:val="auto"/>
                <w:sz w:val="21"/>
                <w:szCs w:val="21"/>
              </w:rPr>
            </w:pPr>
            <w:r>
              <w:rPr>
                <w:rFonts w:hint="eastAsia" w:ascii="宋体" w:hAnsi="宋体" w:eastAsia="宋体" w:cs="宋体"/>
                <w:color w:val="auto"/>
                <w:sz w:val="21"/>
                <w:szCs w:val="21"/>
              </w:rPr>
              <w:t>Ⅱ</w:t>
            </w:r>
            <w:r>
              <w:rPr>
                <w:rFonts w:ascii="Times New Roman" w:hAnsi="Times New Roman" w:eastAsia="宋体" w:cs="Times New Roman"/>
                <w:color w:val="auto"/>
                <w:sz w:val="21"/>
                <w:szCs w:val="21"/>
              </w:rPr>
              <w:t>级</w:t>
            </w:r>
          </w:p>
        </w:tc>
        <w:tc>
          <w:tcPr>
            <w:tcW w:w="1080" w:type="dxa"/>
            <w:tcBorders>
              <w:top w:val="single" w:color="auto" w:sz="4" w:space="0"/>
              <w:left w:val="single" w:color="auto" w:sz="4" w:space="0"/>
              <w:bottom w:val="single" w:color="auto" w:sz="4" w:space="0"/>
              <w:right w:val="single" w:color="auto" w:sz="4" w:space="0"/>
            </w:tcBorders>
            <w:noWrap w:val="0"/>
            <w:vAlign w:val="top"/>
          </w:tcPr>
          <w:p w14:paraId="00B050F7">
            <w:pPr>
              <w:spacing w:line="300" w:lineRule="exact"/>
              <w:ind w:firstLine="0" w:firstLineChars="0"/>
              <w:jc w:val="center"/>
              <w:rPr>
                <w:rFonts w:hint="eastAsia" w:ascii="Times New Roman" w:hAnsi="宋体" w:eastAsia="宋体" w:cs="Times New Roman"/>
                <w:color w:val="auto"/>
                <w:sz w:val="21"/>
                <w:szCs w:val="21"/>
              </w:rPr>
            </w:pPr>
            <w:r>
              <w:rPr>
                <w:rFonts w:hint="eastAsia" w:ascii="Times New Roman" w:hAnsi="宋体" w:eastAsia="宋体" w:cs="Times New Roman"/>
                <w:color w:val="auto"/>
                <w:sz w:val="21"/>
                <w:szCs w:val="21"/>
              </w:rPr>
              <w:t>尾矿库</w:t>
            </w:r>
          </w:p>
        </w:tc>
      </w:tr>
    </w:tbl>
    <w:p w14:paraId="28848319">
      <w:pPr>
        <w:bidi w:val="0"/>
        <w:rPr>
          <w:rFonts w:hint="default"/>
          <w:color w:val="auto"/>
          <w:lang w:val="en-US" w:eastAsia="zh-CN"/>
        </w:rPr>
      </w:pPr>
      <w:r>
        <w:rPr>
          <w:rFonts w:hint="default"/>
          <w:color w:val="auto"/>
          <w:lang w:val="en-US" w:eastAsia="zh-CN"/>
        </w:rPr>
        <w:t>杨家店尾矿库周边环境LS法风险分析如下表：</w:t>
      </w:r>
    </w:p>
    <w:tbl>
      <w:tblPr>
        <w:tblStyle w:val="19"/>
        <w:tblpPr w:leftFromText="180" w:rightFromText="180" w:vertAnchor="text" w:horzAnchor="margin" w:tblpX="-216" w:tblpY="313"/>
        <w:tblW w:w="98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8"/>
        <w:gridCol w:w="720"/>
        <w:gridCol w:w="1620"/>
        <w:gridCol w:w="1260"/>
        <w:gridCol w:w="504"/>
        <w:gridCol w:w="360"/>
        <w:gridCol w:w="540"/>
        <w:gridCol w:w="756"/>
        <w:gridCol w:w="900"/>
        <w:gridCol w:w="1440"/>
        <w:gridCol w:w="1260"/>
      </w:tblGrid>
      <w:tr w14:paraId="42FDE1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468" w:type="dxa"/>
            <w:vMerge w:val="restart"/>
            <w:tcBorders>
              <w:top w:val="single" w:color="auto" w:sz="4" w:space="0"/>
              <w:left w:val="single" w:color="auto" w:sz="4" w:space="0"/>
              <w:right w:val="single" w:color="auto" w:sz="4" w:space="0"/>
            </w:tcBorders>
            <w:noWrap w:val="0"/>
            <w:vAlign w:val="center"/>
          </w:tcPr>
          <w:p w14:paraId="76738053">
            <w:pPr>
              <w:tabs>
                <w:tab w:val="left" w:pos="945"/>
                <w:tab w:val="left" w:pos="1155"/>
              </w:tabs>
              <w:snapToGrid w:val="0"/>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序号</w:t>
            </w:r>
          </w:p>
        </w:tc>
        <w:tc>
          <w:tcPr>
            <w:tcW w:w="720" w:type="dxa"/>
            <w:vMerge w:val="restart"/>
            <w:tcBorders>
              <w:top w:val="single" w:color="auto" w:sz="4" w:space="0"/>
              <w:left w:val="single" w:color="auto" w:sz="4" w:space="0"/>
              <w:right w:val="single" w:color="auto" w:sz="4" w:space="0"/>
            </w:tcBorders>
            <w:noWrap w:val="0"/>
            <w:vAlign w:val="center"/>
          </w:tcPr>
          <w:p w14:paraId="1D528659">
            <w:pPr>
              <w:tabs>
                <w:tab w:val="left" w:pos="945"/>
                <w:tab w:val="left" w:pos="1155"/>
              </w:tabs>
              <w:snapToGrid w:val="0"/>
              <w:spacing w:line="300" w:lineRule="exact"/>
              <w:ind w:firstLine="0" w:firstLineChars="0"/>
              <w:jc w:val="center"/>
              <w:rPr>
                <w:rFonts w:hint="eastAsia" w:ascii="Times New Roman" w:hAnsi="宋体" w:eastAsia="宋体" w:cs="Times New Roman"/>
                <w:color w:val="auto"/>
                <w:sz w:val="21"/>
                <w:szCs w:val="21"/>
              </w:rPr>
            </w:pPr>
            <w:r>
              <w:rPr>
                <w:rFonts w:hint="eastAsia" w:ascii="Times New Roman" w:hAnsi="宋体" w:eastAsia="宋体" w:cs="Times New Roman"/>
                <w:color w:val="auto"/>
                <w:sz w:val="21"/>
                <w:szCs w:val="21"/>
              </w:rPr>
              <w:t>单元/</w:t>
            </w:r>
          </w:p>
          <w:p w14:paraId="0626477D">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宋体" w:eastAsia="宋体" w:cs="Times New Roman"/>
                <w:color w:val="auto"/>
                <w:sz w:val="21"/>
                <w:szCs w:val="21"/>
              </w:rPr>
              <w:t>系统</w:t>
            </w:r>
          </w:p>
        </w:tc>
        <w:tc>
          <w:tcPr>
            <w:tcW w:w="1620" w:type="dxa"/>
            <w:vMerge w:val="restart"/>
            <w:tcBorders>
              <w:top w:val="single" w:color="auto" w:sz="4" w:space="0"/>
              <w:left w:val="single" w:color="auto" w:sz="4" w:space="0"/>
              <w:right w:val="single" w:color="auto" w:sz="4" w:space="0"/>
            </w:tcBorders>
            <w:noWrap w:val="0"/>
            <w:vAlign w:val="center"/>
          </w:tcPr>
          <w:p w14:paraId="588F6D77">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危险源</w:t>
            </w:r>
          </w:p>
          <w:p w14:paraId="05CC576A">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及风险</w:t>
            </w:r>
          </w:p>
        </w:tc>
        <w:tc>
          <w:tcPr>
            <w:tcW w:w="1260" w:type="dxa"/>
            <w:vMerge w:val="restart"/>
            <w:tcBorders>
              <w:top w:val="single" w:color="auto" w:sz="4" w:space="0"/>
              <w:left w:val="single" w:color="auto" w:sz="4" w:space="0"/>
              <w:right w:val="single" w:color="auto" w:sz="4" w:space="0"/>
            </w:tcBorders>
            <w:noWrap w:val="0"/>
            <w:vAlign w:val="center"/>
          </w:tcPr>
          <w:p w14:paraId="26837770">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可能后果</w:t>
            </w:r>
          </w:p>
        </w:tc>
        <w:tc>
          <w:tcPr>
            <w:tcW w:w="1404" w:type="dxa"/>
            <w:gridSpan w:val="3"/>
            <w:tcBorders>
              <w:top w:val="single" w:color="auto" w:sz="4" w:space="0"/>
              <w:left w:val="single" w:color="auto" w:sz="4" w:space="0"/>
              <w:bottom w:val="single" w:color="auto" w:sz="4" w:space="0"/>
              <w:right w:val="single" w:color="auto" w:sz="4" w:space="0"/>
            </w:tcBorders>
            <w:noWrap w:val="0"/>
            <w:vAlign w:val="center"/>
          </w:tcPr>
          <w:p w14:paraId="24829BD9">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ascii="Times New Roman" w:hAnsi="宋体" w:eastAsia="宋体" w:cs="Times New Roman"/>
                <w:color w:val="auto"/>
                <w:sz w:val="21"/>
                <w:szCs w:val="21"/>
              </w:rPr>
              <w:t>风险值</w:t>
            </w:r>
            <w:r>
              <w:rPr>
                <w:rFonts w:hint="eastAsia" w:ascii="Times New Roman" w:hAnsi="Times New Roman" w:eastAsia="宋体" w:cs="Times New Roman"/>
                <w:color w:val="auto"/>
                <w:sz w:val="21"/>
                <w:szCs w:val="21"/>
              </w:rPr>
              <w:t>R</w:t>
            </w:r>
            <w:r>
              <w:rPr>
                <w:rFonts w:ascii="Times New Roman" w:hAnsi="Times New Roman" w:eastAsia="宋体" w:cs="Times New Roman"/>
                <w:color w:val="auto"/>
                <w:sz w:val="21"/>
                <w:szCs w:val="21"/>
              </w:rPr>
              <w:t>=L·</w:t>
            </w:r>
            <w:r>
              <w:rPr>
                <w:rFonts w:hint="eastAsia" w:ascii="Times New Roman" w:hAnsi="Times New Roman" w:eastAsia="宋体" w:cs="Times New Roman"/>
                <w:color w:val="auto"/>
                <w:sz w:val="21"/>
                <w:szCs w:val="21"/>
              </w:rPr>
              <w:t>S</w:t>
            </w:r>
          </w:p>
        </w:tc>
        <w:tc>
          <w:tcPr>
            <w:tcW w:w="756" w:type="dxa"/>
            <w:vMerge w:val="restart"/>
            <w:tcBorders>
              <w:top w:val="single" w:color="auto" w:sz="4" w:space="0"/>
              <w:left w:val="single" w:color="auto" w:sz="4" w:space="0"/>
              <w:right w:val="single" w:color="auto" w:sz="4" w:space="0"/>
            </w:tcBorders>
            <w:noWrap w:val="0"/>
            <w:vAlign w:val="center"/>
          </w:tcPr>
          <w:p w14:paraId="5862B570">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可能性</w:t>
            </w:r>
          </w:p>
        </w:tc>
        <w:tc>
          <w:tcPr>
            <w:tcW w:w="900" w:type="dxa"/>
            <w:vMerge w:val="restart"/>
            <w:tcBorders>
              <w:top w:val="single" w:color="auto" w:sz="4" w:space="0"/>
              <w:left w:val="single" w:color="auto" w:sz="4" w:space="0"/>
              <w:right w:val="single" w:color="auto" w:sz="4" w:space="0"/>
            </w:tcBorders>
            <w:noWrap w:val="0"/>
            <w:vAlign w:val="center"/>
          </w:tcPr>
          <w:p w14:paraId="3C8EBA73">
            <w:pPr>
              <w:tabs>
                <w:tab w:val="left" w:pos="945"/>
                <w:tab w:val="left" w:pos="1155"/>
              </w:tabs>
              <w:snapToGrid w:val="0"/>
              <w:spacing w:line="300" w:lineRule="exact"/>
              <w:ind w:firstLine="0" w:firstLineChars="0"/>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严重性</w:t>
            </w:r>
          </w:p>
        </w:tc>
        <w:tc>
          <w:tcPr>
            <w:tcW w:w="1440" w:type="dxa"/>
            <w:vMerge w:val="restart"/>
            <w:tcBorders>
              <w:top w:val="single" w:color="auto" w:sz="4" w:space="0"/>
              <w:left w:val="single" w:color="auto" w:sz="4" w:space="0"/>
              <w:right w:val="single" w:color="auto" w:sz="4" w:space="0"/>
            </w:tcBorders>
            <w:noWrap w:val="0"/>
            <w:vAlign w:val="center"/>
          </w:tcPr>
          <w:p w14:paraId="5BEE1424">
            <w:pPr>
              <w:tabs>
                <w:tab w:val="left" w:pos="18"/>
              </w:tabs>
              <w:snapToGrid w:val="0"/>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危险性程度（风险等级）</w:t>
            </w:r>
          </w:p>
        </w:tc>
        <w:tc>
          <w:tcPr>
            <w:tcW w:w="1260" w:type="dxa"/>
            <w:vMerge w:val="restart"/>
            <w:tcBorders>
              <w:top w:val="single" w:color="auto" w:sz="4" w:space="0"/>
              <w:left w:val="single" w:color="auto" w:sz="4" w:space="0"/>
              <w:right w:val="single" w:color="auto" w:sz="4" w:space="0"/>
            </w:tcBorders>
            <w:noWrap w:val="0"/>
            <w:vAlign w:val="center"/>
          </w:tcPr>
          <w:p w14:paraId="1C1B47D6">
            <w:pPr>
              <w:tabs>
                <w:tab w:val="left" w:pos="18"/>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影响范围</w:t>
            </w:r>
          </w:p>
        </w:tc>
      </w:tr>
      <w:tr w14:paraId="4E09F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468" w:type="dxa"/>
            <w:vMerge w:val="continue"/>
            <w:tcBorders>
              <w:left w:val="single" w:color="auto" w:sz="4" w:space="0"/>
              <w:bottom w:val="single" w:color="auto" w:sz="4" w:space="0"/>
              <w:right w:val="single" w:color="auto" w:sz="4" w:space="0"/>
            </w:tcBorders>
            <w:noWrap w:val="0"/>
            <w:vAlign w:val="center"/>
          </w:tcPr>
          <w:p w14:paraId="4149F736">
            <w:pPr>
              <w:tabs>
                <w:tab w:val="left" w:pos="945"/>
                <w:tab w:val="left" w:pos="1155"/>
              </w:tabs>
              <w:snapToGrid w:val="0"/>
              <w:spacing w:line="300" w:lineRule="exact"/>
              <w:ind w:firstLine="420" w:firstLineChars="0"/>
              <w:jc w:val="center"/>
              <w:rPr>
                <w:rFonts w:ascii="Times New Roman" w:hAnsi="Times New Roman" w:eastAsia="宋体" w:cs="Times New Roman"/>
                <w:color w:val="auto"/>
                <w:sz w:val="21"/>
                <w:szCs w:val="21"/>
              </w:rPr>
            </w:pPr>
          </w:p>
        </w:tc>
        <w:tc>
          <w:tcPr>
            <w:tcW w:w="720" w:type="dxa"/>
            <w:vMerge w:val="continue"/>
            <w:tcBorders>
              <w:left w:val="single" w:color="auto" w:sz="4" w:space="0"/>
              <w:bottom w:val="single" w:color="auto" w:sz="4" w:space="0"/>
              <w:right w:val="single" w:color="auto" w:sz="4" w:space="0"/>
            </w:tcBorders>
            <w:noWrap w:val="0"/>
            <w:vAlign w:val="center"/>
          </w:tcPr>
          <w:p w14:paraId="10D2E606">
            <w:pPr>
              <w:tabs>
                <w:tab w:val="left" w:pos="945"/>
                <w:tab w:val="left" w:pos="1155"/>
              </w:tabs>
              <w:snapToGrid w:val="0"/>
              <w:spacing w:line="300" w:lineRule="exact"/>
              <w:ind w:firstLine="420" w:firstLineChars="0"/>
              <w:jc w:val="center"/>
              <w:rPr>
                <w:rFonts w:ascii="Times New Roman" w:hAnsi="Times New Roman" w:eastAsia="宋体" w:cs="Times New Roman"/>
                <w:color w:val="auto"/>
                <w:sz w:val="21"/>
                <w:szCs w:val="21"/>
              </w:rPr>
            </w:pPr>
          </w:p>
        </w:tc>
        <w:tc>
          <w:tcPr>
            <w:tcW w:w="1620" w:type="dxa"/>
            <w:vMerge w:val="continue"/>
            <w:tcBorders>
              <w:left w:val="single" w:color="auto" w:sz="4" w:space="0"/>
              <w:bottom w:val="single" w:color="auto" w:sz="4" w:space="0"/>
              <w:right w:val="single" w:color="auto" w:sz="4" w:space="0"/>
            </w:tcBorders>
            <w:noWrap w:val="0"/>
            <w:vAlign w:val="center"/>
          </w:tcPr>
          <w:p w14:paraId="064AED27">
            <w:pPr>
              <w:tabs>
                <w:tab w:val="left" w:pos="945"/>
                <w:tab w:val="left" w:pos="1155"/>
              </w:tabs>
              <w:snapToGrid w:val="0"/>
              <w:spacing w:line="300" w:lineRule="exact"/>
              <w:ind w:firstLine="420" w:firstLineChars="0"/>
              <w:jc w:val="center"/>
              <w:rPr>
                <w:rFonts w:ascii="Times New Roman" w:hAnsi="Times New Roman" w:eastAsia="宋体" w:cs="Times New Roman"/>
                <w:color w:val="auto"/>
                <w:sz w:val="21"/>
                <w:szCs w:val="21"/>
              </w:rPr>
            </w:pPr>
          </w:p>
        </w:tc>
        <w:tc>
          <w:tcPr>
            <w:tcW w:w="1260" w:type="dxa"/>
            <w:vMerge w:val="continue"/>
            <w:tcBorders>
              <w:left w:val="single" w:color="auto" w:sz="4" w:space="0"/>
              <w:bottom w:val="single" w:color="auto" w:sz="4" w:space="0"/>
              <w:right w:val="single" w:color="auto" w:sz="4" w:space="0"/>
            </w:tcBorders>
            <w:noWrap w:val="0"/>
            <w:vAlign w:val="center"/>
          </w:tcPr>
          <w:p w14:paraId="596D2045">
            <w:pPr>
              <w:tabs>
                <w:tab w:val="left" w:pos="945"/>
                <w:tab w:val="left" w:pos="1155"/>
              </w:tabs>
              <w:snapToGrid w:val="0"/>
              <w:spacing w:line="300" w:lineRule="exact"/>
              <w:ind w:firstLine="420" w:firstLineChars="0"/>
              <w:jc w:val="center"/>
              <w:rPr>
                <w:rFonts w:ascii="Times New Roman" w:hAnsi="Times New Roman" w:eastAsia="宋体" w:cs="Times New Roman"/>
                <w:color w:val="auto"/>
                <w:sz w:val="21"/>
                <w:szCs w:val="21"/>
              </w:rPr>
            </w:pPr>
          </w:p>
        </w:tc>
        <w:tc>
          <w:tcPr>
            <w:tcW w:w="504" w:type="dxa"/>
            <w:tcBorders>
              <w:top w:val="single" w:color="auto" w:sz="4" w:space="0"/>
              <w:left w:val="single" w:color="auto" w:sz="4" w:space="0"/>
              <w:bottom w:val="single" w:color="auto" w:sz="4" w:space="0"/>
              <w:right w:val="single" w:color="auto" w:sz="4" w:space="0"/>
            </w:tcBorders>
            <w:noWrap w:val="0"/>
            <w:vAlign w:val="center"/>
          </w:tcPr>
          <w:p w14:paraId="46D2C780">
            <w:pPr>
              <w:tabs>
                <w:tab w:val="left" w:pos="945"/>
                <w:tab w:val="left" w:pos="1155"/>
              </w:tabs>
              <w:snapToGrid w:val="0"/>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L</w:t>
            </w:r>
          </w:p>
        </w:tc>
        <w:tc>
          <w:tcPr>
            <w:tcW w:w="360" w:type="dxa"/>
            <w:tcBorders>
              <w:top w:val="single" w:color="auto" w:sz="4" w:space="0"/>
              <w:left w:val="single" w:color="auto" w:sz="4" w:space="0"/>
              <w:bottom w:val="single" w:color="auto" w:sz="4" w:space="0"/>
              <w:right w:val="single" w:color="auto" w:sz="4" w:space="0"/>
            </w:tcBorders>
            <w:noWrap w:val="0"/>
            <w:vAlign w:val="center"/>
          </w:tcPr>
          <w:p w14:paraId="4A000ABB">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S</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7EF8E4EF">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R</w:t>
            </w:r>
          </w:p>
        </w:tc>
        <w:tc>
          <w:tcPr>
            <w:tcW w:w="756" w:type="dxa"/>
            <w:vMerge w:val="continue"/>
            <w:tcBorders>
              <w:left w:val="single" w:color="auto" w:sz="4" w:space="0"/>
              <w:bottom w:val="single" w:color="auto" w:sz="4" w:space="0"/>
              <w:right w:val="single" w:color="auto" w:sz="4" w:space="0"/>
            </w:tcBorders>
            <w:noWrap w:val="0"/>
            <w:vAlign w:val="center"/>
          </w:tcPr>
          <w:p w14:paraId="37F0599C">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p>
        </w:tc>
        <w:tc>
          <w:tcPr>
            <w:tcW w:w="900" w:type="dxa"/>
            <w:vMerge w:val="continue"/>
            <w:tcBorders>
              <w:left w:val="single" w:color="auto" w:sz="4" w:space="0"/>
              <w:bottom w:val="single" w:color="auto" w:sz="4" w:space="0"/>
              <w:right w:val="single" w:color="auto" w:sz="4" w:space="0"/>
            </w:tcBorders>
            <w:noWrap w:val="0"/>
            <w:vAlign w:val="center"/>
          </w:tcPr>
          <w:p w14:paraId="517FA199">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p>
        </w:tc>
        <w:tc>
          <w:tcPr>
            <w:tcW w:w="1440" w:type="dxa"/>
            <w:vMerge w:val="continue"/>
            <w:tcBorders>
              <w:left w:val="single" w:color="auto" w:sz="4" w:space="0"/>
              <w:bottom w:val="single" w:color="auto" w:sz="4" w:space="0"/>
              <w:right w:val="single" w:color="auto" w:sz="4" w:space="0"/>
            </w:tcBorders>
            <w:noWrap w:val="0"/>
            <w:vAlign w:val="center"/>
          </w:tcPr>
          <w:p w14:paraId="1ABD77F4">
            <w:pPr>
              <w:tabs>
                <w:tab w:val="left" w:pos="18"/>
              </w:tabs>
              <w:snapToGrid w:val="0"/>
              <w:spacing w:line="300" w:lineRule="exact"/>
              <w:ind w:firstLine="420" w:firstLineChars="0"/>
              <w:jc w:val="center"/>
              <w:rPr>
                <w:rFonts w:ascii="Times New Roman" w:hAnsi="Times New Roman" w:eastAsia="宋体" w:cs="Times New Roman"/>
                <w:color w:val="auto"/>
                <w:sz w:val="21"/>
                <w:szCs w:val="21"/>
              </w:rPr>
            </w:pPr>
          </w:p>
        </w:tc>
        <w:tc>
          <w:tcPr>
            <w:tcW w:w="1260" w:type="dxa"/>
            <w:vMerge w:val="continue"/>
            <w:tcBorders>
              <w:left w:val="single" w:color="auto" w:sz="4" w:space="0"/>
              <w:bottom w:val="single" w:color="auto" w:sz="4" w:space="0"/>
              <w:right w:val="single" w:color="auto" w:sz="4" w:space="0"/>
            </w:tcBorders>
            <w:noWrap w:val="0"/>
            <w:vAlign w:val="center"/>
          </w:tcPr>
          <w:p w14:paraId="43FCC219">
            <w:pPr>
              <w:tabs>
                <w:tab w:val="left" w:pos="18"/>
              </w:tabs>
              <w:snapToGrid w:val="0"/>
              <w:spacing w:line="300" w:lineRule="exact"/>
              <w:ind w:firstLine="420" w:firstLineChars="0"/>
              <w:jc w:val="center"/>
              <w:rPr>
                <w:rFonts w:ascii="Times New Roman" w:hAnsi="Times New Roman" w:eastAsia="宋体" w:cs="Times New Roman"/>
                <w:color w:val="auto"/>
                <w:sz w:val="21"/>
                <w:szCs w:val="21"/>
              </w:rPr>
            </w:pPr>
          </w:p>
        </w:tc>
      </w:tr>
      <w:tr w14:paraId="6361E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5C3F6DB">
            <w:pPr>
              <w:tabs>
                <w:tab w:val="left" w:pos="945"/>
                <w:tab w:val="left" w:pos="1155"/>
              </w:tabs>
              <w:snapToGrid w:val="0"/>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720" w:type="dxa"/>
            <w:vMerge w:val="restart"/>
            <w:tcBorders>
              <w:top w:val="single" w:color="auto" w:sz="4" w:space="0"/>
              <w:left w:val="single" w:color="auto" w:sz="4" w:space="0"/>
              <w:right w:val="single" w:color="auto" w:sz="4" w:space="0"/>
            </w:tcBorders>
            <w:shd w:val="clear" w:color="auto" w:fill="auto"/>
            <w:noWrap w:val="0"/>
            <w:vAlign w:val="center"/>
          </w:tcPr>
          <w:p w14:paraId="4EBFA695">
            <w:pPr>
              <w:widowControl/>
              <w:spacing w:line="300" w:lineRule="exact"/>
              <w:ind w:firstLine="0" w:firstLineChars="0"/>
              <w:jc w:val="center"/>
              <w:rPr>
                <w:rFonts w:hint="eastAsia" w:ascii="Times New Roman" w:hAnsi="宋体" w:eastAsia="宋体" w:cs="Times New Roman"/>
                <w:b w:val="0"/>
                <w:bCs/>
                <w:color w:val="auto"/>
                <w:kern w:val="2"/>
                <w:sz w:val="21"/>
                <w:szCs w:val="21"/>
                <w:lang w:val="en-US" w:eastAsia="zh-CN" w:bidi="ar-SA"/>
              </w:rPr>
            </w:pPr>
            <w:r>
              <w:rPr>
                <w:rFonts w:hint="eastAsia" w:ascii="Times New Roman" w:hAnsi="宋体" w:eastAsia="宋体" w:cs="Times New Roman"/>
                <w:b w:val="0"/>
                <w:bCs/>
                <w:color w:val="auto"/>
                <w:kern w:val="2"/>
                <w:sz w:val="21"/>
                <w:szCs w:val="21"/>
                <w:lang w:val="en-US" w:eastAsia="zh-CN" w:bidi="ar-SA"/>
              </w:rPr>
              <w:t>周边</w:t>
            </w:r>
          </w:p>
          <w:p w14:paraId="16A18E07">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宋体" w:eastAsia="宋体" w:cs="Times New Roman"/>
                <w:b w:val="0"/>
                <w:bCs/>
                <w:color w:val="auto"/>
                <w:kern w:val="2"/>
                <w:sz w:val="21"/>
                <w:szCs w:val="21"/>
                <w:lang w:val="en-US" w:eastAsia="zh-CN" w:bidi="ar-SA"/>
              </w:rPr>
              <w:t>环境</w:t>
            </w:r>
          </w:p>
        </w:tc>
        <w:tc>
          <w:tcPr>
            <w:tcW w:w="16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5C909F">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构筑物基础位于不良地质区域</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4C04FD">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塌陷、渗漏</w:t>
            </w:r>
          </w:p>
        </w:tc>
        <w:tc>
          <w:tcPr>
            <w:tcW w:w="50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638AD75">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B96C35A">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E6388D5">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75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8DA39F">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8F08638">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严重</w:t>
            </w:r>
          </w:p>
        </w:tc>
        <w:tc>
          <w:tcPr>
            <w:tcW w:w="1440"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2AD4BDAE">
            <w:pPr>
              <w:tabs>
                <w:tab w:val="left" w:pos="18"/>
              </w:tabs>
              <w:snapToGrid w:val="0"/>
              <w:spacing w:line="300" w:lineRule="exact"/>
              <w:ind w:firstLine="0" w:firstLineChars="0"/>
              <w:jc w:val="center"/>
              <w:rPr>
                <w:rFonts w:ascii="Times New Roman" w:hAnsi="Times New Roman" w:eastAsia="宋体" w:cs="Times New Roman"/>
                <w:color w:val="auto"/>
                <w:sz w:val="21"/>
                <w:szCs w:val="21"/>
              </w:rPr>
            </w:pPr>
            <w:r>
              <w:rPr>
                <w:rFonts w:hint="eastAsia" w:ascii="Times New Roman" w:hAnsi="宋体" w:eastAsia="宋体" w:cs="Times New Roman"/>
                <w:color w:val="auto"/>
                <w:sz w:val="21"/>
                <w:szCs w:val="21"/>
              </w:rPr>
              <w:t>Ⅱ</w:t>
            </w:r>
            <w:r>
              <w:rPr>
                <w:rFonts w:ascii="Times New Roman" w:hAnsi="宋体" w:eastAsia="宋体" w:cs="Times New Roman"/>
                <w:color w:val="auto"/>
                <w:sz w:val="21"/>
                <w:szCs w:val="21"/>
              </w:rPr>
              <w:t>级</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02504952">
            <w:pPr>
              <w:tabs>
                <w:tab w:val="left" w:pos="18"/>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尾矿坝、排水构筑物</w:t>
            </w:r>
          </w:p>
        </w:tc>
      </w:tr>
      <w:tr w14:paraId="08ED3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43B488A">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720" w:type="dxa"/>
            <w:vMerge w:val="continue"/>
            <w:tcBorders>
              <w:left w:val="single" w:color="auto" w:sz="4" w:space="0"/>
              <w:right w:val="single" w:color="auto" w:sz="4" w:space="0"/>
            </w:tcBorders>
            <w:shd w:val="clear" w:color="auto" w:fill="auto"/>
            <w:noWrap w:val="0"/>
            <w:vAlign w:val="center"/>
          </w:tcPr>
          <w:p w14:paraId="4C801AE9">
            <w:pPr>
              <w:widowControl/>
              <w:spacing w:line="300" w:lineRule="exact"/>
              <w:ind w:firstLine="0" w:firstLineChars="0"/>
              <w:jc w:val="center"/>
              <w:rPr>
                <w:rFonts w:hint="eastAsia" w:ascii="Times New Roman" w:hAnsi="宋体" w:eastAsia="宋体" w:cs="Times New Roman"/>
                <w:b w:val="0"/>
                <w:bCs/>
                <w:color w:val="auto"/>
                <w:kern w:val="2"/>
                <w:sz w:val="21"/>
                <w:szCs w:val="21"/>
                <w:lang w:val="en-US" w:eastAsia="zh-CN" w:bidi="ar-SA"/>
              </w:rPr>
            </w:pPr>
          </w:p>
        </w:tc>
        <w:tc>
          <w:tcPr>
            <w:tcW w:w="16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E950D76">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库区上游及周边松散体</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26EB96A">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泥石流、排洪系统失效或漫顶</w:t>
            </w:r>
          </w:p>
        </w:tc>
        <w:tc>
          <w:tcPr>
            <w:tcW w:w="50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A05FBA1">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C85B1D5">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DF63D95">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12</w:t>
            </w:r>
          </w:p>
        </w:tc>
        <w:tc>
          <w:tcPr>
            <w:tcW w:w="75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010BCF6">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7C7C73C">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严重</w:t>
            </w:r>
          </w:p>
        </w:tc>
        <w:tc>
          <w:tcPr>
            <w:tcW w:w="144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2EA16165">
            <w:pPr>
              <w:tabs>
                <w:tab w:val="left" w:pos="18"/>
              </w:tabs>
              <w:snapToGrid w:val="0"/>
              <w:spacing w:line="300" w:lineRule="exact"/>
              <w:ind w:firstLine="0" w:firstLineChars="0"/>
              <w:jc w:val="center"/>
              <w:rPr>
                <w:rFonts w:ascii="Times New Roman" w:hAnsi="Times New Roman" w:eastAsia="宋体" w:cs="Times New Roman"/>
                <w:color w:val="auto"/>
                <w:sz w:val="21"/>
                <w:szCs w:val="21"/>
              </w:rPr>
            </w:pPr>
            <w:r>
              <w:rPr>
                <w:rFonts w:hint="eastAsia" w:ascii="Times New Roman" w:hAnsi="宋体" w:eastAsia="宋体" w:cs="Times New Roman"/>
                <w:color w:val="auto"/>
                <w:sz w:val="21"/>
                <w:szCs w:val="21"/>
              </w:rPr>
              <w:t>Ⅲ</w:t>
            </w:r>
            <w:r>
              <w:rPr>
                <w:rFonts w:ascii="Times New Roman" w:hAnsi="宋体" w:eastAsia="宋体" w:cs="Times New Roman"/>
                <w:color w:val="auto"/>
                <w:sz w:val="21"/>
                <w:szCs w:val="21"/>
              </w:rPr>
              <w:t>级</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033DEF00">
            <w:pPr>
              <w:tabs>
                <w:tab w:val="left" w:pos="18"/>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库区</w:t>
            </w:r>
          </w:p>
        </w:tc>
      </w:tr>
      <w:tr w14:paraId="55675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2B51A8">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720" w:type="dxa"/>
            <w:vMerge w:val="continue"/>
            <w:tcBorders>
              <w:left w:val="single" w:color="auto" w:sz="4" w:space="0"/>
              <w:right w:val="single" w:color="auto" w:sz="4" w:space="0"/>
            </w:tcBorders>
            <w:shd w:val="clear" w:color="auto" w:fill="auto"/>
            <w:noWrap w:val="0"/>
            <w:vAlign w:val="center"/>
          </w:tcPr>
          <w:p w14:paraId="535CF9CD">
            <w:pPr>
              <w:widowControl/>
              <w:spacing w:line="300" w:lineRule="exact"/>
              <w:ind w:firstLine="0" w:firstLineChars="0"/>
              <w:jc w:val="center"/>
              <w:rPr>
                <w:rFonts w:hint="eastAsia" w:ascii="Times New Roman" w:hAnsi="宋体" w:eastAsia="宋体" w:cs="Times New Roman"/>
                <w:b w:val="0"/>
                <w:bCs/>
                <w:color w:val="auto"/>
                <w:kern w:val="2"/>
                <w:sz w:val="21"/>
                <w:szCs w:val="21"/>
                <w:lang w:val="en-US" w:eastAsia="zh-CN" w:bidi="ar-SA"/>
              </w:rPr>
            </w:pPr>
          </w:p>
        </w:tc>
        <w:tc>
          <w:tcPr>
            <w:tcW w:w="16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134F344">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山体滑坡、泥石流</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0F6F7CF">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排洪系统破坏、漫顶</w:t>
            </w:r>
          </w:p>
        </w:tc>
        <w:tc>
          <w:tcPr>
            <w:tcW w:w="50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6984C5B">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5CDA9D9">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BA4487">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12</w:t>
            </w:r>
          </w:p>
        </w:tc>
        <w:tc>
          <w:tcPr>
            <w:tcW w:w="75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F067C74">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9189CB">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严重</w:t>
            </w:r>
          </w:p>
        </w:tc>
        <w:tc>
          <w:tcPr>
            <w:tcW w:w="144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3F21B169">
            <w:pPr>
              <w:tabs>
                <w:tab w:val="left" w:pos="18"/>
              </w:tabs>
              <w:snapToGrid w:val="0"/>
              <w:spacing w:line="300" w:lineRule="exact"/>
              <w:ind w:firstLine="0" w:firstLineChars="0"/>
              <w:jc w:val="center"/>
              <w:rPr>
                <w:rFonts w:hint="eastAsia" w:ascii="Times New Roman" w:hAnsi="宋体" w:eastAsia="宋体" w:cs="Times New Roman"/>
                <w:color w:val="auto"/>
                <w:sz w:val="21"/>
                <w:szCs w:val="21"/>
              </w:rPr>
            </w:pPr>
            <w:r>
              <w:rPr>
                <w:rFonts w:hint="eastAsia" w:ascii="Times New Roman" w:hAnsi="宋体" w:eastAsia="宋体" w:cs="Times New Roman"/>
                <w:color w:val="auto"/>
                <w:sz w:val="21"/>
                <w:szCs w:val="21"/>
              </w:rPr>
              <w:t>Ⅲ级</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6621937C">
            <w:pPr>
              <w:tabs>
                <w:tab w:val="left" w:pos="18"/>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库区</w:t>
            </w:r>
          </w:p>
        </w:tc>
      </w:tr>
      <w:tr w14:paraId="233F9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79BFDCE">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720" w:type="dxa"/>
            <w:vMerge w:val="continue"/>
            <w:tcBorders>
              <w:left w:val="single" w:color="auto" w:sz="4" w:space="0"/>
              <w:right w:val="single" w:color="auto" w:sz="4" w:space="0"/>
            </w:tcBorders>
            <w:shd w:val="clear" w:color="auto" w:fill="auto"/>
            <w:noWrap w:val="0"/>
            <w:vAlign w:val="center"/>
          </w:tcPr>
          <w:p w14:paraId="16DB1EB0">
            <w:pPr>
              <w:widowControl/>
              <w:spacing w:line="300" w:lineRule="exact"/>
              <w:ind w:firstLine="0" w:firstLineChars="0"/>
              <w:jc w:val="center"/>
              <w:rPr>
                <w:rFonts w:hint="eastAsia" w:ascii="Times New Roman" w:hAnsi="宋体" w:eastAsia="宋体" w:cs="Times New Roman"/>
                <w:b w:val="0"/>
                <w:bCs/>
                <w:color w:val="auto"/>
                <w:kern w:val="2"/>
                <w:sz w:val="21"/>
                <w:szCs w:val="21"/>
                <w:lang w:val="en-US" w:eastAsia="zh-CN" w:bidi="ar-SA"/>
              </w:rPr>
            </w:pPr>
          </w:p>
        </w:tc>
        <w:tc>
          <w:tcPr>
            <w:tcW w:w="16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BBB76A7">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库区内采矿爆破</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4F1C6ED">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沙土液化</w:t>
            </w:r>
          </w:p>
        </w:tc>
        <w:tc>
          <w:tcPr>
            <w:tcW w:w="50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6FB52F">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1DDC5CC">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8FFA77A">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75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FCAD29C">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可能性小</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2EBF015">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较严重</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22C96424">
            <w:pPr>
              <w:tabs>
                <w:tab w:val="left" w:pos="18"/>
              </w:tabs>
              <w:snapToGrid w:val="0"/>
              <w:spacing w:line="300" w:lineRule="exact"/>
              <w:ind w:firstLine="0" w:firstLineChars="0"/>
              <w:jc w:val="center"/>
              <w:rPr>
                <w:rFonts w:hint="eastAsia" w:ascii="Times New Roman" w:hAnsi="宋体" w:eastAsia="宋体" w:cs="Times New Roman"/>
                <w:color w:val="auto"/>
                <w:sz w:val="21"/>
                <w:szCs w:val="21"/>
              </w:rPr>
            </w:pPr>
            <w:r>
              <w:rPr>
                <w:rFonts w:hint="eastAsia" w:ascii="Times New Roman" w:hAnsi="宋体" w:eastAsia="宋体" w:cs="Times New Roman"/>
                <w:color w:val="auto"/>
                <w:sz w:val="21"/>
                <w:szCs w:val="21"/>
              </w:rPr>
              <w:t>Ⅳ级</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40E6AD04">
            <w:pPr>
              <w:tabs>
                <w:tab w:val="left" w:pos="18"/>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库区</w:t>
            </w:r>
          </w:p>
        </w:tc>
      </w:tr>
      <w:tr w14:paraId="3A6A1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6E61F53">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5</w:t>
            </w:r>
          </w:p>
        </w:tc>
        <w:tc>
          <w:tcPr>
            <w:tcW w:w="720" w:type="dxa"/>
            <w:vMerge w:val="continue"/>
            <w:tcBorders>
              <w:left w:val="single" w:color="auto" w:sz="4" w:space="0"/>
              <w:right w:val="single" w:color="auto" w:sz="4" w:space="0"/>
            </w:tcBorders>
            <w:shd w:val="clear" w:color="auto" w:fill="auto"/>
            <w:noWrap w:val="0"/>
            <w:vAlign w:val="center"/>
          </w:tcPr>
          <w:p w14:paraId="45FD1E6A">
            <w:pPr>
              <w:widowControl/>
              <w:spacing w:line="300" w:lineRule="exact"/>
              <w:ind w:firstLine="0" w:firstLineChars="0"/>
              <w:jc w:val="center"/>
              <w:rPr>
                <w:rFonts w:hint="eastAsia" w:ascii="Times New Roman" w:hAnsi="宋体" w:eastAsia="宋体" w:cs="Times New Roman"/>
                <w:b w:val="0"/>
                <w:bCs/>
                <w:color w:val="auto"/>
                <w:kern w:val="2"/>
                <w:sz w:val="21"/>
                <w:szCs w:val="21"/>
                <w:lang w:val="en-US" w:eastAsia="zh-CN" w:bidi="ar-SA"/>
              </w:rPr>
            </w:pPr>
          </w:p>
        </w:tc>
        <w:tc>
          <w:tcPr>
            <w:tcW w:w="16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785690">
            <w:pPr>
              <w:widowControl/>
              <w:spacing w:line="300" w:lineRule="exact"/>
              <w:ind w:firstLine="0" w:firstLineChars="0"/>
              <w:jc w:val="left"/>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设计以外的尾矿、废料或废水入库</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85A8B5C">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缩短干滩长度或超高</w:t>
            </w:r>
          </w:p>
        </w:tc>
        <w:tc>
          <w:tcPr>
            <w:tcW w:w="50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F8B1289">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1733A10">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5</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B273C3">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10</w:t>
            </w:r>
          </w:p>
        </w:tc>
        <w:tc>
          <w:tcPr>
            <w:tcW w:w="75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16D722F">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可能小</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D2CC99C">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严重</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3E0BBD03">
            <w:pPr>
              <w:tabs>
                <w:tab w:val="left" w:pos="18"/>
              </w:tabs>
              <w:snapToGrid w:val="0"/>
              <w:spacing w:line="300" w:lineRule="exact"/>
              <w:ind w:firstLine="0" w:firstLineChars="0"/>
              <w:jc w:val="center"/>
              <w:rPr>
                <w:rFonts w:hint="eastAsia" w:ascii="Times New Roman" w:hAnsi="宋体" w:eastAsia="宋体" w:cs="Times New Roman"/>
                <w:color w:val="auto"/>
                <w:sz w:val="21"/>
                <w:szCs w:val="21"/>
              </w:rPr>
            </w:pPr>
            <w:r>
              <w:rPr>
                <w:rFonts w:hint="eastAsia" w:ascii="Times New Roman" w:hAnsi="宋体" w:eastAsia="宋体" w:cs="Times New Roman"/>
                <w:color w:val="auto"/>
                <w:sz w:val="21"/>
                <w:szCs w:val="21"/>
              </w:rPr>
              <w:t>Ⅳ</w:t>
            </w:r>
            <w:r>
              <w:rPr>
                <w:rFonts w:ascii="Times New Roman" w:hAnsi="宋体" w:eastAsia="宋体" w:cs="Times New Roman"/>
                <w:color w:val="auto"/>
                <w:sz w:val="21"/>
                <w:szCs w:val="21"/>
              </w:rPr>
              <w:t>级</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4ED1FF63">
            <w:pPr>
              <w:tabs>
                <w:tab w:val="left" w:pos="18"/>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库区</w:t>
            </w:r>
          </w:p>
        </w:tc>
      </w:tr>
      <w:tr w14:paraId="49AD4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21DCA2B">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w:t>
            </w:r>
          </w:p>
        </w:tc>
        <w:tc>
          <w:tcPr>
            <w:tcW w:w="720" w:type="dxa"/>
            <w:vMerge w:val="continue"/>
            <w:tcBorders>
              <w:left w:val="single" w:color="auto" w:sz="4" w:space="0"/>
              <w:right w:val="single" w:color="auto" w:sz="4" w:space="0"/>
            </w:tcBorders>
            <w:shd w:val="clear" w:color="auto" w:fill="auto"/>
            <w:noWrap w:val="0"/>
            <w:vAlign w:val="center"/>
          </w:tcPr>
          <w:p w14:paraId="382FE663">
            <w:pPr>
              <w:widowControl/>
              <w:spacing w:line="300" w:lineRule="exact"/>
              <w:ind w:firstLine="0" w:firstLineChars="0"/>
              <w:jc w:val="center"/>
              <w:rPr>
                <w:rFonts w:hint="eastAsia" w:ascii="Times New Roman" w:hAnsi="宋体" w:eastAsia="宋体" w:cs="Times New Roman"/>
                <w:b w:val="0"/>
                <w:bCs/>
                <w:color w:val="auto"/>
                <w:kern w:val="2"/>
                <w:sz w:val="21"/>
                <w:szCs w:val="21"/>
                <w:lang w:val="en-US" w:eastAsia="zh-CN" w:bidi="ar-SA"/>
              </w:rPr>
            </w:pPr>
          </w:p>
        </w:tc>
        <w:tc>
          <w:tcPr>
            <w:tcW w:w="16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A39C58F">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下游进行建设或增加设施</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DE06B1B">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增加溃坝危害程度</w:t>
            </w:r>
          </w:p>
        </w:tc>
        <w:tc>
          <w:tcPr>
            <w:tcW w:w="50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A7A2AF4">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69CBC94">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CFFEE7F">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12</w:t>
            </w:r>
          </w:p>
        </w:tc>
        <w:tc>
          <w:tcPr>
            <w:tcW w:w="75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8C19E13">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353A4C6">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较严重</w:t>
            </w:r>
          </w:p>
        </w:tc>
        <w:tc>
          <w:tcPr>
            <w:tcW w:w="144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4E342F0C">
            <w:pPr>
              <w:tabs>
                <w:tab w:val="left" w:pos="18"/>
              </w:tabs>
              <w:snapToGrid w:val="0"/>
              <w:spacing w:line="300" w:lineRule="exact"/>
              <w:ind w:firstLine="0" w:firstLineChars="0"/>
              <w:jc w:val="center"/>
              <w:rPr>
                <w:rFonts w:hint="eastAsia" w:ascii="Times New Roman" w:hAnsi="宋体" w:eastAsia="宋体" w:cs="Times New Roman"/>
                <w:color w:val="auto"/>
                <w:sz w:val="21"/>
                <w:szCs w:val="21"/>
              </w:rPr>
            </w:pPr>
            <w:r>
              <w:rPr>
                <w:rFonts w:hint="eastAsia" w:ascii="Times New Roman" w:hAnsi="宋体" w:eastAsia="宋体" w:cs="Times New Roman"/>
                <w:color w:val="auto"/>
                <w:sz w:val="21"/>
                <w:szCs w:val="21"/>
              </w:rPr>
              <w:t>Ⅲ</w:t>
            </w:r>
            <w:r>
              <w:rPr>
                <w:rFonts w:ascii="Times New Roman" w:hAnsi="宋体" w:eastAsia="宋体" w:cs="Times New Roman"/>
                <w:color w:val="auto"/>
                <w:sz w:val="21"/>
                <w:szCs w:val="21"/>
              </w:rPr>
              <w:t>级</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2DE6AFC6">
            <w:pPr>
              <w:spacing w:line="300" w:lineRule="exact"/>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szCs w:val="21"/>
              </w:rPr>
              <w:t>库下游</w:t>
            </w:r>
          </w:p>
        </w:tc>
      </w:tr>
    </w:tbl>
    <w:p w14:paraId="2A355B26">
      <w:pPr>
        <w:bidi w:val="0"/>
        <w:rPr>
          <w:rFonts w:hint="default"/>
          <w:color w:val="auto"/>
          <w:lang w:val="en-US" w:eastAsia="zh-CN"/>
        </w:rPr>
      </w:pPr>
      <w:r>
        <w:rPr>
          <w:rFonts w:hint="default"/>
          <w:color w:val="auto"/>
          <w:lang w:val="en-US" w:eastAsia="zh-CN"/>
        </w:rPr>
        <w:t>杨家店尾矿库安全管理LS法风险分析如下表：</w:t>
      </w:r>
    </w:p>
    <w:tbl>
      <w:tblPr>
        <w:tblStyle w:val="19"/>
        <w:tblpPr w:leftFromText="180" w:rightFromText="180" w:vertAnchor="text" w:horzAnchor="margin" w:tblpX="-468" w:tblpY="313"/>
        <w:tblW w:w="100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8"/>
        <w:gridCol w:w="720"/>
        <w:gridCol w:w="2016"/>
        <w:gridCol w:w="1260"/>
        <w:gridCol w:w="360"/>
        <w:gridCol w:w="360"/>
        <w:gridCol w:w="540"/>
        <w:gridCol w:w="900"/>
        <w:gridCol w:w="900"/>
        <w:gridCol w:w="1440"/>
        <w:gridCol w:w="1080"/>
      </w:tblGrid>
      <w:tr w14:paraId="0EFB5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468" w:type="dxa"/>
            <w:vMerge w:val="restart"/>
            <w:tcBorders>
              <w:top w:val="single" w:color="auto" w:sz="4" w:space="0"/>
              <w:left w:val="single" w:color="auto" w:sz="4" w:space="0"/>
              <w:right w:val="single" w:color="auto" w:sz="4" w:space="0"/>
            </w:tcBorders>
            <w:noWrap w:val="0"/>
            <w:vAlign w:val="center"/>
          </w:tcPr>
          <w:p w14:paraId="59070073">
            <w:pPr>
              <w:tabs>
                <w:tab w:val="left" w:pos="945"/>
                <w:tab w:val="left" w:pos="1155"/>
              </w:tabs>
              <w:snapToGrid w:val="0"/>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序号</w:t>
            </w:r>
          </w:p>
        </w:tc>
        <w:tc>
          <w:tcPr>
            <w:tcW w:w="720" w:type="dxa"/>
            <w:vMerge w:val="restart"/>
            <w:tcBorders>
              <w:top w:val="single" w:color="auto" w:sz="4" w:space="0"/>
              <w:left w:val="single" w:color="auto" w:sz="4" w:space="0"/>
              <w:right w:val="single" w:color="auto" w:sz="4" w:space="0"/>
            </w:tcBorders>
            <w:noWrap w:val="0"/>
            <w:vAlign w:val="center"/>
          </w:tcPr>
          <w:p w14:paraId="07A85952">
            <w:pPr>
              <w:tabs>
                <w:tab w:val="left" w:pos="945"/>
                <w:tab w:val="left" w:pos="1155"/>
              </w:tabs>
              <w:snapToGrid w:val="0"/>
              <w:spacing w:line="300" w:lineRule="exact"/>
              <w:ind w:firstLine="0" w:firstLineChars="0"/>
              <w:jc w:val="center"/>
              <w:rPr>
                <w:rFonts w:hint="eastAsia" w:ascii="Times New Roman" w:hAnsi="宋体" w:eastAsia="宋体" w:cs="Times New Roman"/>
                <w:color w:val="auto"/>
                <w:sz w:val="21"/>
                <w:szCs w:val="21"/>
              </w:rPr>
            </w:pPr>
            <w:r>
              <w:rPr>
                <w:rFonts w:hint="eastAsia" w:ascii="Times New Roman" w:hAnsi="宋体" w:eastAsia="宋体" w:cs="Times New Roman"/>
                <w:color w:val="auto"/>
                <w:sz w:val="21"/>
                <w:szCs w:val="21"/>
              </w:rPr>
              <w:t>单元/</w:t>
            </w:r>
          </w:p>
          <w:p w14:paraId="623FBA8C">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宋体" w:eastAsia="宋体" w:cs="Times New Roman"/>
                <w:color w:val="auto"/>
                <w:sz w:val="21"/>
                <w:szCs w:val="21"/>
              </w:rPr>
              <w:t>系统</w:t>
            </w:r>
          </w:p>
        </w:tc>
        <w:tc>
          <w:tcPr>
            <w:tcW w:w="2016" w:type="dxa"/>
            <w:vMerge w:val="restart"/>
            <w:tcBorders>
              <w:top w:val="single" w:color="auto" w:sz="4" w:space="0"/>
              <w:left w:val="single" w:color="auto" w:sz="4" w:space="0"/>
              <w:right w:val="single" w:color="auto" w:sz="4" w:space="0"/>
            </w:tcBorders>
            <w:noWrap w:val="0"/>
            <w:vAlign w:val="center"/>
          </w:tcPr>
          <w:p w14:paraId="43642F11">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危险源</w:t>
            </w:r>
          </w:p>
          <w:p w14:paraId="3C4ED84A">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及风险</w:t>
            </w:r>
          </w:p>
        </w:tc>
        <w:tc>
          <w:tcPr>
            <w:tcW w:w="1260" w:type="dxa"/>
            <w:vMerge w:val="restart"/>
            <w:tcBorders>
              <w:top w:val="single" w:color="auto" w:sz="4" w:space="0"/>
              <w:left w:val="single" w:color="auto" w:sz="4" w:space="0"/>
              <w:right w:val="single" w:color="auto" w:sz="4" w:space="0"/>
            </w:tcBorders>
            <w:noWrap w:val="0"/>
            <w:vAlign w:val="center"/>
          </w:tcPr>
          <w:p w14:paraId="27CDF368">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可能后果</w:t>
            </w:r>
          </w:p>
        </w:tc>
        <w:tc>
          <w:tcPr>
            <w:tcW w:w="1260" w:type="dxa"/>
            <w:gridSpan w:val="3"/>
            <w:tcBorders>
              <w:top w:val="single" w:color="auto" w:sz="4" w:space="0"/>
              <w:left w:val="single" w:color="auto" w:sz="4" w:space="0"/>
              <w:bottom w:val="single" w:color="auto" w:sz="4" w:space="0"/>
              <w:right w:val="single" w:color="auto" w:sz="4" w:space="0"/>
            </w:tcBorders>
            <w:noWrap w:val="0"/>
            <w:vAlign w:val="center"/>
          </w:tcPr>
          <w:p w14:paraId="3C98DE66">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ascii="Times New Roman" w:hAnsi="宋体" w:eastAsia="宋体" w:cs="Times New Roman"/>
                <w:color w:val="auto"/>
                <w:sz w:val="21"/>
                <w:szCs w:val="21"/>
              </w:rPr>
              <w:t>风险值</w:t>
            </w:r>
            <w:r>
              <w:rPr>
                <w:rFonts w:hint="eastAsia" w:ascii="Times New Roman" w:hAnsi="Times New Roman" w:eastAsia="宋体" w:cs="Times New Roman"/>
                <w:color w:val="auto"/>
                <w:sz w:val="21"/>
                <w:szCs w:val="21"/>
              </w:rPr>
              <w:t>R</w:t>
            </w:r>
            <w:r>
              <w:rPr>
                <w:rFonts w:ascii="Times New Roman" w:hAnsi="Times New Roman" w:eastAsia="宋体" w:cs="Times New Roman"/>
                <w:color w:val="auto"/>
                <w:sz w:val="21"/>
                <w:szCs w:val="21"/>
              </w:rPr>
              <w:t>=L·</w:t>
            </w:r>
            <w:r>
              <w:rPr>
                <w:rFonts w:hint="eastAsia" w:ascii="Times New Roman" w:hAnsi="Times New Roman" w:eastAsia="宋体" w:cs="Times New Roman"/>
                <w:color w:val="auto"/>
                <w:sz w:val="21"/>
                <w:szCs w:val="21"/>
              </w:rPr>
              <w:t>S</w:t>
            </w:r>
          </w:p>
        </w:tc>
        <w:tc>
          <w:tcPr>
            <w:tcW w:w="900" w:type="dxa"/>
            <w:vMerge w:val="restart"/>
            <w:tcBorders>
              <w:top w:val="single" w:color="auto" w:sz="4" w:space="0"/>
              <w:left w:val="single" w:color="auto" w:sz="4" w:space="0"/>
              <w:right w:val="single" w:color="auto" w:sz="4" w:space="0"/>
            </w:tcBorders>
            <w:noWrap w:val="0"/>
            <w:vAlign w:val="center"/>
          </w:tcPr>
          <w:p w14:paraId="3A122EBC">
            <w:pPr>
              <w:tabs>
                <w:tab w:val="left" w:pos="945"/>
                <w:tab w:val="left" w:pos="1155"/>
              </w:tabs>
              <w:snapToGrid w:val="0"/>
              <w:spacing w:line="300" w:lineRule="exact"/>
              <w:ind w:firstLine="0" w:firstLineChars="0"/>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可能性</w:t>
            </w:r>
          </w:p>
        </w:tc>
        <w:tc>
          <w:tcPr>
            <w:tcW w:w="900" w:type="dxa"/>
            <w:vMerge w:val="restart"/>
            <w:tcBorders>
              <w:top w:val="single" w:color="auto" w:sz="4" w:space="0"/>
              <w:left w:val="single" w:color="auto" w:sz="4" w:space="0"/>
              <w:right w:val="single" w:color="auto" w:sz="4" w:space="0"/>
            </w:tcBorders>
            <w:noWrap w:val="0"/>
            <w:vAlign w:val="center"/>
          </w:tcPr>
          <w:p w14:paraId="4A3B5CE5">
            <w:pPr>
              <w:tabs>
                <w:tab w:val="left" w:pos="945"/>
                <w:tab w:val="left" w:pos="1155"/>
              </w:tabs>
              <w:snapToGrid w:val="0"/>
              <w:spacing w:line="300" w:lineRule="exact"/>
              <w:ind w:firstLine="0" w:firstLineChars="0"/>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严重性</w:t>
            </w:r>
          </w:p>
        </w:tc>
        <w:tc>
          <w:tcPr>
            <w:tcW w:w="1440" w:type="dxa"/>
            <w:vMerge w:val="restart"/>
            <w:tcBorders>
              <w:top w:val="single" w:color="auto" w:sz="4" w:space="0"/>
              <w:left w:val="single" w:color="auto" w:sz="4" w:space="0"/>
              <w:right w:val="single" w:color="auto" w:sz="4" w:space="0"/>
            </w:tcBorders>
            <w:noWrap w:val="0"/>
            <w:vAlign w:val="center"/>
          </w:tcPr>
          <w:p w14:paraId="746F9288">
            <w:pPr>
              <w:tabs>
                <w:tab w:val="left" w:pos="18"/>
              </w:tabs>
              <w:snapToGrid w:val="0"/>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危险性程度（风险等级）</w:t>
            </w:r>
          </w:p>
        </w:tc>
        <w:tc>
          <w:tcPr>
            <w:tcW w:w="1080" w:type="dxa"/>
            <w:vMerge w:val="restart"/>
            <w:tcBorders>
              <w:top w:val="single" w:color="auto" w:sz="4" w:space="0"/>
              <w:left w:val="single" w:color="auto" w:sz="4" w:space="0"/>
              <w:right w:val="single" w:color="auto" w:sz="4" w:space="0"/>
            </w:tcBorders>
            <w:noWrap w:val="0"/>
            <w:vAlign w:val="center"/>
          </w:tcPr>
          <w:p w14:paraId="3B14FDBD">
            <w:pPr>
              <w:tabs>
                <w:tab w:val="left" w:pos="18"/>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影响范围</w:t>
            </w:r>
          </w:p>
        </w:tc>
      </w:tr>
      <w:tr w14:paraId="3723C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468" w:type="dxa"/>
            <w:vMerge w:val="continue"/>
            <w:tcBorders>
              <w:left w:val="single" w:color="auto" w:sz="4" w:space="0"/>
              <w:bottom w:val="single" w:color="auto" w:sz="4" w:space="0"/>
              <w:right w:val="single" w:color="auto" w:sz="4" w:space="0"/>
            </w:tcBorders>
            <w:noWrap w:val="0"/>
            <w:vAlign w:val="center"/>
          </w:tcPr>
          <w:p w14:paraId="77D0FBD6">
            <w:pPr>
              <w:tabs>
                <w:tab w:val="left" w:pos="945"/>
                <w:tab w:val="left" w:pos="1155"/>
              </w:tabs>
              <w:snapToGrid w:val="0"/>
              <w:spacing w:line="300" w:lineRule="exact"/>
              <w:ind w:firstLine="420" w:firstLineChars="0"/>
              <w:jc w:val="center"/>
              <w:rPr>
                <w:rFonts w:ascii="Times New Roman" w:hAnsi="Times New Roman" w:eastAsia="宋体" w:cs="Times New Roman"/>
                <w:color w:val="auto"/>
                <w:sz w:val="21"/>
                <w:szCs w:val="21"/>
              </w:rPr>
            </w:pPr>
          </w:p>
        </w:tc>
        <w:tc>
          <w:tcPr>
            <w:tcW w:w="720" w:type="dxa"/>
            <w:vMerge w:val="continue"/>
            <w:tcBorders>
              <w:left w:val="single" w:color="auto" w:sz="4" w:space="0"/>
              <w:bottom w:val="single" w:color="auto" w:sz="4" w:space="0"/>
              <w:right w:val="single" w:color="auto" w:sz="4" w:space="0"/>
            </w:tcBorders>
            <w:noWrap w:val="0"/>
            <w:vAlign w:val="center"/>
          </w:tcPr>
          <w:p w14:paraId="383384B2">
            <w:pPr>
              <w:tabs>
                <w:tab w:val="left" w:pos="945"/>
                <w:tab w:val="left" w:pos="1155"/>
              </w:tabs>
              <w:snapToGrid w:val="0"/>
              <w:spacing w:line="300" w:lineRule="exact"/>
              <w:ind w:firstLine="420" w:firstLineChars="0"/>
              <w:jc w:val="center"/>
              <w:rPr>
                <w:rFonts w:ascii="Times New Roman" w:hAnsi="Times New Roman" w:eastAsia="宋体" w:cs="Times New Roman"/>
                <w:color w:val="auto"/>
                <w:sz w:val="21"/>
                <w:szCs w:val="21"/>
              </w:rPr>
            </w:pPr>
          </w:p>
        </w:tc>
        <w:tc>
          <w:tcPr>
            <w:tcW w:w="2016" w:type="dxa"/>
            <w:vMerge w:val="continue"/>
            <w:tcBorders>
              <w:left w:val="single" w:color="auto" w:sz="4" w:space="0"/>
              <w:bottom w:val="single" w:color="auto" w:sz="4" w:space="0"/>
              <w:right w:val="single" w:color="auto" w:sz="4" w:space="0"/>
            </w:tcBorders>
            <w:noWrap w:val="0"/>
            <w:vAlign w:val="center"/>
          </w:tcPr>
          <w:p w14:paraId="0E1C8098">
            <w:pPr>
              <w:tabs>
                <w:tab w:val="left" w:pos="945"/>
                <w:tab w:val="left" w:pos="1155"/>
              </w:tabs>
              <w:snapToGrid w:val="0"/>
              <w:spacing w:line="300" w:lineRule="exact"/>
              <w:ind w:firstLine="420" w:firstLineChars="0"/>
              <w:jc w:val="center"/>
              <w:rPr>
                <w:rFonts w:ascii="Times New Roman" w:hAnsi="Times New Roman" w:eastAsia="宋体" w:cs="Times New Roman"/>
                <w:color w:val="auto"/>
                <w:sz w:val="21"/>
                <w:szCs w:val="21"/>
              </w:rPr>
            </w:pPr>
          </w:p>
        </w:tc>
        <w:tc>
          <w:tcPr>
            <w:tcW w:w="1260" w:type="dxa"/>
            <w:vMerge w:val="continue"/>
            <w:tcBorders>
              <w:left w:val="single" w:color="auto" w:sz="4" w:space="0"/>
              <w:bottom w:val="single" w:color="auto" w:sz="4" w:space="0"/>
              <w:right w:val="single" w:color="auto" w:sz="4" w:space="0"/>
            </w:tcBorders>
            <w:noWrap w:val="0"/>
            <w:vAlign w:val="center"/>
          </w:tcPr>
          <w:p w14:paraId="03090D1B">
            <w:pPr>
              <w:tabs>
                <w:tab w:val="left" w:pos="945"/>
                <w:tab w:val="left" w:pos="1155"/>
              </w:tabs>
              <w:snapToGrid w:val="0"/>
              <w:spacing w:line="300" w:lineRule="exact"/>
              <w:ind w:firstLine="420" w:firstLineChars="0"/>
              <w:jc w:val="center"/>
              <w:rPr>
                <w:rFonts w:ascii="Times New Roman" w:hAnsi="Times New Roman" w:eastAsia="宋体" w:cs="Times New Roman"/>
                <w:color w:val="auto"/>
                <w:sz w:val="21"/>
                <w:szCs w:val="21"/>
              </w:rPr>
            </w:pPr>
          </w:p>
        </w:tc>
        <w:tc>
          <w:tcPr>
            <w:tcW w:w="360" w:type="dxa"/>
            <w:tcBorders>
              <w:top w:val="single" w:color="auto" w:sz="4" w:space="0"/>
              <w:left w:val="single" w:color="auto" w:sz="4" w:space="0"/>
              <w:bottom w:val="single" w:color="auto" w:sz="4" w:space="0"/>
              <w:right w:val="single" w:color="auto" w:sz="4" w:space="0"/>
            </w:tcBorders>
            <w:noWrap w:val="0"/>
            <w:vAlign w:val="center"/>
          </w:tcPr>
          <w:p w14:paraId="569365AC">
            <w:pPr>
              <w:tabs>
                <w:tab w:val="left" w:pos="945"/>
                <w:tab w:val="left" w:pos="1155"/>
              </w:tabs>
              <w:snapToGrid w:val="0"/>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L</w:t>
            </w:r>
          </w:p>
        </w:tc>
        <w:tc>
          <w:tcPr>
            <w:tcW w:w="360" w:type="dxa"/>
            <w:tcBorders>
              <w:top w:val="single" w:color="auto" w:sz="4" w:space="0"/>
              <w:left w:val="single" w:color="auto" w:sz="4" w:space="0"/>
              <w:bottom w:val="single" w:color="auto" w:sz="4" w:space="0"/>
              <w:right w:val="single" w:color="auto" w:sz="4" w:space="0"/>
            </w:tcBorders>
            <w:noWrap w:val="0"/>
            <w:vAlign w:val="center"/>
          </w:tcPr>
          <w:p w14:paraId="216FA90E">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S</w:t>
            </w:r>
          </w:p>
        </w:tc>
        <w:tc>
          <w:tcPr>
            <w:tcW w:w="540" w:type="dxa"/>
            <w:tcBorders>
              <w:top w:val="single" w:color="auto" w:sz="4" w:space="0"/>
              <w:left w:val="single" w:color="auto" w:sz="4" w:space="0"/>
              <w:bottom w:val="single" w:color="auto" w:sz="4" w:space="0"/>
              <w:right w:val="single" w:color="auto" w:sz="4" w:space="0"/>
            </w:tcBorders>
            <w:noWrap w:val="0"/>
            <w:vAlign w:val="center"/>
          </w:tcPr>
          <w:p w14:paraId="3DCBB6EC">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R</w:t>
            </w:r>
          </w:p>
        </w:tc>
        <w:tc>
          <w:tcPr>
            <w:tcW w:w="900" w:type="dxa"/>
            <w:vMerge w:val="continue"/>
            <w:tcBorders>
              <w:left w:val="single" w:color="auto" w:sz="4" w:space="0"/>
              <w:bottom w:val="single" w:color="auto" w:sz="4" w:space="0"/>
              <w:right w:val="single" w:color="auto" w:sz="4" w:space="0"/>
            </w:tcBorders>
            <w:noWrap w:val="0"/>
            <w:vAlign w:val="center"/>
          </w:tcPr>
          <w:p w14:paraId="332F9D07">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p>
        </w:tc>
        <w:tc>
          <w:tcPr>
            <w:tcW w:w="900" w:type="dxa"/>
            <w:vMerge w:val="continue"/>
            <w:tcBorders>
              <w:left w:val="single" w:color="auto" w:sz="4" w:space="0"/>
              <w:bottom w:val="single" w:color="auto" w:sz="4" w:space="0"/>
              <w:right w:val="single" w:color="auto" w:sz="4" w:space="0"/>
            </w:tcBorders>
            <w:noWrap w:val="0"/>
            <w:vAlign w:val="center"/>
          </w:tcPr>
          <w:p w14:paraId="0B439CE8">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p>
        </w:tc>
        <w:tc>
          <w:tcPr>
            <w:tcW w:w="1440" w:type="dxa"/>
            <w:vMerge w:val="continue"/>
            <w:tcBorders>
              <w:left w:val="single" w:color="auto" w:sz="4" w:space="0"/>
              <w:bottom w:val="single" w:color="auto" w:sz="4" w:space="0"/>
              <w:right w:val="single" w:color="auto" w:sz="4" w:space="0"/>
            </w:tcBorders>
            <w:noWrap w:val="0"/>
            <w:vAlign w:val="center"/>
          </w:tcPr>
          <w:p w14:paraId="10DAE7A3">
            <w:pPr>
              <w:tabs>
                <w:tab w:val="left" w:pos="18"/>
              </w:tabs>
              <w:snapToGrid w:val="0"/>
              <w:spacing w:line="300" w:lineRule="exact"/>
              <w:ind w:firstLine="420" w:firstLineChars="0"/>
              <w:jc w:val="center"/>
              <w:rPr>
                <w:rFonts w:ascii="Times New Roman" w:hAnsi="Times New Roman" w:eastAsia="宋体" w:cs="Times New Roman"/>
                <w:color w:val="auto"/>
                <w:sz w:val="21"/>
                <w:szCs w:val="21"/>
              </w:rPr>
            </w:pPr>
          </w:p>
        </w:tc>
        <w:tc>
          <w:tcPr>
            <w:tcW w:w="1080" w:type="dxa"/>
            <w:vMerge w:val="continue"/>
            <w:tcBorders>
              <w:left w:val="single" w:color="auto" w:sz="4" w:space="0"/>
              <w:bottom w:val="single" w:color="auto" w:sz="4" w:space="0"/>
              <w:right w:val="single" w:color="auto" w:sz="4" w:space="0"/>
            </w:tcBorders>
            <w:noWrap w:val="0"/>
            <w:vAlign w:val="center"/>
          </w:tcPr>
          <w:p w14:paraId="257493DB">
            <w:pPr>
              <w:tabs>
                <w:tab w:val="left" w:pos="18"/>
              </w:tabs>
              <w:snapToGrid w:val="0"/>
              <w:spacing w:line="300" w:lineRule="exact"/>
              <w:ind w:firstLine="420" w:firstLineChars="0"/>
              <w:jc w:val="center"/>
              <w:rPr>
                <w:rFonts w:ascii="Times New Roman" w:hAnsi="Times New Roman" w:eastAsia="宋体" w:cs="Times New Roman"/>
                <w:color w:val="auto"/>
                <w:sz w:val="21"/>
                <w:szCs w:val="21"/>
              </w:rPr>
            </w:pPr>
          </w:p>
        </w:tc>
      </w:tr>
      <w:tr w14:paraId="79159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EB185A3">
            <w:pPr>
              <w:tabs>
                <w:tab w:val="left" w:pos="945"/>
                <w:tab w:val="left" w:pos="1155"/>
              </w:tabs>
              <w:snapToGrid w:val="0"/>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720" w:type="dxa"/>
            <w:vMerge w:val="restart"/>
            <w:tcBorders>
              <w:top w:val="single" w:color="auto" w:sz="4" w:space="0"/>
              <w:left w:val="single" w:color="auto" w:sz="4" w:space="0"/>
              <w:right w:val="single" w:color="auto" w:sz="4" w:space="0"/>
            </w:tcBorders>
            <w:shd w:val="clear" w:color="auto" w:fill="auto"/>
            <w:noWrap w:val="0"/>
            <w:vAlign w:val="center"/>
          </w:tcPr>
          <w:p w14:paraId="5B945D0A">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宋体" w:eastAsia="宋体" w:cs="Times New Roman"/>
                <w:b w:val="0"/>
                <w:bCs/>
                <w:color w:val="auto"/>
                <w:kern w:val="2"/>
                <w:sz w:val="21"/>
                <w:szCs w:val="21"/>
                <w:lang w:val="en-US" w:eastAsia="zh-CN" w:bidi="ar-SA"/>
              </w:rPr>
              <w:t>安全管理</w:t>
            </w:r>
          </w:p>
        </w:tc>
        <w:tc>
          <w:tcPr>
            <w:tcW w:w="201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C10252B">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未设置安全管理机构，未配备安全管理人员</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029A537">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不</w:t>
            </w:r>
          </w:p>
          <w:p w14:paraId="3108F766">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合规</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7A5E1B6">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71E4DE">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5</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B43FAE">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15</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DB6202F">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50F0BBC">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严重</w:t>
            </w:r>
          </w:p>
        </w:tc>
        <w:tc>
          <w:tcPr>
            <w:tcW w:w="1440"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09DE02CB">
            <w:pPr>
              <w:tabs>
                <w:tab w:val="left" w:pos="18"/>
              </w:tabs>
              <w:snapToGrid w:val="0"/>
              <w:spacing w:line="300" w:lineRule="exact"/>
              <w:ind w:firstLine="0" w:firstLineChars="0"/>
              <w:jc w:val="center"/>
              <w:rPr>
                <w:rFonts w:ascii="Times New Roman" w:hAnsi="Times New Roman" w:eastAsia="宋体" w:cs="Times New Roman"/>
                <w:color w:val="auto"/>
                <w:sz w:val="21"/>
                <w:szCs w:val="21"/>
              </w:rPr>
            </w:pPr>
            <w:r>
              <w:rPr>
                <w:rFonts w:hint="eastAsia" w:ascii="宋体" w:hAnsi="宋体" w:eastAsia="宋体" w:cs="宋体"/>
                <w:color w:val="auto"/>
                <w:sz w:val="21"/>
                <w:szCs w:val="21"/>
              </w:rPr>
              <w:t>Ⅱ</w:t>
            </w:r>
            <w:r>
              <w:rPr>
                <w:rFonts w:ascii="Times New Roman" w:hAnsi="Times New Roman" w:eastAsia="宋体" w:cs="Times New Roman"/>
                <w:color w:val="auto"/>
                <w:sz w:val="21"/>
                <w:szCs w:val="21"/>
              </w:rPr>
              <w:t>级</w:t>
            </w:r>
          </w:p>
        </w:tc>
        <w:tc>
          <w:tcPr>
            <w:tcW w:w="1080" w:type="dxa"/>
            <w:tcBorders>
              <w:top w:val="single" w:color="auto" w:sz="4" w:space="0"/>
              <w:left w:val="single" w:color="auto" w:sz="4" w:space="0"/>
              <w:bottom w:val="single" w:color="auto" w:sz="4" w:space="0"/>
              <w:right w:val="single" w:color="auto" w:sz="4" w:space="0"/>
            </w:tcBorders>
            <w:noWrap w:val="0"/>
            <w:vAlign w:val="top"/>
          </w:tcPr>
          <w:p w14:paraId="12374A73">
            <w:pPr>
              <w:spacing w:line="300" w:lineRule="exact"/>
              <w:ind w:firstLine="0" w:firstLineChars="0"/>
              <w:jc w:val="center"/>
              <w:rPr>
                <w:rFonts w:ascii="Times New Roman" w:hAnsi="Times New Roman" w:eastAsia="宋体" w:cs="Times New Roman"/>
                <w:color w:val="auto"/>
                <w:sz w:val="21"/>
              </w:rPr>
            </w:pPr>
            <w:r>
              <w:rPr>
                <w:rFonts w:hint="eastAsia" w:ascii="Times New Roman" w:hAnsi="宋体" w:eastAsia="宋体" w:cs="Times New Roman"/>
                <w:color w:val="auto"/>
                <w:sz w:val="21"/>
                <w:szCs w:val="21"/>
              </w:rPr>
              <w:t>尾矿库</w:t>
            </w:r>
          </w:p>
        </w:tc>
      </w:tr>
      <w:tr w14:paraId="739E2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96CEBBB">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720" w:type="dxa"/>
            <w:vMerge w:val="continue"/>
            <w:tcBorders>
              <w:left w:val="single" w:color="auto" w:sz="4" w:space="0"/>
              <w:right w:val="single" w:color="auto" w:sz="4" w:space="0"/>
            </w:tcBorders>
            <w:shd w:val="clear" w:color="auto" w:fill="auto"/>
            <w:noWrap w:val="0"/>
            <w:vAlign w:val="center"/>
          </w:tcPr>
          <w:p w14:paraId="5BC35B00">
            <w:pPr>
              <w:widowControl/>
              <w:spacing w:line="300" w:lineRule="exact"/>
              <w:ind w:firstLine="0" w:firstLineChars="0"/>
              <w:jc w:val="center"/>
              <w:rPr>
                <w:rFonts w:hint="eastAsia" w:ascii="Times New Roman" w:hAnsi="宋体" w:eastAsia="宋体" w:cs="Times New Roman"/>
                <w:b w:val="0"/>
                <w:bCs/>
                <w:color w:val="auto"/>
                <w:kern w:val="2"/>
                <w:sz w:val="21"/>
                <w:szCs w:val="21"/>
                <w:lang w:val="en-US" w:eastAsia="zh-CN" w:bidi="ar-SA"/>
              </w:rPr>
            </w:pPr>
          </w:p>
        </w:tc>
        <w:tc>
          <w:tcPr>
            <w:tcW w:w="201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73C8D45">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主要负责人、安全管理人员、尾矿工未持证上岗</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302FD4B">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不</w:t>
            </w:r>
          </w:p>
          <w:p w14:paraId="3DC2A89E">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合规</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138545">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7E15DB9">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5</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11024EA">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15</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648CA5">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742878C">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严重</w:t>
            </w:r>
          </w:p>
        </w:tc>
        <w:tc>
          <w:tcPr>
            <w:tcW w:w="1440"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06CDA896">
            <w:pPr>
              <w:spacing w:line="300" w:lineRule="exact"/>
              <w:ind w:firstLine="0" w:firstLineChars="0"/>
              <w:jc w:val="center"/>
              <w:rPr>
                <w:rFonts w:ascii="Times New Roman" w:hAnsi="Times New Roman" w:eastAsia="宋体" w:cs="Times New Roman"/>
                <w:color w:val="auto"/>
                <w:sz w:val="21"/>
              </w:rPr>
            </w:pPr>
            <w:r>
              <w:rPr>
                <w:rFonts w:hint="eastAsia" w:ascii="宋体" w:hAnsi="宋体" w:eastAsia="宋体" w:cs="宋体"/>
                <w:color w:val="auto"/>
                <w:sz w:val="21"/>
                <w:szCs w:val="21"/>
              </w:rPr>
              <w:t>Ⅱ</w:t>
            </w:r>
            <w:r>
              <w:rPr>
                <w:rFonts w:ascii="Times New Roman" w:hAnsi="Times New Roman" w:eastAsia="宋体" w:cs="Times New Roman"/>
                <w:color w:val="auto"/>
                <w:sz w:val="21"/>
                <w:szCs w:val="21"/>
              </w:rPr>
              <w:t>级</w:t>
            </w:r>
          </w:p>
        </w:tc>
        <w:tc>
          <w:tcPr>
            <w:tcW w:w="1080" w:type="dxa"/>
            <w:tcBorders>
              <w:top w:val="single" w:color="auto" w:sz="4" w:space="0"/>
              <w:left w:val="single" w:color="auto" w:sz="4" w:space="0"/>
              <w:bottom w:val="single" w:color="auto" w:sz="4" w:space="0"/>
              <w:right w:val="single" w:color="auto" w:sz="4" w:space="0"/>
            </w:tcBorders>
            <w:noWrap w:val="0"/>
            <w:vAlign w:val="top"/>
          </w:tcPr>
          <w:p w14:paraId="444182A0">
            <w:pPr>
              <w:spacing w:line="300" w:lineRule="exact"/>
              <w:ind w:firstLine="0" w:firstLineChars="0"/>
              <w:jc w:val="center"/>
              <w:rPr>
                <w:rFonts w:ascii="Times New Roman" w:hAnsi="Times New Roman" w:eastAsia="宋体" w:cs="Times New Roman"/>
                <w:color w:val="auto"/>
                <w:sz w:val="21"/>
              </w:rPr>
            </w:pPr>
            <w:r>
              <w:rPr>
                <w:rFonts w:hint="eastAsia" w:ascii="Times New Roman" w:hAnsi="宋体" w:eastAsia="宋体" w:cs="Times New Roman"/>
                <w:color w:val="auto"/>
                <w:sz w:val="21"/>
                <w:szCs w:val="21"/>
              </w:rPr>
              <w:t>尾矿库</w:t>
            </w:r>
          </w:p>
        </w:tc>
      </w:tr>
      <w:tr w14:paraId="64EF3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B4C9940">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720" w:type="dxa"/>
            <w:vMerge w:val="continue"/>
            <w:tcBorders>
              <w:left w:val="single" w:color="auto" w:sz="4" w:space="0"/>
              <w:right w:val="single" w:color="auto" w:sz="4" w:space="0"/>
            </w:tcBorders>
            <w:shd w:val="clear" w:color="auto" w:fill="auto"/>
            <w:noWrap w:val="0"/>
            <w:vAlign w:val="center"/>
          </w:tcPr>
          <w:p w14:paraId="57386AE3">
            <w:pPr>
              <w:widowControl/>
              <w:spacing w:line="300" w:lineRule="exact"/>
              <w:ind w:firstLine="0" w:firstLineChars="0"/>
              <w:jc w:val="center"/>
              <w:rPr>
                <w:rFonts w:hint="eastAsia" w:ascii="Times New Roman" w:hAnsi="宋体" w:eastAsia="宋体" w:cs="Times New Roman"/>
                <w:b w:val="0"/>
                <w:bCs/>
                <w:color w:val="auto"/>
                <w:kern w:val="2"/>
                <w:sz w:val="21"/>
                <w:szCs w:val="21"/>
                <w:lang w:val="en-US" w:eastAsia="zh-CN" w:bidi="ar-SA"/>
              </w:rPr>
            </w:pPr>
          </w:p>
        </w:tc>
        <w:tc>
          <w:tcPr>
            <w:tcW w:w="201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BF16928">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未制定尾矿库安全生产管理规章制度、安全生产责任制、操作规程</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B432960">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不</w:t>
            </w:r>
          </w:p>
          <w:p w14:paraId="354DBCEE">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合规</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CE6F661">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8C842B3">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AC405F6">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8</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A6629E1">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D0EBE4C">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较严重</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03125E19">
            <w:pPr>
              <w:spacing w:line="300" w:lineRule="exact"/>
              <w:ind w:firstLine="0" w:firstLineChars="0"/>
              <w:jc w:val="center"/>
              <w:rPr>
                <w:rFonts w:ascii="Times New Roman" w:hAnsi="Times New Roman" w:eastAsia="宋体" w:cs="Times New Roman"/>
                <w:color w:val="auto"/>
                <w:sz w:val="21"/>
              </w:rPr>
            </w:pPr>
            <w:r>
              <w:rPr>
                <w:rFonts w:hint="eastAsia" w:ascii="宋体" w:hAnsi="宋体" w:eastAsia="宋体" w:cs="宋体"/>
                <w:color w:val="auto"/>
                <w:sz w:val="21"/>
                <w:szCs w:val="21"/>
              </w:rPr>
              <w:t>Ⅳ</w:t>
            </w:r>
            <w:r>
              <w:rPr>
                <w:rFonts w:ascii="Times New Roman" w:hAnsi="Times New Roman" w:eastAsia="宋体" w:cs="Times New Roman"/>
                <w:color w:val="auto"/>
                <w:sz w:val="21"/>
                <w:szCs w:val="21"/>
              </w:rPr>
              <w:t>级</w:t>
            </w:r>
          </w:p>
        </w:tc>
        <w:tc>
          <w:tcPr>
            <w:tcW w:w="1080" w:type="dxa"/>
            <w:tcBorders>
              <w:top w:val="single" w:color="auto" w:sz="4" w:space="0"/>
              <w:left w:val="single" w:color="auto" w:sz="4" w:space="0"/>
              <w:bottom w:val="single" w:color="auto" w:sz="4" w:space="0"/>
              <w:right w:val="single" w:color="auto" w:sz="4" w:space="0"/>
            </w:tcBorders>
            <w:noWrap w:val="0"/>
            <w:vAlign w:val="top"/>
          </w:tcPr>
          <w:p w14:paraId="0F6A3174">
            <w:pPr>
              <w:spacing w:line="300" w:lineRule="exact"/>
              <w:ind w:firstLine="0" w:firstLineChars="0"/>
              <w:jc w:val="center"/>
              <w:rPr>
                <w:rFonts w:ascii="Times New Roman" w:hAnsi="Times New Roman" w:eastAsia="宋体" w:cs="Times New Roman"/>
                <w:color w:val="auto"/>
                <w:sz w:val="21"/>
              </w:rPr>
            </w:pPr>
            <w:r>
              <w:rPr>
                <w:rFonts w:hint="eastAsia" w:ascii="Times New Roman" w:hAnsi="宋体" w:eastAsia="宋体" w:cs="Times New Roman"/>
                <w:color w:val="auto"/>
                <w:sz w:val="21"/>
                <w:szCs w:val="21"/>
              </w:rPr>
              <w:t>尾矿库</w:t>
            </w:r>
          </w:p>
        </w:tc>
      </w:tr>
      <w:tr w14:paraId="7A584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1475E33">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720" w:type="dxa"/>
            <w:vMerge w:val="continue"/>
            <w:tcBorders>
              <w:left w:val="single" w:color="auto" w:sz="4" w:space="0"/>
              <w:right w:val="single" w:color="auto" w:sz="4" w:space="0"/>
            </w:tcBorders>
            <w:shd w:val="clear" w:color="auto" w:fill="auto"/>
            <w:noWrap w:val="0"/>
            <w:vAlign w:val="center"/>
          </w:tcPr>
          <w:p w14:paraId="6D7C2141">
            <w:pPr>
              <w:widowControl/>
              <w:spacing w:line="300" w:lineRule="exact"/>
              <w:ind w:firstLine="0" w:firstLineChars="0"/>
              <w:jc w:val="center"/>
              <w:rPr>
                <w:rFonts w:hint="eastAsia" w:ascii="Times New Roman" w:hAnsi="宋体" w:eastAsia="宋体" w:cs="Times New Roman"/>
                <w:b w:val="0"/>
                <w:bCs/>
                <w:color w:val="auto"/>
                <w:kern w:val="2"/>
                <w:sz w:val="21"/>
                <w:szCs w:val="21"/>
                <w:lang w:val="en-US" w:eastAsia="zh-CN" w:bidi="ar-SA"/>
              </w:rPr>
            </w:pPr>
          </w:p>
        </w:tc>
        <w:tc>
          <w:tcPr>
            <w:tcW w:w="201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E6A9178">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尾矿库安全生产许可证、安全生产标准化证书失效</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D1BFBE7">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不</w:t>
            </w:r>
          </w:p>
          <w:p w14:paraId="7F4E551A">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合规</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3CEA858">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85D2D8D">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5</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59688A7">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15</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A4EBD0D">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6F518E2">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严重</w:t>
            </w:r>
          </w:p>
        </w:tc>
        <w:tc>
          <w:tcPr>
            <w:tcW w:w="1440"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69DF9206">
            <w:pPr>
              <w:tabs>
                <w:tab w:val="left" w:pos="18"/>
              </w:tabs>
              <w:snapToGrid w:val="0"/>
              <w:spacing w:line="300" w:lineRule="exact"/>
              <w:ind w:firstLine="0" w:firstLineChars="0"/>
              <w:jc w:val="center"/>
              <w:rPr>
                <w:rFonts w:ascii="Times New Roman" w:hAnsi="Times New Roman" w:eastAsia="宋体" w:cs="Times New Roman"/>
                <w:color w:val="auto"/>
                <w:sz w:val="21"/>
                <w:szCs w:val="21"/>
              </w:rPr>
            </w:pPr>
            <w:r>
              <w:rPr>
                <w:rFonts w:hint="eastAsia" w:ascii="宋体" w:hAnsi="宋体" w:eastAsia="宋体" w:cs="宋体"/>
                <w:color w:val="auto"/>
                <w:sz w:val="21"/>
                <w:szCs w:val="21"/>
              </w:rPr>
              <w:t>Ⅱ</w:t>
            </w:r>
            <w:r>
              <w:rPr>
                <w:rFonts w:ascii="Times New Roman" w:hAnsi="Times New Roman" w:eastAsia="宋体" w:cs="Times New Roman"/>
                <w:color w:val="auto"/>
                <w:sz w:val="21"/>
                <w:szCs w:val="21"/>
              </w:rPr>
              <w:t>级</w:t>
            </w:r>
          </w:p>
        </w:tc>
        <w:tc>
          <w:tcPr>
            <w:tcW w:w="1080" w:type="dxa"/>
            <w:tcBorders>
              <w:top w:val="single" w:color="auto" w:sz="4" w:space="0"/>
              <w:left w:val="single" w:color="auto" w:sz="4" w:space="0"/>
              <w:bottom w:val="single" w:color="auto" w:sz="4" w:space="0"/>
              <w:right w:val="single" w:color="auto" w:sz="4" w:space="0"/>
            </w:tcBorders>
            <w:noWrap w:val="0"/>
            <w:vAlign w:val="top"/>
          </w:tcPr>
          <w:p w14:paraId="6EEE6071">
            <w:pPr>
              <w:spacing w:line="300" w:lineRule="exact"/>
              <w:ind w:firstLine="0" w:firstLineChars="0"/>
              <w:jc w:val="center"/>
              <w:rPr>
                <w:rFonts w:ascii="Times New Roman" w:hAnsi="Times New Roman" w:eastAsia="宋体" w:cs="Times New Roman"/>
                <w:color w:val="auto"/>
                <w:sz w:val="21"/>
              </w:rPr>
            </w:pPr>
            <w:r>
              <w:rPr>
                <w:rFonts w:hint="eastAsia" w:ascii="Times New Roman" w:hAnsi="宋体" w:eastAsia="宋体" w:cs="Times New Roman"/>
                <w:color w:val="auto"/>
                <w:sz w:val="21"/>
                <w:szCs w:val="21"/>
              </w:rPr>
              <w:t>尾矿库</w:t>
            </w:r>
          </w:p>
        </w:tc>
      </w:tr>
      <w:tr w14:paraId="057A5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4B391D8">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5</w:t>
            </w:r>
          </w:p>
        </w:tc>
        <w:tc>
          <w:tcPr>
            <w:tcW w:w="720" w:type="dxa"/>
            <w:vMerge w:val="continue"/>
            <w:tcBorders>
              <w:left w:val="single" w:color="auto" w:sz="4" w:space="0"/>
              <w:right w:val="single" w:color="auto" w:sz="4" w:space="0"/>
            </w:tcBorders>
            <w:shd w:val="clear" w:color="auto" w:fill="auto"/>
            <w:noWrap w:val="0"/>
            <w:vAlign w:val="center"/>
          </w:tcPr>
          <w:p w14:paraId="1B1C10D4">
            <w:pPr>
              <w:widowControl/>
              <w:spacing w:line="300" w:lineRule="exact"/>
              <w:ind w:firstLine="0" w:firstLineChars="0"/>
              <w:jc w:val="center"/>
              <w:rPr>
                <w:rFonts w:hint="eastAsia" w:ascii="Times New Roman" w:hAnsi="宋体" w:eastAsia="宋体" w:cs="Times New Roman"/>
                <w:b w:val="0"/>
                <w:bCs/>
                <w:color w:val="auto"/>
                <w:kern w:val="2"/>
                <w:sz w:val="21"/>
                <w:szCs w:val="21"/>
                <w:lang w:val="en-US" w:eastAsia="zh-CN" w:bidi="ar-SA"/>
              </w:rPr>
            </w:pPr>
          </w:p>
        </w:tc>
        <w:tc>
          <w:tcPr>
            <w:tcW w:w="201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10EF114">
            <w:pPr>
              <w:widowControl/>
              <w:spacing w:line="300" w:lineRule="exact"/>
              <w:ind w:firstLine="0" w:firstLineChars="0"/>
              <w:jc w:val="left"/>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未开展安全教育培训</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46C10F">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不</w:t>
            </w:r>
          </w:p>
          <w:p w14:paraId="3B5D27D2">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合规</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C039E0F">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68935">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B0660B">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8</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3A900E8">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F343C2C">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较严重</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450B4FB4">
            <w:pPr>
              <w:tabs>
                <w:tab w:val="left" w:pos="18"/>
              </w:tabs>
              <w:snapToGrid w:val="0"/>
              <w:spacing w:line="300" w:lineRule="exact"/>
              <w:ind w:firstLine="0" w:firstLineChars="0"/>
              <w:jc w:val="center"/>
              <w:rPr>
                <w:rFonts w:ascii="Times New Roman" w:hAnsi="Times New Roman" w:eastAsia="宋体" w:cs="Times New Roman"/>
                <w:color w:val="auto"/>
                <w:sz w:val="21"/>
                <w:szCs w:val="21"/>
              </w:rPr>
            </w:pPr>
            <w:r>
              <w:rPr>
                <w:rFonts w:hint="eastAsia" w:ascii="宋体" w:hAnsi="宋体" w:eastAsia="宋体" w:cs="宋体"/>
                <w:color w:val="auto"/>
                <w:sz w:val="21"/>
                <w:szCs w:val="21"/>
              </w:rPr>
              <w:t>Ⅳ</w:t>
            </w:r>
            <w:r>
              <w:rPr>
                <w:rFonts w:ascii="Times New Roman" w:hAnsi="Times New Roman" w:eastAsia="宋体" w:cs="Times New Roman"/>
                <w:color w:val="auto"/>
                <w:sz w:val="21"/>
                <w:szCs w:val="21"/>
              </w:rPr>
              <w:t>级</w:t>
            </w:r>
          </w:p>
        </w:tc>
        <w:tc>
          <w:tcPr>
            <w:tcW w:w="1080" w:type="dxa"/>
            <w:tcBorders>
              <w:top w:val="single" w:color="auto" w:sz="4" w:space="0"/>
              <w:left w:val="single" w:color="auto" w:sz="4" w:space="0"/>
              <w:bottom w:val="single" w:color="auto" w:sz="4" w:space="0"/>
              <w:right w:val="single" w:color="auto" w:sz="4" w:space="0"/>
            </w:tcBorders>
            <w:noWrap w:val="0"/>
            <w:vAlign w:val="top"/>
          </w:tcPr>
          <w:p w14:paraId="45DC5E26">
            <w:pPr>
              <w:spacing w:line="300" w:lineRule="exact"/>
              <w:ind w:firstLine="0" w:firstLineChars="0"/>
              <w:jc w:val="center"/>
              <w:rPr>
                <w:rFonts w:ascii="Times New Roman" w:hAnsi="Times New Roman" w:eastAsia="宋体" w:cs="Times New Roman"/>
                <w:color w:val="auto"/>
                <w:sz w:val="21"/>
              </w:rPr>
            </w:pPr>
            <w:r>
              <w:rPr>
                <w:rFonts w:hint="eastAsia" w:ascii="Times New Roman" w:hAnsi="宋体" w:eastAsia="宋体" w:cs="Times New Roman"/>
                <w:color w:val="auto"/>
                <w:sz w:val="21"/>
                <w:szCs w:val="21"/>
              </w:rPr>
              <w:t>尾矿库</w:t>
            </w:r>
          </w:p>
        </w:tc>
      </w:tr>
      <w:tr w14:paraId="75BBB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60CF1BC">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w:t>
            </w:r>
          </w:p>
        </w:tc>
        <w:tc>
          <w:tcPr>
            <w:tcW w:w="720" w:type="dxa"/>
            <w:vMerge w:val="continue"/>
            <w:tcBorders>
              <w:left w:val="single" w:color="auto" w:sz="4" w:space="0"/>
              <w:right w:val="single" w:color="auto" w:sz="4" w:space="0"/>
            </w:tcBorders>
            <w:shd w:val="clear" w:color="auto" w:fill="auto"/>
            <w:noWrap w:val="0"/>
            <w:vAlign w:val="center"/>
          </w:tcPr>
          <w:p w14:paraId="0149AF33">
            <w:pPr>
              <w:widowControl/>
              <w:spacing w:line="300" w:lineRule="exact"/>
              <w:ind w:firstLine="0" w:firstLineChars="0"/>
              <w:jc w:val="center"/>
              <w:rPr>
                <w:rFonts w:hint="eastAsia" w:ascii="Times New Roman" w:hAnsi="宋体" w:eastAsia="宋体" w:cs="Times New Roman"/>
                <w:b w:val="0"/>
                <w:bCs/>
                <w:color w:val="auto"/>
                <w:kern w:val="2"/>
                <w:sz w:val="21"/>
                <w:szCs w:val="21"/>
                <w:lang w:val="en-US" w:eastAsia="zh-CN" w:bidi="ar-SA"/>
              </w:rPr>
            </w:pPr>
          </w:p>
        </w:tc>
        <w:tc>
          <w:tcPr>
            <w:tcW w:w="201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971FFF9">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未开展安全检查、隐患排查治理与安全风险管控，并无相关记录</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51697B">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不</w:t>
            </w:r>
          </w:p>
          <w:p w14:paraId="0264D5D9">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合规</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74BC1CA">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35F4B85">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7B39BF2">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8</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57DF1B8">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A15E0D">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较严重</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0986A746">
            <w:pPr>
              <w:spacing w:line="300" w:lineRule="exact"/>
              <w:ind w:firstLine="0" w:firstLineChars="0"/>
              <w:jc w:val="center"/>
              <w:rPr>
                <w:rFonts w:ascii="Times New Roman" w:hAnsi="Times New Roman" w:eastAsia="宋体" w:cs="Times New Roman"/>
                <w:color w:val="auto"/>
                <w:sz w:val="21"/>
              </w:rPr>
            </w:pPr>
            <w:r>
              <w:rPr>
                <w:rFonts w:hint="eastAsia" w:ascii="宋体" w:hAnsi="宋体" w:eastAsia="宋体" w:cs="宋体"/>
                <w:color w:val="auto"/>
                <w:sz w:val="21"/>
                <w:szCs w:val="21"/>
              </w:rPr>
              <w:t>Ⅳ</w:t>
            </w:r>
            <w:r>
              <w:rPr>
                <w:rFonts w:ascii="Times New Roman" w:hAnsi="Times New Roman" w:eastAsia="宋体" w:cs="Times New Roman"/>
                <w:color w:val="auto"/>
                <w:sz w:val="21"/>
                <w:szCs w:val="21"/>
              </w:rPr>
              <w:t>级</w:t>
            </w:r>
          </w:p>
        </w:tc>
        <w:tc>
          <w:tcPr>
            <w:tcW w:w="1080" w:type="dxa"/>
            <w:tcBorders>
              <w:top w:val="single" w:color="auto" w:sz="4" w:space="0"/>
              <w:left w:val="single" w:color="auto" w:sz="4" w:space="0"/>
              <w:bottom w:val="single" w:color="auto" w:sz="4" w:space="0"/>
              <w:right w:val="single" w:color="auto" w:sz="4" w:space="0"/>
            </w:tcBorders>
            <w:noWrap w:val="0"/>
            <w:vAlign w:val="top"/>
          </w:tcPr>
          <w:p w14:paraId="7ABFD220">
            <w:pPr>
              <w:spacing w:line="300" w:lineRule="exact"/>
              <w:ind w:firstLine="0" w:firstLineChars="0"/>
              <w:jc w:val="center"/>
              <w:rPr>
                <w:rFonts w:ascii="Times New Roman" w:hAnsi="Times New Roman" w:eastAsia="宋体" w:cs="Times New Roman"/>
                <w:color w:val="auto"/>
                <w:sz w:val="21"/>
              </w:rPr>
            </w:pPr>
            <w:r>
              <w:rPr>
                <w:rFonts w:hint="eastAsia" w:ascii="Times New Roman" w:hAnsi="宋体" w:eastAsia="宋体" w:cs="Times New Roman"/>
                <w:color w:val="auto"/>
                <w:sz w:val="21"/>
                <w:szCs w:val="21"/>
              </w:rPr>
              <w:t>尾矿库</w:t>
            </w:r>
          </w:p>
        </w:tc>
      </w:tr>
      <w:tr w14:paraId="667E3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B9F7C0D">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7</w:t>
            </w:r>
          </w:p>
        </w:tc>
        <w:tc>
          <w:tcPr>
            <w:tcW w:w="720" w:type="dxa"/>
            <w:vMerge w:val="continue"/>
            <w:tcBorders>
              <w:left w:val="single" w:color="auto" w:sz="4" w:space="0"/>
              <w:right w:val="single" w:color="auto" w:sz="4" w:space="0"/>
            </w:tcBorders>
            <w:shd w:val="clear" w:color="auto" w:fill="auto"/>
            <w:noWrap w:val="0"/>
            <w:vAlign w:val="center"/>
          </w:tcPr>
          <w:p w14:paraId="0D2E0575">
            <w:pPr>
              <w:widowControl/>
              <w:spacing w:line="300" w:lineRule="exact"/>
              <w:ind w:firstLine="0" w:firstLineChars="0"/>
              <w:jc w:val="center"/>
              <w:rPr>
                <w:rFonts w:hint="eastAsia" w:ascii="Times New Roman" w:hAnsi="宋体" w:eastAsia="宋体" w:cs="Times New Roman"/>
                <w:b w:val="0"/>
                <w:bCs/>
                <w:color w:val="auto"/>
                <w:kern w:val="2"/>
                <w:sz w:val="21"/>
                <w:szCs w:val="21"/>
                <w:lang w:val="en-US" w:eastAsia="zh-CN" w:bidi="ar-SA"/>
              </w:rPr>
            </w:pPr>
          </w:p>
        </w:tc>
        <w:tc>
          <w:tcPr>
            <w:tcW w:w="201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2578BCA">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未制定应急预案，预案未备案；未配备应急物资，未建立应急救援队伍，未开展应急演练活动</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94C5B2">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不合规</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F3D71B">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C371620">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E31D5C3">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8</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6EF292">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1ECF2DB">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较严重</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1E381967">
            <w:pPr>
              <w:spacing w:line="300" w:lineRule="exact"/>
              <w:ind w:firstLine="0" w:firstLineChars="0"/>
              <w:jc w:val="center"/>
              <w:rPr>
                <w:rFonts w:ascii="Times New Roman" w:hAnsi="Times New Roman" w:eastAsia="宋体" w:cs="Times New Roman"/>
                <w:color w:val="auto"/>
                <w:sz w:val="21"/>
              </w:rPr>
            </w:pPr>
            <w:r>
              <w:rPr>
                <w:rFonts w:hint="eastAsia" w:ascii="宋体" w:hAnsi="宋体" w:eastAsia="宋体" w:cs="宋体"/>
                <w:color w:val="auto"/>
                <w:sz w:val="21"/>
                <w:szCs w:val="21"/>
              </w:rPr>
              <w:t>Ⅳ</w:t>
            </w:r>
            <w:r>
              <w:rPr>
                <w:rFonts w:ascii="Times New Roman" w:hAnsi="Times New Roman" w:eastAsia="宋体" w:cs="Times New Roman"/>
                <w:color w:val="auto"/>
                <w:sz w:val="21"/>
                <w:szCs w:val="21"/>
              </w:rPr>
              <w:t>级</w:t>
            </w:r>
          </w:p>
        </w:tc>
        <w:tc>
          <w:tcPr>
            <w:tcW w:w="1080" w:type="dxa"/>
            <w:tcBorders>
              <w:top w:val="single" w:color="auto" w:sz="4" w:space="0"/>
              <w:left w:val="single" w:color="auto" w:sz="4" w:space="0"/>
              <w:bottom w:val="single" w:color="auto" w:sz="4" w:space="0"/>
              <w:right w:val="single" w:color="auto" w:sz="4" w:space="0"/>
            </w:tcBorders>
            <w:noWrap w:val="0"/>
            <w:vAlign w:val="top"/>
          </w:tcPr>
          <w:p w14:paraId="5ECEE583">
            <w:pPr>
              <w:spacing w:line="300" w:lineRule="exact"/>
              <w:ind w:firstLine="0" w:firstLineChars="0"/>
              <w:jc w:val="center"/>
              <w:rPr>
                <w:rFonts w:ascii="Times New Roman" w:hAnsi="Times New Roman" w:eastAsia="宋体" w:cs="Times New Roman"/>
                <w:color w:val="auto"/>
                <w:sz w:val="21"/>
              </w:rPr>
            </w:pPr>
            <w:r>
              <w:rPr>
                <w:rFonts w:hint="eastAsia" w:ascii="Times New Roman" w:hAnsi="宋体" w:eastAsia="宋体" w:cs="Times New Roman"/>
                <w:color w:val="auto"/>
                <w:sz w:val="21"/>
                <w:szCs w:val="21"/>
              </w:rPr>
              <w:t>尾矿库</w:t>
            </w:r>
          </w:p>
        </w:tc>
      </w:tr>
      <w:tr w14:paraId="6317C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17E5193">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8</w:t>
            </w:r>
          </w:p>
        </w:tc>
        <w:tc>
          <w:tcPr>
            <w:tcW w:w="720" w:type="dxa"/>
            <w:vMerge w:val="continue"/>
            <w:tcBorders>
              <w:left w:val="single" w:color="auto" w:sz="4" w:space="0"/>
              <w:right w:val="single" w:color="auto" w:sz="4" w:space="0"/>
            </w:tcBorders>
            <w:shd w:val="clear" w:color="auto" w:fill="auto"/>
            <w:noWrap w:val="0"/>
            <w:vAlign w:val="center"/>
          </w:tcPr>
          <w:p w14:paraId="4F74156C">
            <w:pPr>
              <w:widowControl/>
              <w:spacing w:line="300" w:lineRule="exact"/>
              <w:ind w:firstLine="0" w:firstLineChars="0"/>
              <w:jc w:val="center"/>
              <w:rPr>
                <w:rFonts w:hint="eastAsia" w:ascii="Times New Roman" w:hAnsi="宋体" w:eastAsia="宋体" w:cs="Times New Roman"/>
                <w:b w:val="0"/>
                <w:bCs/>
                <w:color w:val="auto"/>
                <w:kern w:val="2"/>
                <w:sz w:val="21"/>
                <w:szCs w:val="21"/>
                <w:lang w:val="en-US" w:eastAsia="zh-CN" w:bidi="ar-SA"/>
              </w:rPr>
            </w:pPr>
          </w:p>
        </w:tc>
        <w:tc>
          <w:tcPr>
            <w:tcW w:w="201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D9A1AFF">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未按规定提取和使用安全费用；未缴纳工伤保险和安全生产责任险</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77888C5">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不合规</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AFABE94">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7551DA">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896D729">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8</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8B2D178">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83862E8">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较严重</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6414D65C">
            <w:pPr>
              <w:spacing w:line="300" w:lineRule="exact"/>
              <w:ind w:firstLine="0" w:firstLineChars="0"/>
              <w:jc w:val="center"/>
              <w:rPr>
                <w:rFonts w:ascii="Times New Roman" w:hAnsi="Times New Roman" w:eastAsia="宋体" w:cs="Times New Roman"/>
                <w:color w:val="auto"/>
                <w:sz w:val="21"/>
              </w:rPr>
            </w:pPr>
            <w:r>
              <w:rPr>
                <w:rFonts w:hint="eastAsia" w:ascii="宋体" w:hAnsi="宋体" w:eastAsia="宋体" w:cs="宋体"/>
                <w:color w:val="auto"/>
                <w:sz w:val="21"/>
                <w:szCs w:val="21"/>
              </w:rPr>
              <w:t>Ⅳ</w:t>
            </w:r>
            <w:r>
              <w:rPr>
                <w:rFonts w:ascii="Times New Roman" w:hAnsi="Times New Roman" w:eastAsia="宋体" w:cs="Times New Roman"/>
                <w:color w:val="auto"/>
                <w:sz w:val="21"/>
                <w:szCs w:val="21"/>
              </w:rPr>
              <w:t>级</w:t>
            </w:r>
          </w:p>
        </w:tc>
        <w:tc>
          <w:tcPr>
            <w:tcW w:w="1080" w:type="dxa"/>
            <w:tcBorders>
              <w:top w:val="single" w:color="auto" w:sz="4" w:space="0"/>
              <w:left w:val="single" w:color="auto" w:sz="4" w:space="0"/>
              <w:bottom w:val="single" w:color="auto" w:sz="4" w:space="0"/>
              <w:right w:val="single" w:color="auto" w:sz="4" w:space="0"/>
            </w:tcBorders>
            <w:noWrap w:val="0"/>
            <w:vAlign w:val="top"/>
          </w:tcPr>
          <w:p w14:paraId="218BFFB4">
            <w:pPr>
              <w:spacing w:line="300" w:lineRule="exact"/>
              <w:ind w:firstLine="0" w:firstLineChars="0"/>
              <w:jc w:val="center"/>
              <w:rPr>
                <w:rFonts w:ascii="Times New Roman" w:hAnsi="Times New Roman" w:eastAsia="宋体" w:cs="Times New Roman"/>
                <w:color w:val="auto"/>
                <w:sz w:val="21"/>
              </w:rPr>
            </w:pPr>
            <w:r>
              <w:rPr>
                <w:rFonts w:hint="eastAsia" w:ascii="Times New Roman" w:hAnsi="宋体" w:eastAsia="宋体" w:cs="Times New Roman"/>
                <w:color w:val="auto"/>
                <w:sz w:val="21"/>
                <w:szCs w:val="21"/>
              </w:rPr>
              <w:t>尾矿库</w:t>
            </w:r>
          </w:p>
        </w:tc>
      </w:tr>
      <w:tr w14:paraId="1D014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7"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96F4068">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9</w:t>
            </w:r>
          </w:p>
        </w:tc>
        <w:tc>
          <w:tcPr>
            <w:tcW w:w="720" w:type="dxa"/>
            <w:vMerge w:val="continue"/>
            <w:tcBorders>
              <w:left w:val="single" w:color="auto" w:sz="4" w:space="0"/>
              <w:right w:val="single" w:color="auto" w:sz="4" w:space="0"/>
            </w:tcBorders>
            <w:shd w:val="clear" w:color="auto" w:fill="auto"/>
            <w:noWrap w:val="0"/>
            <w:vAlign w:val="center"/>
          </w:tcPr>
          <w:p w14:paraId="5CEABCBA">
            <w:pPr>
              <w:widowControl/>
              <w:spacing w:line="300" w:lineRule="exact"/>
              <w:ind w:firstLine="0" w:firstLineChars="0"/>
              <w:jc w:val="center"/>
              <w:rPr>
                <w:rFonts w:hint="eastAsia" w:ascii="Times New Roman" w:hAnsi="宋体" w:eastAsia="宋体" w:cs="Times New Roman"/>
                <w:b w:val="0"/>
                <w:bCs/>
                <w:color w:val="auto"/>
                <w:kern w:val="2"/>
                <w:sz w:val="21"/>
                <w:szCs w:val="21"/>
                <w:lang w:val="en-US" w:eastAsia="zh-CN" w:bidi="ar-SA"/>
              </w:rPr>
            </w:pPr>
          </w:p>
        </w:tc>
        <w:tc>
          <w:tcPr>
            <w:tcW w:w="201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97240A7">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0"/>
                <w:sz w:val="21"/>
                <w:szCs w:val="21"/>
                <w:lang w:val="zh-CN" w:eastAsia="zh-CN" w:bidi="ar-SA"/>
              </w:rPr>
              <w:t>未购置、发放</w:t>
            </w:r>
            <w:r>
              <w:rPr>
                <w:rFonts w:ascii="Times New Roman" w:hAnsi="Times New Roman" w:eastAsia="宋体" w:cs="Times New Roman"/>
                <w:b w:val="0"/>
                <w:bCs/>
                <w:color w:val="auto"/>
                <w:kern w:val="0"/>
                <w:sz w:val="21"/>
                <w:szCs w:val="21"/>
                <w:lang w:val="zh-CN" w:eastAsia="zh-CN" w:bidi="ar-SA"/>
              </w:rPr>
              <w:t>劳动保护用品与用具</w:t>
            </w:r>
            <w:r>
              <w:rPr>
                <w:rFonts w:hint="eastAsia" w:ascii="Times New Roman" w:hAnsi="Times New Roman" w:eastAsia="宋体" w:cs="Times New Roman"/>
                <w:b w:val="0"/>
                <w:bCs/>
                <w:color w:val="auto"/>
                <w:kern w:val="0"/>
                <w:sz w:val="21"/>
                <w:szCs w:val="21"/>
                <w:lang w:val="zh-CN" w:eastAsia="zh-CN" w:bidi="ar-SA"/>
              </w:rPr>
              <w:t>，或未督促教育</w:t>
            </w:r>
            <w:r>
              <w:rPr>
                <w:rFonts w:ascii="Times New Roman" w:hAnsi="Times New Roman" w:eastAsia="宋体" w:cs="Times New Roman"/>
                <w:b w:val="0"/>
                <w:bCs/>
                <w:color w:val="auto"/>
                <w:kern w:val="0"/>
                <w:sz w:val="21"/>
                <w:szCs w:val="21"/>
                <w:lang w:val="zh-CN" w:eastAsia="zh-CN" w:bidi="ar-SA"/>
              </w:rPr>
              <w:t>从业人员按规定</w:t>
            </w:r>
            <w:r>
              <w:rPr>
                <w:rFonts w:hint="eastAsia" w:ascii="Times New Roman" w:hAnsi="Times New Roman" w:eastAsia="宋体" w:cs="Times New Roman"/>
                <w:b w:val="0"/>
                <w:bCs/>
                <w:color w:val="auto"/>
                <w:kern w:val="0"/>
                <w:sz w:val="21"/>
                <w:szCs w:val="21"/>
                <w:lang w:val="zh-CN" w:eastAsia="zh-CN" w:bidi="ar-SA"/>
              </w:rPr>
              <w:t>正确</w:t>
            </w:r>
            <w:r>
              <w:rPr>
                <w:rFonts w:ascii="Times New Roman" w:hAnsi="Times New Roman" w:eastAsia="宋体" w:cs="Times New Roman"/>
                <w:b w:val="0"/>
                <w:bCs/>
                <w:color w:val="auto"/>
                <w:kern w:val="0"/>
                <w:sz w:val="21"/>
                <w:szCs w:val="21"/>
                <w:lang w:val="zh-CN" w:eastAsia="zh-CN" w:bidi="ar-SA"/>
              </w:rPr>
              <w:t>穿戴和使用劳动保护用品与用具</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E935E02">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不合规</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E811A49">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1F1CF20">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74DF46">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8</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3396F17">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AA0AFC">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较严重</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5F74EC20">
            <w:pPr>
              <w:tabs>
                <w:tab w:val="left" w:pos="18"/>
              </w:tabs>
              <w:snapToGrid w:val="0"/>
              <w:spacing w:line="300" w:lineRule="exact"/>
              <w:ind w:firstLine="0" w:firstLineChars="0"/>
              <w:jc w:val="center"/>
              <w:rPr>
                <w:rFonts w:ascii="Times New Roman" w:hAnsi="Times New Roman" w:eastAsia="宋体" w:cs="Times New Roman"/>
                <w:color w:val="auto"/>
                <w:sz w:val="21"/>
                <w:szCs w:val="21"/>
              </w:rPr>
            </w:pPr>
            <w:r>
              <w:rPr>
                <w:rFonts w:hint="eastAsia" w:ascii="宋体" w:hAnsi="宋体" w:eastAsia="宋体" w:cs="宋体"/>
                <w:color w:val="auto"/>
                <w:sz w:val="21"/>
                <w:szCs w:val="21"/>
              </w:rPr>
              <w:t>Ⅳ</w:t>
            </w:r>
            <w:r>
              <w:rPr>
                <w:rFonts w:ascii="Times New Roman" w:hAnsi="Times New Roman" w:eastAsia="宋体" w:cs="Times New Roman"/>
                <w:color w:val="auto"/>
                <w:sz w:val="21"/>
                <w:szCs w:val="21"/>
              </w:rPr>
              <w:t>级</w:t>
            </w:r>
          </w:p>
        </w:tc>
        <w:tc>
          <w:tcPr>
            <w:tcW w:w="1080" w:type="dxa"/>
            <w:tcBorders>
              <w:top w:val="single" w:color="auto" w:sz="4" w:space="0"/>
              <w:left w:val="single" w:color="auto" w:sz="4" w:space="0"/>
              <w:bottom w:val="single" w:color="auto" w:sz="4" w:space="0"/>
              <w:right w:val="single" w:color="auto" w:sz="4" w:space="0"/>
            </w:tcBorders>
            <w:noWrap w:val="0"/>
            <w:vAlign w:val="top"/>
          </w:tcPr>
          <w:p w14:paraId="2B164B40">
            <w:pPr>
              <w:spacing w:line="300" w:lineRule="exact"/>
              <w:ind w:firstLine="0" w:firstLineChars="0"/>
              <w:jc w:val="center"/>
              <w:rPr>
                <w:rFonts w:hint="eastAsia" w:ascii="Times New Roman" w:hAnsi="宋体" w:eastAsia="宋体" w:cs="Times New Roman"/>
                <w:color w:val="auto"/>
                <w:sz w:val="21"/>
                <w:szCs w:val="21"/>
              </w:rPr>
            </w:pPr>
            <w:r>
              <w:rPr>
                <w:rFonts w:hint="eastAsia" w:ascii="Times New Roman" w:hAnsi="宋体" w:eastAsia="宋体" w:cs="Times New Roman"/>
                <w:color w:val="auto"/>
                <w:sz w:val="21"/>
                <w:szCs w:val="21"/>
              </w:rPr>
              <w:t>尾矿库</w:t>
            </w:r>
          </w:p>
        </w:tc>
      </w:tr>
      <w:tr w14:paraId="73DC2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BA23707">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10</w:t>
            </w:r>
          </w:p>
        </w:tc>
        <w:tc>
          <w:tcPr>
            <w:tcW w:w="720" w:type="dxa"/>
            <w:vMerge w:val="continue"/>
            <w:tcBorders>
              <w:left w:val="single" w:color="auto" w:sz="4" w:space="0"/>
              <w:right w:val="single" w:color="auto" w:sz="4" w:space="0"/>
            </w:tcBorders>
            <w:shd w:val="clear" w:color="auto" w:fill="auto"/>
            <w:noWrap w:val="0"/>
            <w:vAlign w:val="center"/>
          </w:tcPr>
          <w:p w14:paraId="59009AA9">
            <w:pPr>
              <w:widowControl/>
              <w:spacing w:line="300" w:lineRule="exact"/>
              <w:ind w:firstLine="0" w:firstLineChars="0"/>
              <w:jc w:val="center"/>
              <w:rPr>
                <w:rFonts w:hint="eastAsia" w:ascii="Times New Roman" w:hAnsi="宋体" w:eastAsia="宋体" w:cs="Times New Roman"/>
                <w:b w:val="0"/>
                <w:bCs/>
                <w:color w:val="auto"/>
                <w:kern w:val="2"/>
                <w:sz w:val="21"/>
                <w:szCs w:val="21"/>
                <w:lang w:val="en-US" w:eastAsia="zh-CN" w:bidi="ar-SA"/>
              </w:rPr>
            </w:pPr>
          </w:p>
        </w:tc>
        <w:tc>
          <w:tcPr>
            <w:tcW w:w="201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DE9E182">
            <w:pPr>
              <w:widowControl/>
              <w:spacing w:line="300" w:lineRule="exact"/>
              <w:ind w:firstLine="0" w:firstLineChars="0"/>
              <w:jc w:val="both"/>
              <w:rPr>
                <w:rFonts w:hint="eastAsia" w:ascii="Times New Roman" w:hAnsi="Times New Roman" w:eastAsia="宋体" w:cs="Times New Roman"/>
                <w:b w:val="0"/>
                <w:bCs/>
                <w:color w:val="auto"/>
                <w:kern w:val="0"/>
                <w:sz w:val="21"/>
                <w:szCs w:val="21"/>
                <w:lang w:val="zh-CN" w:eastAsia="zh-CN" w:bidi="ar-SA"/>
              </w:rPr>
            </w:pPr>
            <w:r>
              <w:rPr>
                <w:rFonts w:hint="eastAsia" w:ascii="Times New Roman" w:hAnsi="Times New Roman" w:eastAsia="宋体" w:cs="Times New Roman"/>
                <w:b w:val="0"/>
                <w:bCs/>
                <w:color w:val="auto"/>
                <w:kern w:val="0"/>
                <w:sz w:val="21"/>
                <w:szCs w:val="21"/>
                <w:lang w:val="zh-CN" w:eastAsia="zh-CN" w:bidi="ar-SA"/>
              </w:rPr>
              <w:t>无安全设施设计或未审查批复；或重大设计变更未审查批复</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F51C50B">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违规</w:t>
            </w:r>
          </w:p>
          <w:p w14:paraId="07D0C58B">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建设</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BA9077D">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5ABCB5">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5</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757F8D5">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15</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6D3E3D">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8BC9907">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严重</w:t>
            </w:r>
          </w:p>
        </w:tc>
        <w:tc>
          <w:tcPr>
            <w:tcW w:w="1440"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58ECF1EB">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Ⅱ</w:t>
            </w:r>
            <w:r>
              <w:rPr>
                <w:rFonts w:ascii="Times New Roman" w:hAnsi="Times New Roman" w:eastAsia="宋体" w:cs="Times New Roman"/>
                <w:color w:val="auto"/>
                <w:sz w:val="21"/>
                <w:szCs w:val="21"/>
              </w:rPr>
              <w:t>级</w:t>
            </w:r>
          </w:p>
        </w:tc>
        <w:tc>
          <w:tcPr>
            <w:tcW w:w="1080" w:type="dxa"/>
            <w:tcBorders>
              <w:top w:val="single" w:color="auto" w:sz="4" w:space="0"/>
              <w:left w:val="single" w:color="auto" w:sz="4" w:space="0"/>
              <w:bottom w:val="single" w:color="auto" w:sz="4" w:space="0"/>
              <w:right w:val="single" w:color="auto" w:sz="4" w:space="0"/>
            </w:tcBorders>
            <w:noWrap w:val="0"/>
            <w:vAlign w:val="top"/>
          </w:tcPr>
          <w:p w14:paraId="0166BF21">
            <w:pPr>
              <w:spacing w:line="300" w:lineRule="exact"/>
              <w:ind w:firstLine="0" w:firstLineChars="0"/>
              <w:jc w:val="center"/>
              <w:rPr>
                <w:rFonts w:ascii="Times New Roman" w:hAnsi="Times New Roman" w:eastAsia="宋体" w:cs="Times New Roman"/>
                <w:color w:val="auto"/>
                <w:sz w:val="21"/>
              </w:rPr>
            </w:pPr>
            <w:r>
              <w:rPr>
                <w:rFonts w:hint="eastAsia" w:ascii="Times New Roman" w:hAnsi="宋体" w:eastAsia="宋体" w:cs="Times New Roman"/>
                <w:color w:val="auto"/>
                <w:sz w:val="21"/>
                <w:szCs w:val="21"/>
              </w:rPr>
              <w:t>尾矿库</w:t>
            </w:r>
          </w:p>
        </w:tc>
      </w:tr>
      <w:tr w14:paraId="1742B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168E15E">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11</w:t>
            </w:r>
          </w:p>
        </w:tc>
        <w:tc>
          <w:tcPr>
            <w:tcW w:w="720" w:type="dxa"/>
            <w:vMerge w:val="continue"/>
            <w:tcBorders>
              <w:left w:val="single" w:color="auto" w:sz="4" w:space="0"/>
              <w:right w:val="single" w:color="auto" w:sz="4" w:space="0"/>
            </w:tcBorders>
            <w:shd w:val="clear" w:color="auto" w:fill="auto"/>
            <w:noWrap w:val="0"/>
            <w:vAlign w:val="center"/>
          </w:tcPr>
          <w:p w14:paraId="7A386986">
            <w:pPr>
              <w:widowControl/>
              <w:spacing w:line="300" w:lineRule="exact"/>
              <w:ind w:firstLine="0" w:firstLineChars="0"/>
              <w:jc w:val="center"/>
              <w:rPr>
                <w:rFonts w:hint="eastAsia" w:ascii="Times New Roman" w:hAnsi="宋体" w:eastAsia="宋体" w:cs="Times New Roman"/>
                <w:b w:val="0"/>
                <w:bCs/>
                <w:color w:val="auto"/>
                <w:kern w:val="2"/>
                <w:sz w:val="21"/>
                <w:szCs w:val="21"/>
                <w:lang w:val="en-US" w:eastAsia="zh-CN" w:bidi="ar-SA"/>
              </w:rPr>
            </w:pPr>
          </w:p>
        </w:tc>
        <w:tc>
          <w:tcPr>
            <w:tcW w:w="201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27B4718">
            <w:pPr>
              <w:widowControl/>
              <w:spacing w:line="300" w:lineRule="exact"/>
              <w:ind w:firstLine="0" w:firstLineChars="0"/>
              <w:jc w:val="both"/>
              <w:rPr>
                <w:rFonts w:hint="eastAsia" w:ascii="Times New Roman" w:hAnsi="Times New Roman" w:eastAsia="宋体" w:cs="Times New Roman"/>
                <w:b w:val="0"/>
                <w:bCs/>
                <w:color w:val="auto"/>
                <w:kern w:val="0"/>
                <w:sz w:val="21"/>
                <w:szCs w:val="21"/>
                <w:lang w:val="zh-CN" w:eastAsia="zh-CN" w:bidi="ar-SA"/>
              </w:rPr>
            </w:pPr>
            <w:r>
              <w:rPr>
                <w:rFonts w:hint="eastAsia" w:ascii="Times New Roman" w:hAnsi="Times New Roman" w:eastAsia="宋体" w:cs="Times New Roman"/>
                <w:b w:val="0"/>
                <w:bCs/>
                <w:color w:val="auto"/>
                <w:kern w:val="0"/>
                <w:sz w:val="21"/>
                <w:szCs w:val="21"/>
                <w:lang w:val="zh-CN" w:eastAsia="zh-CN" w:bidi="ar-SA"/>
              </w:rPr>
              <w:t>无近期</w:t>
            </w:r>
            <w:r>
              <w:rPr>
                <w:rFonts w:ascii="Times New Roman" w:hAnsi="Times New Roman" w:eastAsia="宋体" w:cs="Times New Roman"/>
                <w:b w:val="0"/>
                <w:bCs/>
                <w:color w:val="auto"/>
                <w:kern w:val="0"/>
                <w:sz w:val="21"/>
                <w:szCs w:val="21"/>
                <w:lang w:val="zh-CN" w:eastAsia="zh-CN" w:bidi="ar-SA"/>
              </w:rPr>
              <w:t>实测的尾矿库现状图及尾矿年排放计划</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8981B8C">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不</w:t>
            </w:r>
          </w:p>
          <w:p w14:paraId="2D37F3B4">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合规</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59E117">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DCB0E70">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60E68CC">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4952189">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02FBD41">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一般</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4E1F3553">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Ⅳ级</w:t>
            </w:r>
          </w:p>
        </w:tc>
        <w:tc>
          <w:tcPr>
            <w:tcW w:w="1080" w:type="dxa"/>
            <w:tcBorders>
              <w:top w:val="single" w:color="auto" w:sz="4" w:space="0"/>
              <w:left w:val="single" w:color="auto" w:sz="4" w:space="0"/>
              <w:bottom w:val="single" w:color="auto" w:sz="4" w:space="0"/>
              <w:right w:val="single" w:color="auto" w:sz="4" w:space="0"/>
            </w:tcBorders>
            <w:noWrap w:val="0"/>
            <w:vAlign w:val="top"/>
          </w:tcPr>
          <w:p w14:paraId="19993BF7">
            <w:pPr>
              <w:spacing w:line="300" w:lineRule="exact"/>
              <w:ind w:firstLine="0" w:firstLineChars="0"/>
              <w:jc w:val="center"/>
              <w:rPr>
                <w:rFonts w:ascii="Times New Roman" w:hAnsi="Times New Roman" w:eastAsia="宋体" w:cs="Times New Roman"/>
                <w:color w:val="auto"/>
                <w:sz w:val="21"/>
              </w:rPr>
            </w:pPr>
            <w:r>
              <w:rPr>
                <w:rFonts w:hint="eastAsia" w:ascii="Times New Roman" w:hAnsi="宋体" w:eastAsia="宋体" w:cs="Times New Roman"/>
                <w:color w:val="auto"/>
                <w:sz w:val="21"/>
                <w:szCs w:val="21"/>
              </w:rPr>
              <w:t>尾矿库</w:t>
            </w:r>
          </w:p>
        </w:tc>
      </w:tr>
      <w:tr w14:paraId="4B8E6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D2FA4E7">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12</w:t>
            </w:r>
          </w:p>
        </w:tc>
        <w:tc>
          <w:tcPr>
            <w:tcW w:w="720" w:type="dxa"/>
            <w:vMerge w:val="continue"/>
            <w:tcBorders>
              <w:left w:val="single" w:color="auto" w:sz="4" w:space="0"/>
              <w:right w:val="single" w:color="auto" w:sz="4" w:space="0"/>
            </w:tcBorders>
            <w:shd w:val="clear" w:color="auto" w:fill="auto"/>
            <w:noWrap w:val="0"/>
            <w:vAlign w:val="center"/>
          </w:tcPr>
          <w:p w14:paraId="7881EE40">
            <w:pPr>
              <w:widowControl/>
              <w:spacing w:line="300" w:lineRule="exact"/>
              <w:ind w:firstLine="0" w:firstLineChars="0"/>
              <w:jc w:val="center"/>
              <w:rPr>
                <w:rFonts w:hint="eastAsia" w:ascii="Times New Roman" w:hAnsi="宋体" w:eastAsia="宋体" w:cs="Times New Roman"/>
                <w:b w:val="0"/>
                <w:bCs/>
                <w:color w:val="auto"/>
                <w:kern w:val="2"/>
                <w:sz w:val="21"/>
                <w:szCs w:val="21"/>
                <w:lang w:val="en-US" w:eastAsia="zh-CN" w:bidi="ar-SA"/>
              </w:rPr>
            </w:pPr>
          </w:p>
        </w:tc>
        <w:tc>
          <w:tcPr>
            <w:tcW w:w="201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3DA970">
            <w:pPr>
              <w:widowControl/>
              <w:spacing w:line="300" w:lineRule="exact"/>
              <w:ind w:firstLine="0" w:firstLineChars="0"/>
              <w:jc w:val="both"/>
              <w:rPr>
                <w:rFonts w:hint="eastAsia" w:ascii="Times New Roman" w:hAnsi="Times New Roman" w:eastAsia="宋体" w:cs="Times New Roman"/>
                <w:b w:val="0"/>
                <w:bCs/>
                <w:color w:val="auto"/>
                <w:kern w:val="0"/>
                <w:sz w:val="21"/>
                <w:szCs w:val="21"/>
                <w:lang w:val="zh-CN" w:eastAsia="zh-CN" w:bidi="ar-SA"/>
              </w:rPr>
            </w:pPr>
            <w:r>
              <w:rPr>
                <w:rFonts w:hint="eastAsia" w:ascii="Times New Roman" w:hAnsi="Times New Roman" w:eastAsia="宋体" w:cs="Times New Roman"/>
                <w:b w:val="0"/>
                <w:bCs/>
                <w:color w:val="auto"/>
                <w:kern w:val="0"/>
                <w:sz w:val="21"/>
                <w:szCs w:val="21"/>
                <w:lang w:val="zh-CN" w:eastAsia="zh-CN" w:bidi="ar-SA"/>
              </w:rPr>
              <w:t>未</w:t>
            </w:r>
            <w:r>
              <w:rPr>
                <w:rFonts w:ascii="Times New Roman" w:hAnsi="Times New Roman" w:eastAsia="宋体" w:cs="Times New Roman"/>
                <w:b w:val="0"/>
                <w:bCs/>
                <w:color w:val="auto"/>
                <w:kern w:val="0"/>
                <w:sz w:val="21"/>
                <w:szCs w:val="21"/>
                <w:lang w:val="zh-CN" w:eastAsia="zh-CN" w:bidi="ar-SA"/>
              </w:rPr>
              <w:t>进行</w:t>
            </w:r>
            <w:r>
              <w:rPr>
                <w:rFonts w:hint="eastAsia" w:ascii="Times New Roman" w:hAnsi="Times New Roman" w:eastAsia="宋体" w:cs="Times New Roman"/>
                <w:b w:val="0"/>
                <w:bCs/>
                <w:color w:val="auto"/>
                <w:kern w:val="0"/>
                <w:sz w:val="21"/>
                <w:szCs w:val="21"/>
                <w:lang w:val="zh-CN" w:eastAsia="zh-CN" w:bidi="ar-SA"/>
              </w:rPr>
              <w:t>尾矿库地质工程勘察</w:t>
            </w:r>
            <w:r>
              <w:rPr>
                <w:rFonts w:ascii="Times New Roman" w:hAnsi="Times New Roman" w:eastAsia="宋体" w:cs="Times New Roman"/>
                <w:b w:val="0"/>
                <w:bCs/>
                <w:color w:val="auto"/>
                <w:kern w:val="0"/>
                <w:sz w:val="21"/>
                <w:szCs w:val="21"/>
                <w:lang w:val="zh-CN" w:eastAsia="zh-CN" w:bidi="ar-SA"/>
              </w:rPr>
              <w:t>和稳定性分析</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45C7038">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不</w:t>
            </w:r>
          </w:p>
          <w:p w14:paraId="27382B3C">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合规</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72B452">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DDA0FA1">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2A60EB0">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8</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6A8AF18">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9055CDE">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较严重</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5DFA49A0">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Ⅳ</w:t>
            </w:r>
            <w:r>
              <w:rPr>
                <w:rFonts w:ascii="Times New Roman" w:hAnsi="Times New Roman" w:eastAsia="宋体" w:cs="Times New Roman"/>
                <w:color w:val="auto"/>
                <w:sz w:val="21"/>
                <w:szCs w:val="21"/>
              </w:rPr>
              <w:t>级</w:t>
            </w:r>
          </w:p>
        </w:tc>
        <w:tc>
          <w:tcPr>
            <w:tcW w:w="1080" w:type="dxa"/>
            <w:tcBorders>
              <w:top w:val="single" w:color="auto" w:sz="4" w:space="0"/>
              <w:left w:val="single" w:color="auto" w:sz="4" w:space="0"/>
              <w:bottom w:val="single" w:color="auto" w:sz="4" w:space="0"/>
              <w:right w:val="single" w:color="auto" w:sz="4" w:space="0"/>
            </w:tcBorders>
            <w:noWrap w:val="0"/>
            <w:vAlign w:val="top"/>
          </w:tcPr>
          <w:p w14:paraId="3BC96CBE">
            <w:pPr>
              <w:spacing w:line="300" w:lineRule="exact"/>
              <w:ind w:firstLine="0" w:firstLineChars="0"/>
              <w:jc w:val="center"/>
              <w:rPr>
                <w:rFonts w:hint="eastAsia" w:ascii="Times New Roman" w:hAnsi="宋体" w:eastAsia="宋体" w:cs="Times New Roman"/>
                <w:color w:val="auto"/>
                <w:sz w:val="21"/>
                <w:szCs w:val="21"/>
              </w:rPr>
            </w:pPr>
            <w:r>
              <w:rPr>
                <w:rFonts w:hint="eastAsia" w:ascii="Times New Roman" w:hAnsi="宋体" w:eastAsia="宋体" w:cs="Times New Roman"/>
                <w:color w:val="auto"/>
                <w:sz w:val="21"/>
                <w:szCs w:val="21"/>
              </w:rPr>
              <w:t>尾矿库</w:t>
            </w:r>
          </w:p>
        </w:tc>
      </w:tr>
      <w:tr w14:paraId="2E9FD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2516461">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13</w:t>
            </w:r>
          </w:p>
        </w:tc>
        <w:tc>
          <w:tcPr>
            <w:tcW w:w="720" w:type="dxa"/>
            <w:vMerge w:val="continue"/>
            <w:tcBorders>
              <w:left w:val="single" w:color="auto" w:sz="4" w:space="0"/>
              <w:right w:val="single" w:color="auto" w:sz="4" w:space="0"/>
            </w:tcBorders>
            <w:shd w:val="clear" w:color="auto" w:fill="auto"/>
            <w:noWrap w:val="0"/>
            <w:vAlign w:val="center"/>
          </w:tcPr>
          <w:p w14:paraId="30917619">
            <w:pPr>
              <w:widowControl/>
              <w:spacing w:line="300" w:lineRule="exact"/>
              <w:ind w:firstLine="0" w:firstLineChars="0"/>
              <w:jc w:val="center"/>
              <w:rPr>
                <w:rFonts w:hint="eastAsia" w:ascii="Times New Roman" w:hAnsi="宋体" w:eastAsia="宋体" w:cs="Times New Roman"/>
                <w:b w:val="0"/>
                <w:bCs/>
                <w:color w:val="auto"/>
                <w:kern w:val="2"/>
                <w:sz w:val="21"/>
                <w:szCs w:val="21"/>
                <w:lang w:val="en-US" w:eastAsia="zh-CN" w:bidi="ar-SA"/>
              </w:rPr>
            </w:pPr>
          </w:p>
        </w:tc>
        <w:tc>
          <w:tcPr>
            <w:tcW w:w="201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A2789B2">
            <w:pPr>
              <w:widowControl/>
              <w:spacing w:line="300" w:lineRule="exact"/>
              <w:ind w:firstLine="0" w:firstLineChars="0"/>
              <w:jc w:val="both"/>
              <w:rPr>
                <w:rFonts w:hint="eastAsia" w:ascii="Times New Roman" w:hAnsi="Times New Roman" w:eastAsia="宋体" w:cs="Times New Roman"/>
                <w:b w:val="0"/>
                <w:bCs/>
                <w:color w:val="auto"/>
                <w:kern w:val="0"/>
                <w:sz w:val="21"/>
                <w:szCs w:val="21"/>
                <w:lang w:val="zh-CN" w:eastAsia="zh-CN" w:bidi="ar-SA"/>
              </w:rPr>
            </w:pPr>
            <w:r>
              <w:rPr>
                <w:rFonts w:hint="eastAsia" w:ascii="Times New Roman" w:hAnsi="Times New Roman" w:eastAsia="宋体" w:cs="Times New Roman"/>
                <w:b w:val="0"/>
                <w:bCs/>
                <w:color w:val="auto"/>
                <w:kern w:val="0"/>
                <w:sz w:val="21"/>
                <w:szCs w:val="21"/>
                <w:lang w:val="zh-CN" w:eastAsia="zh-CN" w:bidi="ar-SA"/>
              </w:rPr>
              <w:t>未进行安全风险评估和安全评价及调洪演算</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CC5546E">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不</w:t>
            </w:r>
          </w:p>
          <w:p w14:paraId="718D3AF6">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合规</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EE6FA18">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0E0F2C">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3B5DE0D">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8</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3BD103">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9D1A11">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较严重</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6FCB2C9C">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Ⅳ</w:t>
            </w:r>
            <w:r>
              <w:rPr>
                <w:rFonts w:ascii="Times New Roman" w:hAnsi="Times New Roman" w:eastAsia="宋体" w:cs="Times New Roman"/>
                <w:color w:val="auto"/>
                <w:sz w:val="21"/>
                <w:szCs w:val="21"/>
              </w:rPr>
              <w:t>级</w:t>
            </w:r>
          </w:p>
        </w:tc>
        <w:tc>
          <w:tcPr>
            <w:tcW w:w="1080" w:type="dxa"/>
            <w:tcBorders>
              <w:top w:val="single" w:color="auto" w:sz="4" w:space="0"/>
              <w:left w:val="single" w:color="auto" w:sz="4" w:space="0"/>
              <w:bottom w:val="single" w:color="auto" w:sz="4" w:space="0"/>
              <w:right w:val="single" w:color="auto" w:sz="4" w:space="0"/>
            </w:tcBorders>
            <w:noWrap w:val="0"/>
            <w:vAlign w:val="top"/>
          </w:tcPr>
          <w:p w14:paraId="48A7681F">
            <w:pPr>
              <w:spacing w:line="300" w:lineRule="exact"/>
              <w:ind w:firstLine="0" w:firstLineChars="0"/>
              <w:jc w:val="center"/>
              <w:rPr>
                <w:rFonts w:ascii="Times New Roman" w:hAnsi="Times New Roman" w:eastAsia="宋体" w:cs="Times New Roman"/>
                <w:color w:val="auto"/>
                <w:sz w:val="21"/>
              </w:rPr>
            </w:pPr>
            <w:r>
              <w:rPr>
                <w:rFonts w:hint="eastAsia" w:ascii="Times New Roman" w:hAnsi="宋体" w:eastAsia="宋体" w:cs="Times New Roman"/>
                <w:color w:val="auto"/>
                <w:sz w:val="21"/>
                <w:szCs w:val="21"/>
              </w:rPr>
              <w:t>尾矿库</w:t>
            </w:r>
          </w:p>
        </w:tc>
      </w:tr>
      <w:tr w14:paraId="45AA9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98ED5BA">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14</w:t>
            </w:r>
          </w:p>
        </w:tc>
        <w:tc>
          <w:tcPr>
            <w:tcW w:w="720" w:type="dxa"/>
            <w:vMerge w:val="continue"/>
            <w:tcBorders>
              <w:left w:val="single" w:color="auto" w:sz="4" w:space="0"/>
              <w:right w:val="single" w:color="auto" w:sz="4" w:space="0"/>
            </w:tcBorders>
            <w:shd w:val="clear" w:color="auto" w:fill="auto"/>
            <w:noWrap w:val="0"/>
            <w:vAlign w:val="center"/>
          </w:tcPr>
          <w:p w14:paraId="354DB65D">
            <w:pPr>
              <w:widowControl/>
              <w:spacing w:line="300" w:lineRule="exact"/>
              <w:ind w:firstLine="0" w:firstLineChars="0"/>
              <w:jc w:val="center"/>
              <w:rPr>
                <w:rFonts w:hint="eastAsia" w:ascii="Times New Roman" w:hAnsi="宋体" w:eastAsia="宋体" w:cs="Times New Roman"/>
                <w:b w:val="0"/>
                <w:bCs/>
                <w:color w:val="auto"/>
                <w:kern w:val="2"/>
                <w:sz w:val="21"/>
                <w:szCs w:val="21"/>
                <w:lang w:val="en-US" w:eastAsia="zh-CN" w:bidi="ar-SA"/>
              </w:rPr>
            </w:pPr>
          </w:p>
        </w:tc>
        <w:tc>
          <w:tcPr>
            <w:tcW w:w="201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6037F71">
            <w:pPr>
              <w:widowControl/>
              <w:spacing w:line="300" w:lineRule="exact"/>
              <w:ind w:firstLine="0" w:firstLineChars="0"/>
              <w:jc w:val="both"/>
              <w:rPr>
                <w:rFonts w:hint="eastAsia" w:ascii="Times New Roman" w:hAnsi="Times New Roman" w:eastAsia="宋体" w:cs="Times New Roman"/>
                <w:b w:val="0"/>
                <w:bCs/>
                <w:color w:val="auto"/>
                <w:kern w:val="0"/>
                <w:sz w:val="21"/>
                <w:szCs w:val="21"/>
                <w:lang w:val="zh-CN" w:eastAsia="zh-CN" w:bidi="ar-SA"/>
              </w:rPr>
            </w:pPr>
            <w:r>
              <w:rPr>
                <w:rFonts w:hint="eastAsia" w:ascii="Times New Roman" w:hAnsi="Times New Roman" w:eastAsia="宋体" w:cs="Times New Roman"/>
                <w:b w:val="0"/>
                <w:bCs/>
                <w:color w:val="auto"/>
                <w:kern w:val="0"/>
                <w:sz w:val="21"/>
                <w:szCs w:val="21"/>
                <w:lang w:val="zh-CN" w:eastAsia="zh-CN" w:bidi="ar-SA"/>
              </w:rPr>
              <w:t>未进行入库尾矿指标检测；未定期开展尾矿库测绘；未进行安全监测数据分析</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91B413">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不合规</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BF8EDF5">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3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6C8C0F1">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62B1B8">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560E423">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5137181">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一般</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47132BCA">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Ⅳ</w:t>
            </w:r>
            <w:r>
              <w:rPr>
                <w:rFonts w:ascii="Times New Roman" w:hAnsi="Times New Roman" w:eastAsia="宋体" w:cs="Times New Roman"/>
                <w:color w:val="auto"/>
                <w:sz w:val="21"/>
                <w:szCs w:val="21"/>
              </w:rPr>
              <w:t>级</w:t>
            </w:r>
          </w:p>
        </w:tc>
        <w:tc>
          <w:tcPr>
            <w:tcW w:w="1080" w:type="dxa"/>
            <w:tcBorders>
              <w:top w:val="single" w:color="auto" w:sz="4" w:space="0"/>
              <w:left w:val="single" w:color="auto" w:sz="4" w:space="0"/>
              <w:bottom w:val="single" w:color="auto" w:sz="4" w:space="0"/>
              <w:right w:val="single" w:color="auto" w:sz="4" w:space="0"/>
            </w:tcBorders>
            <w:noWrap w:val="0"/>
            <w:vAlign w:val="top"/>
          </w:tcPr>
          <w:p w14:paraId="742195E2">
            <w:pPr>
              <w:spacing w:line="300" w:lineRule="exact"/>
              <w:ind w:firstLine="0" w:firstLineChars="0"/>
              <w:jc w:val="center"/>
              <w:rPr>
                <w:rFonts w:ascii="Times New Roman" w:hAnsi="Times New Roman" w:eastAsia="宋体" w:cs="Times New Roman"/>
                <w:color w:val="auto"/>
                <w:sz w:val="21"/>
              </w:rPr>
            </w:pPr>
            <w:r>
              <w:rPr>
                <w:rFonts w:hint="eastAsia" w:ascii="Times New Roman" w:hAnsi="宋体" w:eastAsia="宋体" w:cs="Times New Roman"/>
                <w:color w:val="auto"/>
                <w:sz w:val="21"/>
                <w:szCs w:val="21"/>
              </w:rPr>
              <w:t>尾矿库</w:t>
            </w:r>
          </w:p>
        </w:tc>
      </w:tr>
    </w:tbl>
    <w:p w14:paraId="5A08A8FC">
      <w:pPr>
        <w:pStyle w:val="4"/>
        <w:bidi w:val="0"/>
        <w:rPr>
          <w:rFonts w:hint="default"/>
          <w:color w:val="auto"/>
          <w:lang w:val="en-US" w:eastAsia="zh-CN"/>
        </w:rPr>
      </w:pPr>
      <w:bookmarkStart w:id="135" w:name="_Toc12367"/>
      <w:r>
        <w:rPr>
          <w:rFonts w:hint="default"/>
          <w:color w:val="auto"/>
          <w:lang w:val="en-US" w:eastAsia="zh-CN"/>
        </w:rPr>
        <w:t>5.4.3</w:t>
      </w:r>
      <w:r>
        <w:rPr>
          <w:rFonts w:hint="eastAsia"/>
          <w:color w:val="auto"/>
          <w:lang w:val="en-US" w:eastAsia="zh-CN"/>
        </w:rPr>
        <w:t xml:space="preserve"> </w:t>
      </w:r>
      <w:r>
        <w:rPr>
          <w:rFonts w:hint="default"/>
          <w:color w:val="auto"/>
          <w:lang w:val="en-US" w:eastAsia="zh-CN"/>
        </w:rPr>
        <w:t>尾矿库重大危险源判定</w:t>
      </w:r>
      <w:bookmarkEnd w:id="135"/>
    </w:p>
    <w:p w14:paraId="34FBB9F6">
      <w:pPr>
        <w:bidi w:val="0"/>
        <w:rPr>
          <w:rFonts w:hint="default"/>
          <w:color w:val="auto"/>
          <w:lang w:val="en-US" w:eastAsia="zh-CN"/>
        </w:rPr>
      </w:pPr>
      <w:r>
        <w:rPr>
          <w:rFonts w:hint="default"/>
          <w:color w:val="auto"/>
          <w:lang w:val="en-US" w:eastAsia="zh-CN"/>
        </w:rPr>
        <w:t>《关于开展重大危险源监督管理工作的指导意见》（原安监管协调字〔2004〕56号）曾经将四等及以上的尾矿库纳入重大危险源进行监督管理。《国家安全监管总局关于宣布失效一批安全生产文件的通知》（安监总办〔2016〕13号）中，已将《关于开展重大危险源监督管理工作的指导意见》宣布失效，即取消了尾矿库进行重大危险源申报登记工作。依据《中华人民共和国安全生产法》和《危险化学品重大危险源辨识》，</w:t>
      </w:r>
      <w:r>
        <w:rPr>
          <w:rFonts w:hint="eastAsia"/>
          <w:color w:val="auto"/>
          <w:lang w:val="en-US" w:eastAsia="zh-CN"/>
        </w:rPr>
        <w:t>“</w:t>
      </w:r>
      <w:r>
        <w:rPr>
          <w:rFonts w:hint="default"/>
          <w:color w:val="auto"/>
          <w:lang w:val="en-US" w:eastAsia="zh-CN"/>
        </w:rPr>
        <w:t>重大危险源，是指长期地或者临时地生产、搬运、使用或者储存危险物品，且危险物品的数量等于或者超过临界量的单元（包括场所和设施）</w:t>
      </w:r>
      <w:r>
        <w:rPr>
          <w:rFonts w:hint="eastAsia"/>
          <w:color w:val="auto"/>
          <w:lang w:val="en-US" w:eastAsia="zh-CN"/>
        </w:rPr>
        <w:t>”</w:t>
      </w:r>
      <w:r>
        <w:rPr>
          <w:rFonts w:hint="default"/>
          <w:color w:val="auto"/>
          <w:lang w:val="en-US" w:eastAsia="zh-CN"/>
        </w:rPr>
        <w:t>，可知重大危险源主要针对的是危险物品，但杨家店尾矿库堆存的尾矿属于工业固体废物，不在危险物品之列。故杨家店尾矿库不属于重大危险源范畴。但尾矿库是矿山企业重要的危险源，是一个具有高势能的人造泥石流的危险源，一旦失事，将给下游造成严重损失。江西浒坑钨业有限责任公司仍应登记建档、定期检测、评估、监控，并制定应急预案，告知从业人员和相关人员在紧急情况下应当采取的应急措施，并报应急部门备案。</w:t>
      </w:r>
    </w:p>
    <w:p w14:paraId="5AC80482">
      <w:pPr>
        <w:bidi w:val="0"/>
        <w:rPr>
          <w:rFonts w:hint="default"/>
          <w:color w:val="auto"/>
          <w:lang w:val="en-US" w:eastAsia="zh-CN"/>
        </w:rPr>
        <w:sectPr>
          <w:footerReference r:id="rId7" w:type="default"/>
          <w:type w:val="continuous"/>
          <w:pgSz w:w="11906" w:h="16839"/>
          <w:pgMar w:top="1417" w:right="1417" w:bottom="1417" w:left="1417" w:header="850" w:footer="992" w:gutter="0"/>
          <w:pgNumType w:fmt="decimal" w:start="1"/>
          <w:cols w:space="425" w:num="1"/>
          <w:rtlGutter w:val="0"/>
          <w:docGrid w:linePitch="312" w:charSpace="0"/>
        </w:sectPr>
      </w:pPr>
    </w:p>
    <w:p w14:paraId="41218D17">
      <w:pPr>
        <w:pStyle w:val="4"/>
        <w:bidi w:val="0"/>
        <w:rPr>
          <w:rFonts w:hint="default"/>
          <w:color w:val="auto"/>
          <w:lang w:val="en-US" w:eastAsia="zh-CN"/>
        </w:rPr>
      </w:pPr>
      <w:bookmarkStart w:id="136" w:name="_Toc8393"/>
      <w:r>
        <w:rPr>
          <w:rFonts w:hint="default"/>
          <w:color w:val="auto"/>
          <w:lang w:val="en-US" w:eastAsia="zh-CN"/>
        </w:rPr>
        <w:t>5.4.4</w:t>
      </w:r>
      <w:r>
        <w:rPr>
          <w:rFonts w:hint="eastAsia"/>
          <w:color w:val="auto"/>
          <w:lang w:val="en-US" w:eastAsia="zh-CN"/>
        </w:rPr>
        <w:t xml:space="preserve"> </w:t>
      </w:r>
      <w:r>
        <w:rPr>
          <w:rFonts w:hint="default"/>
          <w:color w:val="auto"/>
          <w:lang w:val="en-US" w:eastAsia="zh-CN"/>
        </w:rPr>
        <w:t>安全监管风险分级评定法</w:t>
      </w:r>
      <w:bookmarkEnd w:id="136"/>
    </w:p>
    <w:p w14:paraId="407C3851">
      <w:pPr>
        <w:bidi w:val="0"/>
        <w:rPr>
          <w:rFonts w:hint="default"/>
          <w:color w:val="auto"/>
          <w:lang w:val="en-US" w:eastAsia="zh-CN"/>
        </w:rPr>
      </w:pPr>
      <w:r>
        <w:rPr>
          <w:rFonts w:hint="default"/>
          <w:color w:val="auto"/>
          <w:lang w:val="en-US" w:eastAsia="zh-CN"/>
        </w:rPr>
        <w:t>依《江西省金属非金属矿尾矿库安全监管风险分级评定表》，对杨家店尾矿库的风险等级进行分析评判。</w:t>
      </w:r>
    </w:p>
    <w:p w14:paraId="34E79095">
      <w:pPr>
        <w:bidi w:val="0"/>
        <w:ind w:left="0" w:leftChars="0" w:firstLine="0" w:firstLineChars="0"/>
        <w:jc w:val="center"/>
        <w:rPr>
          <w:rFonts w:hint="default"/>
          <w:color w:val="auto"/>
          <w:lang w:val="en-US" w:eastAsia="zh-CN"/>
        </w:rPr>
      </w:pPr>
      <w:r>
        <w:rPr>
          <w:rFonts w:hint="eastAsia" w:hAnsi="宋体"/>
          <w:color w:val="auto"/>
          <w:sz w:val="28"/>
          <w:szCs w:val="28"/>
        </w:rPr>
        <w:t>表</w:t>
      </w:r>
      <w:r>
        <w:rPr>
          <w:rFonts w:hint="eastAsia" w:hAnsi="宋体"/>
          <w:color w:val="auto"/>
          <w:sz w:val="28"/>
          <w:szCs w:val="28"/>
          <w:lang w:val="en-US" w:eastAsia="zh-CN"/>
        </w:rPr>
        <w:t xml:space="preserve">5.4-1 </w:t>
      </w:r>
      <w:r>
        <w:rPr>
          <w:rFonts w:hint="default"/>
          <w:color w:val="auto"/>
          <w:lang w:val="en-US" w:eastAsia="zh-CN"/>
        </w:rPr>
        <w:t>杨家店尾矿库风险等级评定表</w:t>
      </w:r>
    </w:p>
    <w:tbl>
      <w:tblPr>
        <w:tblStyle w:val="19"/>
        <w:tblW w:w="1458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6120"/>
        <w:gridCol w:w="540"/>
        <w:gridCol w:w="443"/>
        <w:gridCol w:w="817"/>
        <w:gridCol w:w="5220"/>
      </w:tblGrid>
      <w:tr w14:paraId="2085A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440" w:type="dxa"/>
            <w:noWrap w:val="0"/>
            <w:vAlign w:val="center"/>
          </w:tcPr>
          <w:p w14:paraId="2167F3C3">
            <w:pPr>
              <w:spacing w:line="300" w:lineRule="exact"/>
              <w:ind w:firstLine="0" w:firstLineChars="0"/>
              <w:jc w:val="center"/>
              <w:rPr>
                <w:rFonts w:ascii="Times New Roman" w:hAnsi="Times New Roman" w:eastAsia="宋体"/>
                <w:color w:val="auto"/>
                <w:sz w:val="21"/>
                <w:szCs w:val="21"/>
              </w:rPr>
            </w:pPr>
            <w:r>
              <w:rPr>
                <w:rFonts w:ascii="Times New Roman" w:hAnsi="Times New Roman" w:eastAsia="宋体"/>
                <w:color w:val="auto"/>
                <w:kern w:val="0"/>
                <w:sz w:val="21"/>
                <w:szCs w:val="21"/>
              </w:rPr>
              <w:t>风险因素</w:t>
            </w:r>
          </w:p>
        </w:tc>
        <w:tc>
          <w:tcPr>
            <w:tcW w:w="6120" w:type="dxa"/>
            <w:noWrap w:val="0"/>
            <w:vAlign w:val="center"/>
          </w:tcPr>
          <w:p w14:paraId="49E052D2">
            <w:pPr>
              <w:keepLines/>
              <w:spacing w:line="300" w:lineRule="exact"/>
              <w:ind w:firstLine="0" w:firstLineChars="0"/>
              <w:jc w:val="center"/>
              <w:rPr>
                <w:rFonts w:ascii="Times New Roman" w:hAnsi="Times New Roman" w:eastAsia="宋体"/>
                <w:color w:val="auto"/>
                <w:sz w:val="21"/>
                <w:szCs w:val="21"/>
              </w:rPr>
            </w:pPr>
            <w:r>
              <w:rPr>
                <w:rFonts w:ascii="Times New Roman" w:hAnsi="Times New Roman" w:eastAsia="宋体"/>
                <w:color w:val="auto"/>
                <w:kern w:val="0"/>
                <w:sz w:val="21"/>
                <w:szCs w:val="21"/>
              </w:rPr>
              <w:t>风险因素分值标准</w:t>
            </w:r>
          </w:p>
        </w:tc>
        <w:tc>
          <w:tcPr>
            <w:tcW w:w="983" w:type="dxa"/>
            <w:gridSpan w:val="2"/>
            <w:noWrap w:val="0"/>
            <w:vAlign w:val="center"/>
          </w:tcPr>
          <w:p w14:paraId="095005EB">
            <w:pPr>
              <w:keepLines/>
              <w:spacing w:line="300" w:lineRule="exact"/>
              <w:ind w:firstLine="0" w:firstLineChars="0"/>
              <w:jc w:val="center"/>
              <w:rPr>
                <w:rFonts w:ascii="Times New Roman" w:hAnsi="Times New Roman" w:eastAsia="宋体"/>
                <w:color w:val="auto"/>
                <w:sz w:val="21"/>
                <w:szCs w:val="21"/>
              </w:rPr>
            </w:pPr>
            <w:r>
              <w:rPr>
                <w:rFonts w:ascii="Times New Roman" w:hAnsi="Times New Roman" w:eastAsia="宋体"/>
                <w:color w:val="auto"/>
                <w:kern w:val="0"/>
                <w:sz w:val="21"/>
                <w:szCs w:val="21"/>
              </w:rPr>
              <w:t>分值范围</w:t>
            </w:r>
          </w:p>
        </w:tc>
        <w:tc>
          <w:tcPr>
            <w:tcW w:w="817" w:type="dxa"/>
            <w:noWrap w:val="0"/>
            <w:vAlign w:val="center"/>
          </w:tcPr>
          <w:p w14:paraId="1F7F577B">
            <w:pPr>
              <w:keepLines/>
              <w:spacing w:line="300" w:lineRule="exact"/>
              <w:ind w:firstLine="0" w:firstLineChars="0"/>
              <w:jc w:val="center"/>
              <w:rPr>
                <w:rFonts w:ascii="Times New Roman" w:hAnsi="Times New Roman" w:eastAsia="宋体"/>
                <w:color w:val="auto"/>
                <w:sz w:val="21"/>
                <w:szCs w:val="21"/>
              </w:rPr>
            </w:pPr>
            <w:r>
              <w:rPr>
                <w:rFonts w:ascii="Times New Roman" w:hAnsi="Times New Roman" w:eastAsia="宋体"/>
                <w:color w:val="auto"/>
                <w:sz w:val="21"/>
                <w:szCs w:val="21"/>
              </w:rPr>
              <w:t>得分</w:t>
            </w:r>
          </w:p>
        </w:tc>
        <w:tc>
          <w:tcPr>
            <w:tcW w:w="5220" w:type="dxa"/>
            <w:noWrap w:val="0"/>
            <w:vAlign w:val="center"/>
          </w:tcPr>
          <w:p w14:paraId="20733961">
            <w:pPr>
              <w:keepLines/>
              <w:spacing w:line="300" w:lineRule="exact"/>
              <w:ind w:firstLine="0" w:firstLineChars="0"/>
              <w:jc w:val="center"/>
              <w:rPr>
                <w:rFonts w:ascii="Times New Roman" w:hAnsi="Times New Roman" w:eastAsia="宋体"/>
                <w:color w:val="auto"/>
                <w:sz w:val="21"/>
                <w:szCs w:val="21"/>
              </w:rPr>
            </w:pPr>
            <w:r>
              <w:rPr>
                <w:rFonts w:ascii="Times New Roman" w:hAnsi="Times New Roman" w:eastAsia="宋体"/>
                <w:color w:val="auto"/>
                <w:sz w:val="21"/>
                <w:szCs w:val="21"/>
              </w:rPr>
              <w:t>备注</w:t>
            </w:r>
          </w:p>
        </w:tc>
      </w:tr>
      <w:tr w14:paraId="08B60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noWrap w:val="0"/>
            <w:vAlign w:val="center"/>
          </w:tcPr>
          <w:p w14:paraId="744E4BE3">
            <w:pPr>
              <w:spacing w:line="300" w:lineRule="exact"/>
              <w:ind w:firstLine="0" w:firstLineChars="0"/>
              <w:rPr>
                <w:rFonts w:ascii="Times New Roman" w:hAnsi="Times New Roman" w:eastAsia="宋体"/>
                <w:color w:val="auto"/>
                <w:kern w:val="0"/>
                <w:sz w:val="21"/>
                <w:szCs w:val="21"/>
              </w:rPr>
            </w:pPr>
            <w:r>
              <w:rPr>
                <w:rFonts w:ascii="Times New Roman" w:hAnsi="Times New Roman" w:eastAsia="宋体"/>
                <w:color w:val="auto"/>
                <w:kern w:val="0"/>
                <w:sz w:val="21"/>
                <w:szCs w:val="21"/>
              </w:rPr>
              <w:t>一、固有风险</w:t>
            </w:r>
          </w:p>
        </w:tc>
        <w:tc>
          <w:tcPr>
            <w:tcW w:w="6120" w:type="dxa"/>
            <w:noWrap w:val="0"/>
            <w:vAlign w:val="center"/>
          </w:tcPr>
          <w:p w14:paraId="5140D14E">
            <w:pPr>
              <w:keepLines/>
              <w:spacing w:line="300" w:lineRule="exact"/>
              <w:ind w:firstLine="0" w:firstLineChars="0"/>
              <w:jc w:val="center"/>
              <w:rPr>
                <w:rFonts w:ascii="Times New Roman" w:hAnsi="Times New Roman" w:eastAsia="宋体"/>
                <w:color w:val="auto"/>
                <w:kern w:val="0"/>
                <w:sz w:val="21"/>
                <w:szCs w:val="21"/>
              </w:rPr>
            </w:pPr>
          </w:p>
        </w:tc>
        <w:tc>
          <w:tcPr>
            <w:tcW w:w="983" w:type="dxa"/>
            <w:gridSpan w:val="2"/>
            <w:noWrap w:val="0"/>
            <w:vAlign w:val="center"/>
          </w:tcPr>
          <w:p w14:paraId="41487DC2">
            <w:pPr>
              <w:keepLines/>
              <w:spacing w:line="300" w:lineRule="exact"/>
              <w:ind w:firstLine="0" w:firstLineChars="0"/>
              <w:jc w:val="center"/>
              <w:rPr>
                <w:rFonts w:ascii="Times New Roman" w:hAnsi="Times New Roman" w:eastAsia="宋体"/>
                <w:color w:val="auto"/>
                <w:kern w:val="0"/>
                <w:sz w:val="21"/>
                <w:szCs w:val="21"/>
              </w:rPr>
            </w:pPr>
            <w:r>
              <w:rPr>
                <w:rFonts w:ascii="Times New Roman" w:hAnsi="Times New Roman" w:eastAsia="宋体"/>
                <w:color w:val="auto"/>
                <w:kern w:val="0"/>
                <w:sz w:val="21"/>
                <w:szCs w:val="21"/>
              </w:rPr>
              <w:t>24</w:t>
            </w:r>
          </w:p>
        </w:tc>
        <w:tc>
          <w:tcPr>
            <w:tcW w:w="817" w:type="dxa"/>
            <w:noWrap w:val="0"/>
            <w:vAlign w:val="center"/>
          </w:tcPr>
          <w:p w14:paraId="703E5677">
            <w:pPr>
              <w:keepLines/>
              <w:spacing w:line="300" w:lineRule="exact"/>
              <w:ind w:firstLine="0" w:firstLineChars="0"/>
              <w:jc w:val="center"/>
              <w:rPr>
                <w:rFonts w:ascii="Times New Roman" w:hAnsi="Times New Roman" w:eastAsia="宋体"/>
                <w:color w:val="auto"/>
                <w:sz w:val="21"/>
                <w:szCs w:val="21"/>
              </w:rPr>
            </w:pPr>
          </w:p>
        </w:tc>
        <w:tc>
          <w:tcPr>
            <w:tcW w:w="5220" w:type="dxa"/>
            <w:noWrap w:val="0"/>
            <w:vAlign w:val="center"/>
          </w:tcPr>
          <w:p w14:paraId="72B0AF83">
            <w:pPr>
              <w:keepLines/>
              <w:spacing w:line="300" w:lineRule="exact"/>
              <w:ind w:firstLine="0" w:firstLineChars="0"/>
              <w:jc w:val="center"/>
              <w:rPr>
                <w:rFonts w:ascii="Times New Roman" w:hAnsi="Times New Roman" w:eastAsia="宋体"/>
                <w:color w:val="auto"/>
                <w:sz w:val="21"/>
                <w:szCs w:val="21"/>
              </w:rPr>
            </w:pPr>
          </w:p>
        </w:tc>
      </w:tr>
      <w:tr w14:paraId="72856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restart"/>
            <w:noWrap w:val="0"/>
            <w:vAlign w:val="center"/>
          </w:tcPr>
          <w:p w14:paraId="022D8A08">
            <w:pPr>
              <w:spacing w:line="300" w:lineRule="exact"/>
              <w:ind w:firstLine="0" w:firstLineChars="0"/>
              <w:rPr>
                <w:rFonts w:ascii="Times New Roman" w:hAnsi="Times New Roman" w:eastAsia="宋体"/>
                <w:color w:val="auto"/>
                <w:kern w:val="0"/>
                <w:sz w:val="21"/>
                <w:szCs w:val="21"/>
              </w:rPr>
            </w:pPr>
            <w:r>
              <w:rPr>
                <w:rFonts w:ascii="Times New Roman" w:hAnsi="Times New Roman" w:eastAsia="宋体"/>
                <w:color w:val="auto"/>
                <w:kern w:val="0"/>
                <w:sz w:val="21"/>
                <w:szCs w:val="21"/>
              </w:rPr>
              <w:t>1.1 安全度</w:t>
            </w:r>
          </w:p>
        </w:tc>
        <w:tc>
          <w:tcPr>
            <w:tcW w:w="6120" w:type="dxa"/>
            <w:noWrap w:val="0"/>
            <w:vAlign w:val="center"/>
          </w:tcPr>
          <w:p w14:paraId="29EBA986">
            <w:pPr>
              <w:keepLines/>
              <w:spacing w:line="300" w:lineRule="exact"/>
              <w:ind w:firstLine="0" w:firstLineChars="0"/>
              <w:jc w:val="left"/>
              <w:rPr>
                <w:rFonts w:ascii="Times New Roman" w:hAnsi="Times New Roman" w:eastAsia="宋体"/>
                <w:color w:val="auto"/>
                <w:kern w:val="0"/>
                <w:sz w:val="21"/>
                <w:szCs w:val="21"/>
              </w:rPr>
            </w:pPr>
            <w:r>
              <w:rPr>
                <w:rFonts w:ascii="Times New Roman" w:hAnsi="Times New Roman" w:eastAsia="宋体"/>
                <w:color w:val="auto"/>
                <w:kern w:val="0"/>
                <w:sz w:val="21"/>
                <w:szCs w:val="21"/>
              </w:rPr>
              <w:t>安全度为危库或险库</w:t>
            </w:r>
          </w:p>
        </w:tc>
        <w:tc>
          <w:tcPr>
            <w:tcW w:w="983" w:type="dxa"/>
            <w:gridSpan w:val="2"/>
            <w:noWrap w:val="0"/>
            <w:vAlign w:val="center"/>
          </w:tcPr>
          <w:p w14:paraId="5B3306B1">
            <w:pPr>
              <w:keepLines/>
              <w:spacing w:line="300" w:lineRule="exact"/>
              <w:ind w:firstLine="0" w:firstLineChars="0"/>
              <w:jc w:val="center"/>
              <w:rPr>
                <w:rFonts w:ascii="Times New Roman" w:hAnsi="Times New Roman" w:eastAsia="宋体"/>
                <w:color w:val="auto"/>
                <w:kern w:val="0"/>
                <w:sz w:val="21"/>
                <w:szCs w:val="21"/>
              </w:rPr>
            </w:pPr>
            <w:r>
              <w:rPr>
                <w:rFonts w:ascii="Times New Roman" w:hAnsi="Times New Roman" w:eastAsia="宋体"/>
                <w:color w:val="auto"/>
                <w:kern w:val="0"/>
                <w:sz w:val="21"/>
                <w:szCs w:val="21"/>
              </w:rPr>
              <w:t>\</w:t>
            </w:r>
          </w:p>
        </w:tc>
        <w:tc>
          <w:tcPr>
            <w:tcW w:w="817" w:type="dxa"/>
            <w:noWrap w:val="0"/>
            <w:vAlign w:val="center"/>
          </w:tcPr>
          <w:p w14:paraId="2D689576">
            <w:pPr>
              <w:keepLines/>
              <w:spacing w:line="300" w:lineRule="exact"/>
              <w:ind w:firstLine="0" w:firstLineChars="0"/>
              <w:jc w:val="center"/>
              <w:rPr>
                <w:rFonts w:ascii="Times New Roman" w:hAnsi="Times New Roman" w:eastAsia="宋体"/>
                <w:color w:val="auto"/>
                <w:sz w:val="21"/>
                <w:szCs w:val="21"/>
              </w:rPr>
            </w:pPr>
            <w:r>
              <w:rPr>
                <w:rFonts w:ascii="Times New Roman" w:hAnsi="Times New Roman" w:eastAsia="宋体"/>
                <w:color w:val="auto"/>
                <w:kern w:val="0"/>
                <w:sz w:val="21"/>
                <w:szCs w:val="21"/>
              </w:rPr>
              <w:t>\</w:t>
            </w:r>
          </w:p>
        </w:tc>
        <w:tc>
          <w:tcPr>
            <w:tcW w:w="5220" w:type="dxa"/>
            <w:noWrap w:val="0"/>
            <w:vAlign w:val="center"/>
          </w:tcPr>
          <w:p w14:paraId="24DB2030">
            <w:pPr>
              <w:keepLines/>
              <w:spacing w:line="300" w:lineRule="exact"/>
              <w:ind w:firstLine="0" w:firstLineChars="0"/>
              <w:jc w:val="center"/>
              <w:rPr>
                <w:rFonts w:ascii="Times New Roman" w:hAnsi="Times New Roman" w:eastAsia="宋体"/>
                <w:color w:val="auto"/>
                <w:sz w:val="21"/>
                <w:szCs w:val="21"/>
              </w:rPr>
            </w:pPr>
            <w:r>
              <w:rPr>
                <w:rFonts w:ascii="Times New Roman" w:hAnsi="Times New Roman" w:eastAsia="宋体"/>
                <w:color w:val="auto"/>
                <w:sz w:val="21"/>
                <w:szCs w:val="21"/>
              </w:rPr>
              <w:t>直接定为一级风险</w:t>
            </w:r>
          </w:p>
        </w:tc>
      </w:tr>
      <w:tr w14:paraId="53DEF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31A6BA9E">
            <w:pPr>
              <w:spacing w:line="300" w:lineRule="exact"/>
              <w:ind w:firstLine="0" w:firstLineChars="0"/>
              <w:rPr>
                <w:rFonts w:ascii="Times New Roman" w:hAnsi="Times New Roman" w:eastAsia="宋体"/>
                <w:color w:val="auto"/>
                <w:kern w:val="0"/>
                <w:sz w:val="21"/>
                <w:szCs w:val="21"/>
              </w:rPr>
            </w:pPr>
          </w:p>
        </w:tc>
        <w:tc>
          <w:tcPr>
            <w:tcW w:w="6120" w:type="dxa"/>
            <w:noWrap w:val="0"/>
            <w:vAlign w:val="center"/>
          </w:tcPr>
          <w:p w14:paraId="306BFAFA">
            <w:pPr>
              <w:keepLines/>
              <w:spacing w:line="300" w:lineRule="exact"/>
              <w:ind w:firstLine="0" w:firstLineChars="0"/>
              <w:jc w:val="left"/>
              <w:rPr>
                <w:rFonts w:ascii="Times New Roman" w:hAnsi="Times New Roman" w:eastAsia="宋体"/>
                <w:color w:val="auto"/>
                <w:kern w:val="0"/>
                <w:sz w:val="21"/>
                <w:szCs w:val="21"/>
              </w:rPr>
            </w:pPr>
            <w:r>
              <w:rPr>
                <w:rFonts w:ascii="Times New Roman" w:hAnsi="Times New Roman" w:eastAsia="宋体"/>
                <w:color w:val="auto"/>
                <w:kern w:val="0"/>
                <w:sz w:val="21"/>
                <w:szCs w:val="21"/>
              </w:rPr>
              <w:t>安全度为病库</w:t>
            </w:r>
          </w:p>
        </w:tc>
        <w:tc>
          <w:tcPr>
            <w:tcW w:w="983" w:type="dxa"/>
            <w:gridSpan w:val="2"/>
            <w:noWrap w:val="0"/>
            <w:vAlign w:val="center"/>
          </w:tcPr>
          <w:p w14:paraId="4AD28A79">
            <w:pPr>
              <w:keepLines/>
              <w:spacing w:line="300" w:lineRule="exact"/>
              <w:ind w:firstLine="0" w:firstLineChars="0"/>
              <w:jc w:val="center"/>
              <w:rPr>
                <w:rFonts w:ascii="Times New Roman" w:hAnsi="Times New Roman" w:eastAsia="宋体"/>
                <w:color w:val="auto"/>
                <w:kern w:val="0"/>
                <w:sz w:val="21"/>
                <w:szCs w:val="21"/>
              </w:rPr>
            </w:pPr>
            <w:r>
              <w:rPr>
                <w:rFonts w:ascii="Times New Roman" w:hAnsi="Times New Roman" w:eastAsia="宋体"/>
                <w:color w:val="auto"/>
                <w:kern w:val="0"/>
                <w:sz w:val="21"/>
                <w:szCs w:val="21"/>
              </w:rPr>
              <w:t>\</w:t>
            </w:r>
          </w:p>
        </w:tc>
        <w:tc>
          <w:tcPr>
            <w:tcW w:w="817" w:type="dxa"/>
            <w:noWrap w:val="0"/>
            <w:vAlign w:val="center"/>
          </w:tcPr>
          <w:p w14:paraId="616424F0">
            <w:pPr>
              <w:keepLines/>
              <w:spacing w:line="300" w:lineRule="exact"/>
              <w:ind w:firstLine="0" w:firstLineChars="0"/>
              <w:jc w:val="center"/>
              <w:rPr>
                <w:rFonts w:ascii="Times New Roman" w:hAnsi="Times New Roman" w:eastAsia="宋体"/>
                <w:color w:val="auto"/>
                <w:kern w:val="0"/>
                <w:sz w:val="21"/>
                <w:szCs w:val="21"/>
              </w:rPr>
            </w:pPr>
            <w:r>
              <w:rPr>
                <w:rFonts w:ascii="Times New Roman" w:hAnsi="Times New Roman" w:eastAsia="宋体"/>
                <w:color w:val="auto"/>
                <w:kern w:val="0"/>
                <w:sz w:val="21"/>
                <w:szCs w:val="21"/>
              </w:rPr>
              <w:t>\</w:t>
            </w:r>
          </w:p>
        </w:tc>
        <w:tc>
          <w:tcPr>
            <w:tcW w:w="5220" w:type="dxa"/>
            <w:noWrap w:val="0"/>
            <w:vAlign w:val="center"/>
          </w:tcPr>
          <w:p w14:paraId="3D27BA89">
            <w:pPr>
              <w:keepLines/>
              <w:spacing w:line="300" w:lineRule="exact"/>
              <w:ind w:firstLine="0" w:firstLineChars="0"/>
              <w:jc w:val="center"/>
              <w:rPr>
                <w:rFonts w:ascii="Times New Roman" w:hAnsi="Times New Roman" w:eastAsia="宋体"/>
                <w:color w:val="auto"/>
                <w:sz w:val="21"/>
                <w:szCs w:val="21"/>
              </w:rPr>
            </w:pPr>
            <w:r>
              <w:rPr>
                <w:rFonts w:ascii="Times New Roman" w:hAnsi="Times New Roman" w:eastAsia="宋体"/>
                <w:bCs/>
                <w:color w:val="auto"/>
                <w:kern w:val="0"/>
                <w:sz w:val="21"/>
                <w:szCs w:val="21"/>
              </w:rPr>
              <w:t>以二级起评</w:t>
            </w:r>
          </w:p>
        </w:tc>
      </w:tr>
      <w:tr w14:paraId="35357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1440" w:type="dxa"/>
            <w:vMerge w:val="restart"/>
            <w:noWrap w:val="0"/>
            <w:vAlign w:val="center"/>
          </w:tcPr>
          <w:p w14:paraId="443919AC">
            <w:pPr>
              <w:spacing w:line="300" w:lineRule="exact"/>
              <w:ind w:firstLine="0" w:firstLineChars="0"/>
              <w:rPr>
                <w:rFonts w:ascii="Times New Roman" w:hAnsi="Times New Roman" w:eastAsia="宋体"/>
                <w:color w:val="auto"/>
                <w:kern w:val="0"/>
                <w:sz w:val="21"/>
                <w:szCs w:val="21"/>
              </w:rPr>
            </w:pPr>
            <w:r>
              <w:rPr>
                <w:rFonts w:ascii="Times New Roman" w:hAnsi="Times New Roman" w:eastAsia="宋体"/>
                <w:color w:val="auto"/>
                <w:kern w:val="0"/>
                <w:sz w:val="21"/>
                <w:szCs w:val="21"/>
              </w:rPr>
              <w:t>1.2库下游设施</w:t>
            </w:r>
          </w:p>
        </w:tc>
        <w:tc>
          <w:tcPr>
            <w:tcW w:w="6120" w:type="dxa"/>
            <w:noWrap w:val="0"/>
            <w:vAlign w:val="center"/>
          </w:tcPr>
          <w:p w14:paraId="497798C2">
            <w:pPr>
              <w:keepLines/>
              <w:spacing w:line="300" w:lineRule="exact"/>
              <w:ind w:firstLine="0" w:firstLineChars="0"/>
              <w:rPr>
                <w:rFonts w:ascii="Times New Roman" w:hAnsi="Times New Roman" w:eastAsia="宋体"/>
                <w:color w:val="auto"/>
                <w:kern w:val="0"/>
                <w:sz w:val="21"/>
                <w:szCs w:val="21"/>
              </w:rPr>
            </w:pPr>
            <w:r>
              <w:rPr>
                <w:rFonts w:ascii="Times New Roman" w:hAnsi="Times New Roman" w:eastAsia="宋体"/>
                <w:color w:val="auto"/>
                <w:kern w:val="0"/>
                <w:sz w:val="21"/>
                <w:szCs w:val="21"/>
              </w:rPr>
              <w:t>下游3公里范围内无生产生活设施，不扣分</w:t>
            </w:r>
          </w:p>
        </w:tc>
        <w:tc>
          <w:tcPr>
            <w:tcW w:w="983" w:type="dxa"/>
            <w:gridSpan w:val="2"/>
            <w:vMerge w:val="restart"/>
            <w:noWrap w:val="0"/>
            <w:vAlign w:val="center"/>
          </w:tcPr>
          <w:p w14:paraId="0A1DA70F">
            <w:pPr>
              <w:keepLines/>
              <w:spacing w:line="300" w:lineRule="exact"/>
              <w:ind w:firstLine="0" w:firstLineChars="0"/>
              <w:jc w:val="center"/>
              <w:rPr>
                <w:rFonts w:ascii="Times New Roman" w:hAnsi="Times New Roman" w:eastAsia="宋体"/>
                <w:color w:val="auto"/>
                <w:kern w:val="0"/>
                <w:sz w:val="21"/>
                <w:szCs w:val="21"/>
              </w:rPr>
            </w:pPr>
            <w:r>
              <w:rPr>
                <w:rFonts w:ascii="Times New Roman" w:hAnsi="Times New Roman" w:eastAsia="宋体"/>
                <w:color w:val="auto"/>
                <w:kern w:val="0"/>
                <w:sz w:val="21"/>
                <w:szCs w:val="21"/>
              </w:rPr>
              <w:t>3</w:t>
            </w:r>
          </w:p>
        </w:tc>
        <w:tc>
          <w:tcPr>
            <w:tcW w:w="817" w:type="dxa"/>
            <w:vMerge w:val="restart"/>
            <w:noWrap w:val="0"/>
            <w:vAlign w:val="center"/>
          </w:tcPr>
          <w:p w14:paraId="77B7C595">
            <w:pPr>
              <w:keepLines/>
              <w:spacing w:line="300" w:lineRule="exact"/>
              <w:ind w:firstLine="0" w:firstLineChars="0"/>
              <w:jc w:val="center"/>
              <w:rPr>
                <w:rFonts w:hint="eastAsia" w:ascii="Times New Roman" w:hAnsi="Times New Roman" w:eastAsia="宋体"/>
                <w:color w:val="auto"/>
                <w:kern w:val="0"/>
                <w:sz w:val="21"/>
                <w:szCs w:val="21"/>
              </w:rPr>
            </w:pPr>
          </w:p>
          <w:p w14:paraId="46A10C48">
            <w:pPr>
              <w:keepLines/>
              <w:spacing w:line="300" w:lineRule="exact"/>
              <w:ind w:firstLine="0" w:firstLineChars="0"/>
              <w:jc w:val="center"/>
              <w:rPr>
                <w:rFonts w:hint="eastAsia" w:ascii="Times New Roman" w:hAnsi="Times New Roman" w:eastAsia="宋体"/>
                <w:color w:val="auto"/>
                <w:kern w:val="0"/>
                <w:sz w:val="21"/>
                <w:szCs w:val="21"/>
              </w:rPr>
            </w:pPr>
            <w:r>
              <w:rPr>
                <w:rFonts w:hint="eastAsia" w:ascii="Times New Roman" w:hAnsi="Times New Roman" w:eastAsia="宋体"/>
                <w:color w:val="auto"/>
                <w:kern w:val="0"/>
                <w:sz w:val="21"/>
                <w:szCs w:val="21"/>
                <w:lang w:val="en-US" w:eastAsia="zh-CN"/>
              </w:rPr>
              <w:t>有</w:t>
            </w:r>
            <w:r>
              <w:rPr>
                <w:rFonts w:hint="eastAsia"/>
                <w:color w:val="auto"/>
                <w:kern w:val="0"/>
                <w:sz w:val="21"/>
                <w:szCs w:val="21"/>
                <w:lang w:val="en-US" w:eastAsia="zh-CN"/>
              </w:rPr>
              <w:t>101</w:t>
            </w:r>
            <w:r>
              <w:rPr>
                <w:rFonts w:hint="eastAsia" w:ascii="Times New Roman" w:hAnsi="Times New Roman" w:eastAsia="宋体"/>
                <w:color w:val="auto"/>
                <w:kern w:val="0"/>
                <w:sz w:val="21"/>
                <w:szCs w:val="21"/>
              </w:rPr>
              <w:t>户，约</w:t>
            </w:r>
            <w:r>
              <w:rPr>
                <w:rFonts w:hint="eastAsia"/>
                <w:color w:val="auto"/>
                <w:kern w:val="0"/>
                <w:sz w:val="21"/>
                <w:szCs w:val="21"/>
                <w:lang w:val="en-US" w:eastAsia="zh-CN"/>
              </w:rPr>
              <w:t>289</w:t>
            </w:r>
            <w:r>
              <w:rPr>
                <w:rFonts w:hint="eastAsia" w:ascii="Times New Roman" w:hAnsi="Times New Roman" w:eastAsia="宋体"/>
                <w:color w:val="auto"/>
                <w:kern w:val="0"/>
                <w:sz w:val="21"/>
                <w:szCs w:val="21"/>
              </w:rPr>
              <w:t>人</w:t>
            </w:r>
          </w:p>
        </w:tc>
        <w:tc>
          <w:tcPr>
            <w:tcW w:w="5220" w:type="dxa"/>
            <w:vMerge w:val="restart"/>
            <w:noWrap w:val="0"/>
            <w:vAlign w:val="center"/>
          </w:tcPr>
          <w:p w14:paraId="0F080039">
            <w:pPr>
              <w:spacing w:line="300" w:lineRule="exact"/>
              <w:ind w:firstLine="0" w:firstLineChars="0"/>
              <w:rPr>
                <w:rFonts w:ascii="Times New Roman" w:hAnsi="Times New Roman" w:eastAsia="宋体"/>
                <w:color w:val="auto"/>
                <w:sz w:val="21"/>
                <w:szCs w:val="21"/>
              </w:rPr>
            </w:pPr>
            <w:r>
              <w:rPr>
                <w:rFonts w:ascii="Times New Roman" w:hAnsi="Times New Roman" w:eastAsia="宋体"/>
                <w:color w:val="auto"/>
                <w:kern w:val="0"/>
                <w:sz w:val="21"/>
                <w:szCs w:val="21"/>
              </w:rPr>
              <w:t>尾矿库下游1公里范围内有超过30名（含30名）常住居民的直接定为一级风险；尾矿库下游1公里范围内有10</w:t>
            </w:r>
            <w:r>
              <w:rPr>
                <w:rFonts w:hint="eastAsia" w:ascii="Times New Roman" w:hAnsi="Times New Roman" w:eastAsia="宋体"/>
                <w:color w:val="auto"/>
                <w:kern w:val="0"/>
                <w:sz w:val="21"/>
                <w:szCs w:val="21"/>
              </w:rPr>
              <w:t>～</w:t>
            </w:r>
            <w:r>
              <w:rPr>
                <w:rFonts w:ascii="Times New Roman" w:hAnsi="Times New Roman" w:eastAsia="宋体"/>
                <w:color w:val="auto"/>
                <w:kern w:val="0"/>
                <w:sz w:val="21"/>
                <w:szCs w:val="21"/>
              </w:rPr>
              <w:t>29名常住居民以二级起评；下游1公里范围内有少于10名居民或重要设施，以三级起评，本项不另扣分</w:t>
            </w:r>
          </w:p>
        </w:tc>
      </w:tr>
      <w:tr w14:paraId="18AE4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5" w:hRule="atLeast"/>
        </w:trPr>
        <w:tc>
          <w:tcPr>
            <w:tcW w:w="1440" w:type="dxa"/>
            <w:vMerge w:val="continue"/>
            <w:noWrap w:val="0"/>
            <w:vAlign w:val="center"/>
          </w:tcPr>
          <w:p w14:paraId="6C2C60B9">
            <w:pPr>
              <w:spacing w:line="300" w:lineRule="exact"/>
              <w:ind w:firstLine="0" w:firstLineChars="0"/>
              <w:rPr>
                <w:rFonts w:ascii="Times New Roman" w:hAnsi="Times New Roman" w:eastAsia="宋体"/>
                <w:color w:val="auto"/>
                <w:kern w:val="0"/>
                <w:sz w:val="21"/>
                <w:szCs w:val="21"/>
              </w:rPr>
            </w:pPr>
          </w:p>
        </w:tc>
        <w:tc>
          <w:tcPr>
            <w:tcW w:w="6120" w:type="dxa"/>
            <w:noWrap w:val="0"/>
            <w:vAlign w:val="center"/>
          </w:tcPr>
          <w:p w14:paraId="04E6F441">
            <w:pPr>
              <w:keepLines/>
              <w:spacing w:line="300" w:lineRule="exact"/>
              <w:ind w:firstLine="0" w:firstLineChars="0"/>
              <w:rPr>
                <w:rFonts w:ascii="Times New Roman" w:hAnsi="Times New Roman" w:eastAsia="宋体"/>
                <w:color w:val="auto"/>
                <w:kern w:val="0"/>
                <w:sz w:val="21"/>
                <w:szCs w:val="21"/>
              </w:rPr>
            </w:pPr>
            <w:r>
              <w:rPr>
                <w:rFonts w:ascii="Times New Roman" w:hAnsi="Times New Roman" w:eastAsia="宋体"/>
                <w:color w:val="auto"/>
                <w:kern w:val="0"/>
                <w:sz w:val="21"/>
                <w:szCs w:val="21"/>
              </w:rPr>
              <w:t>下游3公里范围内有生产生活设施，距离每近1公里，扣1.5分</w:t>
            </w:r>
          </w:p>
        </w:tc>
        <w:tc>
          <w:tcPr>
            <w:tcW w:w="983" w:type="dxa"/>
            <w:gridSpan w:val="2"/>
            <w:vMerge w:val="continue"/>
            <w:noWrap w:val="0"/>
            <w:vAlign w:val="center"/>
          </w:tcPr>
          <w:p w14:paraId="2B7A65B5">
            <w:pPr>
              <w:keepLines/>
              <w:spacing w:line="300" w:lineRule="exact"/>
              <w:ind w:firstLine="0" w:firstLineChars="0"/>
              <w:jc w:val="center"/>
              <w:rPr>
                <w:rFonts w:ascii="Times New Roman" w:hAnsi="Times New Roman" w:eastAsia="宋体"/>
                <w:color w:val="auto"/>
                <w:kern w:val="0"/>
                <w:sz w:val="21"/>
                <w:szCs w:val="21"/>
              </w:rPr>
            </w:pPr>
          </w:p>
        </w:tc>
        <w:tc>
          <w:tcPr>
            <w:tcW w:w="817" w:type="dxa"/>
            <w:vMerge w:val="continue"/>
            <w:noWrap w:val="0"/>
            <w:vAlign w:val="center"/>
          </w:tcPr>
          <w:p w14:paraId="479A09BF">
            <w:pPr>
              <w:keepLines/>
              <w:spacing w:line="300" w:lineRule="exact"/>
              <w:ind w:firstLine="0" w:firstLineChars="0"/>
              <w:jc w:val="center"/>
              <w:rPr>
                <w:rFonts w:ascii="Times New Roman" w:hAnsi="Times New Roman" w:eastAsia="宋体"/>
                <w:color w:val="auto"/>
                <w:kern w:val="0"/>
                <w:sz w:val="21"/>
                <w:szCs w:val="21"/>
              </w:rPr>
            </w:pPr>
          </w:p>
        </w:tc>
        <w:tc>
          <w:tcPr>
            <w:tcW w:w="5220" w:type="dxa"/>
            <w:vMerge w:val="continue"/>
            <w:noWrap w:val="0"/>
            <w:vAlign w:val="center"/>
          </w:tcPr>
          <w:p w14:paraId="4B85FD83">
            <w:pPr>
              <w:keepLines/>
              <w:spacing w:line="300" w:lineRule="exact"/>
              <w:ind w:firstLine="0" w:firstLineChars="0"/>
              <w:jc w:val="center"/>
              <w:rPr>
                <w:rFonts w:ascii="Times New Roman" w:hAnsi="Times New Roman" w:eastAsia="宋体"/>
                <w:color w:val="auto"/>
                <w:sz w:val="21"/>
                <w:szCs w:val="21"/>
              </w:rPr>
            </w:pPr>
          </w:p>
        </w:tc>
      </w:tr>
      <w:tr w14:paraId="4FBA5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1440" w:type="dxa"/>
            <w:vMerge w:val="restart"/>
            <w:noWrap w:val="0"/>
            <w:vAlign w:val="center"/>
          </w:tcPr>
          <w:p w14:paraId="73F91C91">
            <w:pPr>
              <w:spacing w:line="300" w:lineRule="exact"/>
              <w:ind w:firstLine="0" w:firstLineChars="0"/>
              <w:rPr>
                <w:rFonts w:ascii="Times New Roman" w:hAnsi="Times New Roman" w:eastAsia="宋体"/>
                <w:color w:val="auto"/>
                <w:kern w:val="0"/>
                <w:sz w:val="21"/>
                <w:szCs w:val="21"/>
              </w:rPr>
            </w:pPr>
            <w:r>
              <w:rPr>
                <w:rFonts w:ascii="Times New Roman" w:hAnsi="Times New Roman" w:eastAsia="宋体"/>
                <w:color w:val="auto"/>
                <w:kern w:val="0"/>
                <w:sz w:val="21"/>
                <w:szCs w:val="21"/>
              </w:rPr>
              <w:t>1.3 周边环境</w:t>
            </w:r>
          </w:p>
        </w:tc>
        <w:tc>
          <w:tcPr>
            <w:tcW w:w="6120" w:type="dxa"/>
            <w:noWrap w:val="0"/>
            <w:vAlign w:val="center"/>
          </w:tcPr>
          <w:p w14:paraId="7068BA11">
            <w:pPr>
              <w:keepLines/>
              <w:spacing w:line="300" w:lineRule="exact"/>
              <w:ind w:firstLine="0" w:firstLineChars="0"/>
              <w:rPr>
                <w:rFonts w:ascii="Times New Roman" w:hAnsi="Times New Roman" w:eastAsia="宋体"/>
                <w:color w:val="auto"/>
                <w:kern w:val="0"/>
                <w:sz w:val="21"/>
                <w:szCs w:val="21"/>
              </w:rPr>
            </w:pPr>
            <w:r>
              <w:rPr>
                <w:rFonts w:ascii="Times New Roman" w:hAnsi="Times New Roman" w:eastAsia="宋体"/>
                <w:color w:val="auto"/>
                <w:kern w:val="0"/>
                <w:sz w:val="21"/>
                <w:szCs w:val="21"/>
              </w:rPr>
              <w:t>库内无回采作业，库区周边无回采及爆破作业，不扣分</w:t>
            </w:r>
          </w:p>
        </w:tc>
        <w:tc>
          <w:tcPr>
            <w:tcW w:w="983" w:type="dxa"/>
            <w:gridSpan w:val="2"/>
            <w:vMerge w:val="restart"/>
            <w:noWrap w:val="0"/>
            <w:vAlign w:val="center"/>
          </w:tcPr>
          <w:p w14:paraId="0B7E5A02">
            <w:pPr>
              <w:keepLines/>
              <w:spacing w:line="300" w:lineRule="exact"/>
              <w:ind w:firstLine="0" w:firstLineChars="0"/>
              <w:jc w:val="center"/>
              <w:rPr>
                <w:rFonts w:ascii="Times New Roman" w:hAnsi="Times New Roman" w:eastAsia="宋体"/>
                <w:color w:val="auto"/>
                <w:kern w:val="0"/>
                <w:sz w:val="21"/>
                <w:szCs w:val="21"/>
              </w:rPr>
            </w:pPr>
            <w:r>
              <w:rPr>
                <w:rFonts w:ascii="Times New Roman" w:hAnsi="Times New Roman" w:eastAsia="宋体"/>
                <w:color w:val="auto"/>
                <w:kern w:val="0"/>
                <w:sz w:val="21"/>
                <w:szCs w:val="21"/>
              </w:rPr>
              <w:t>4</w:t>
            </w:r>
          </w:p>
        </w:tc>
        <w:tc>
          <w:tcPr>
            <w:tcW w:w="817" w:type="dxa"/>
            <w:vMerge w:val="restart"/>
            <w:noWrap w:val="0"/>
            <w:vAlign w:val="center"/>
          </w:tcPr>
          <w:p w14:paraId="5BD61647">
            <w:pPr>
              <w:keepLines/>
              <w:spacing w:line="300" w:lineRule="exact"/>
              <w:ind w:firstLine="0" w:firstLineChars="0"/>
              <w:jc w:val="center"/>
              <w:rPr>
                <w:rFonts w:hint="eastAsia" w:ascii="Times New Roman" w:hAnsi="Times New Roman" w:eastAsia="宋体"/>
                <w:color w:val="auto"/>
                <w:kern w:val="0"/>
                <w:sz w:val="21"/>
                <w:szCs w:val="21"/>
              </w:rPr>
            </w:pPr>
            <w:r>
              <w:rPr>
                <w:rFonts w:hint="eastAsia" w:ascii="Times New Roman" w:hAnsi="Times New Roman" w:eastAsia="宋体"/>
                <w:color w:val="auto"/>
                <w:kern w:val="0"/>
                <w:sz w:val="21"/>
                <w:szCs w:val="21"/>
              </w:rPr>
              <w:t>4</w:t>
            </w:r>
          </w:p>
        </w:tc>
        <w:tc>
          <w:tcPr>
            <w:tcW w:w="5220" w:type="dxa"/>
            <w:vMerge w:val="restart"/>
            <w:noWrap w:val="0"/>
            <w:vAlign w:val="center"/>
          </w:tcPr>
          <w:p w14:paraId="473086C2">
            <w:pPr>
              <w:keepLines/>
              <w:spacing w:line="300" w:lineRule="exact"/>
              <w:ind w:firstLine="0" w:firstLineChars="0"/>
              <w:jc w:val="center"/>
              <w:rPr>
                <w:rFonts w:ascii="Times New Roman" w:hAnsi="Times New Roman" w:eastAsia="宋体"/>
                <w:color w:val="auto"/>
                <w:sz w:val="21"/>
                <w:szCs w:val="21"/>
              </w:rPr>
            </w:pPr>
          </w:p>
        </w:tc>
      </w:tr>
      <w:tr w14:paraId="2B9E13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1440" w:type="dxa"/>
            <w:vMerge w:val="continue"/>
            <w:noWrap w:val="0"/>
            <w:vAlign w:val="center"/>
          </w:tcPr>
          <w:p w14:paraId="165911B9">
            <w:pPr>
              <w:spacing w:line="300" w:lineRule="exact"/>
              <w:ind w:firstLine="0" w:firstLineChars="0"/>
              <w:rPr>
                <w:rFonts w:ascii="Times New Roman" w:hAnsi="Times New Roman" w:eastAsia="宋体"/>
                <w:color w:val="auto"/>
                <w:kern w:val="0"/>
                <w:sz w:val="21"/>
                <w:szCs w:val="21"/>
              </w:rPr>
            </w:pPr>
          </w:p>
        </w:tc>
        <w:tc>
          <w:tcPr>
            <w:tcW w:w="6120" w:type="dxa"/>
            <w:noWrap w:val="0"/>
            <w:vAlign w:val="center"/>
          </w:tcPr>
          <w:p w14:paraId="1FA2A1E7">
            <w:pPr>
              <w:keepLines/>
              <w:spacing w:line="300" w:lineRule="exact"/>
              <w:ind w:firstLine="0" w:firstLineChars="0"/>
              <w:rPr>
                <w:rFonts w:ascii="Times New Roman" w:hAnsi="Times New Roman" w:eastAsia="宋体"/>
                <w:color w:val="auto"/>
                <w:kern w:val="0"/>
                <w:sz w:val="21"/>
                <w:szCs w:val="21"/>
              </w:rPr>
            </w:pPr>
            <w:r>
              <w:rPr>
                <w:rFonts w:ascii="Times New Roman" w:hAnsi="Times New Roman" w:eastAsia="宋体"/>
                <w:color w:val="auto"/>
                <w:kern w:val="0"/>
                <w:sz w:val="21"/>
                <w:szCs w:val="21"/>
              </w:rPr>
              <w:t>库内有回采作业，库区周边有回采及爆破作业，发现1处扣2分，扣完为止</w:t>
            </w:r>
          </w:p>
        </w:tc>
        <w:tc>
          <w:tcPr>
            <w:tcW w:w="983" w:type="dxa"/>
            <w:gridSpan w:val="2"/>
            <w:vMerge w:val="continue"/>
            <w:noWrap w:val="0"/>
            <w:vAlign w:val="center"/>
          </w:tcPr>
          <w:p w14:paraId="045C83E2">
            <w:pPr>
              <w:keepLines/>
              <w:spacing w:line="300" w:lineRule="exact"/>
              <w:ind w:firstLine="0" w:firstLineChars="0"/>
              <w:jc w:val="center"/>
              <w:rPr>
                <w:rFonts w:ascii="Times New Roman" w:hAnsi="Times New Roman" w:eastAsia="宋体"/>
                <w:color w:val="auto"/>
                <w:kern w:val="0"/>
                <w:sz w:val="21"/>
                <w:szCs w:val="21"/>
              </w:rPr>
            </w:pPr>
          </w:p>
        </w:tc>
        <w:tc>
          <w:tcPr>
            <w:tcW w:w="817" w:type="dxa"/>
            <w:vMerge w:val="continue"/>
            <w:noWrap w:val="0"/>
            <w:vAlign w:val="center"/>
          </w:tcPr>
          <w:p w14:paraId="49EAE8F5">
            <w:pPr>
              <w:keepLines/>
              <w:spacing w:line="300" w:lineRule="exact"/>
              <w:ind w:firstLine="0" w:firstLineChars="0"/>
              <w:jc w:val="center"/>
              <w:rPr>
                <w:rFonts w:ascii="Times New Roman" w:hAnsi="Times New Roman" w:eastAsia="宋体"/>
                <w:color w:val="auto"/>
                <w:kern w:val="0"/>
                <w:sz w:val="21"/>
                <w:szCs w:val="21"/>
              </w:rPr>
            </w:pPr>
          </w:p>
        </w:tc>
        <w:tc>
          <w:tcPr>
            <w:tcW w:w="5220" w:type="dxa"/>
            <w:vMerge w:val="continue"/>
            <w:noWrap w:val="0"/>
            <w:vAlign w:val="center"/>
          </w:tcPr>
          <w:p w14:paraId="0A932972">
            <w:pPr>
              <w:keepLines/>
              <w:spacing w:line="300" w:lineRule="exact"/>
              <w:ind w:firstLine="0" w:firstLineChars="0"/>
              <w:jc w:val="center"/>
              <w:rPr>
                <w:rFonts w:ascii="Times New Roman" w:hAnsi="Times New Roman" w:eastAsia="宋体"/>
                <w:color w:val="auto"/>
                <w:sz w:val="21"/>
                <w:szCs w:val="21"/>
              </w:rPr>
            </w:pPr>
          </w:p>
        </w:tc>
      </w:tr>
      <w:tr w14:paraId="11342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restart"/>
            <w:noWrap w:val="0"/>
            <w:vAlign w:val="center"/>
          </w:tcPr>
          <w:p w14:paraId="5392BDB6">
            <w:pPr>
              <w:spacing w:line="300" w:lineRule="exact"/>
              <w:ind w:firstLine="0" w:firstLineChars="0"/>
              <w:rPr>
                <w:rFonts w:ascii="Times New Roman" w:hAnsi="Times New Roman" w:eastAsia="宋体"/>
                <w:color w:val="auto"/>
                <w:kern w:val="0"/>
                <w:sz w:val="21"/>
                <w:szCs w:val="21"/>
              </w:rPr>
            </w:pPr>
            <w:r>
              <w:rPr>
                <w:rFonts w:ascii="Times New Roman" w:hAnsi="Times New Roman" w:eastAsia="宋体"/>
                <w:color w:val="auto"/>
                <w:kern w:val="0"/>
                <w:sz w:val="21"/>
                <w:szCs w:val="21"/>
              </w:rPr>
              <w:t>1.4 尾矿库设计施工现状</w:t>
            </w:r>
          </w:p>
        </w:tc>
        <w:tc>
          <w:tcPr>
            <w:tcW w:w="6120" w:type="dxa"/>
            <w:noWrap w:val="0"/>
            <w:vAlign w:val="center"/>
          </w:tcPr>
          <w:p w14:paraId="0F4D9B2D">
            <w:pPr>
              <w:keepLines/>
              <w:spacing w:line="300" w:lineRule="exact"/>
              <w:ind w:firstLine="0" w:firstLineChars="0"/>
              <w:jc w:val="left"/>
              <w:rPr>
                <w:rFonts w:ascii="Times New Roman" w:hAnsi="Times New Roman" w:eastAsia="宋体"/>
                <w:color w:val="auto"/>
                <w:kern w:val="0"/>
                <w:sz w:val="21"/>
                <w:szCs w:val="21"/>
              </w:rPr>
            </w:pPr>
            <w:r>
              <w:rPr>
                <w:rFonts w:ascii="Times New Roman" w:hAnsi="Times New Roman" w:eastAsia="宋体"/>
                <w:color w:val="auto"/>
                <w:kern w:val="0"/>
                <w:sz w:val="21"/>
                <w:szCs w:val="21"/>
              </w:rPr>
              <w:t>严格按设计施工，不扣分</w:t>
            </w:r>
          </w:p>
        </w:tc>
        <w:tc>
          <w:tcPr>
            <w:tcW w:w="983" w:type="dxa"/>
            <w:gridSpan w:val="2"/>
            <w:vMerge w:val="restart"/>
            <w:noWrap w:val="0"/>
            <w:vAlign w:val="center"/>
          </w:tcPr>
          <w:p w14:paraId="1222ABD5">
            <w:pPr>
              <w:keepLines/>
              <w:spacing w:line="300" w:lineRule="exact"/>
              <w:ind w:firstLine="0" w:firstLineChars="0"/>
              <w:jc w:val="center"/>
              <w:rPr>
                <w:rFonts w:ascii="Times New Roman" w:hAnsi="Times New Roman" w:eastAsia="宋体"/>
                <w:color w:val="auto"/>
                <w:kern w:val="0"/>
                <w:sz w:val="21"/>
                <w:szCs w:val="21"/>
              </w:rPr>
            </w:pPr>
            <w:r>
              <w:rPr>
                <w:rFonts w:ascii="Times New Roman" w:hAnsi="Times New Roman" w:eastAsia="宋体"/>
                <w:color w:val="auto"/>
                <w:kern w:val="0"/>
                <w:sz w:val="21"/>
                <w:szCs w:val="21"/>
              </w:rPr>
              <w:t>3</w:t>
            </w:r>
          </w:p>
        </w:tc>
        <w:tc>
          <w:tcPr>
            <w:tcW w:w="817" w:type="dxa"/>
            <w:vMerge w:val="restart"/>
            <w:noWrap w:val="0"/>
            <w:vAlign w:val="center"/>
          </w:tcPr>
          <w:p w14:paraId="405D98BB">
            <w:pPr>
              <w:keepLines/>
              <w:spacing w:line="300" w:lineRule="exact"/>
              <w:ind w:firstLine="0" w:firstLineChars="0"/>
              <w:jc w:val="center"/>
              <w:rPr>
                <w:rFonts w:hint="eastAsia" w:ascii="Times New Roman" w:hAnsi="Times New Roman" w:eastAsia="宋体"/>
                <w:bCs/>
                <w:color w:val="auto"/>
                <w:sz w:val="21"/>
                <w:szCs w:val="21"/>
              </w:rPr>
            </w:pPr>
            <w:r>
              <w:rPr>
                <w:rFonts w:hint="eastAsia" w:ascii="Times New Roman" w:hAnsi="Times New Roman" w:eastAsia="宋体"/>
                <w:bCs/>
                <w:color w:val="auto"/>
                <w:sz w:val="21"/>
                <w:szCs w:val="21"/>
              </w:rPr>
              <w:t>3</w:t>
            </w:r>
          </w:p>
        </w:tc>
        <w:tc>
          <w:tcPr>
            <w:tcW w:w="5220" w:type="dxa"/>
            <w:vMerge w:val="restart"/>
            <w:noWrap w:val="0"/>
            <w:vAlign w:val="center"/>
          </w:tcPr>
          <w:p w14:paraId="00CD9006">
            <w:pPr>
              <w:keepLines/>
              <w:spacing w:line="300" w:lineRule="exact"/>
              <w:ind w:firstLine="0" w:firstLineChars="0"/>
              <w:jc w:val="center"/>
              <w:rPr>
                <w:rFonts w:ascii="Times New Roman" w:hAnsi="Times New Roman" w:eastAsia="宋体"/>
                <w:color w:val="auto"/>
                <w:sz w:val="21"/>
                <w:szCs w:val="21"/>
              </w:rPr>
            </w:pPr>
          </w:p>
        </w:tc>
      </w:tr>
      <w:tr w14:paraId="60B84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559E0410">
            <w:pPr>
              <w:keepLines/>
              <w:spacing w:line="300" w:lineRule="exact"/>
              <w:ind w:firstLine="0" w:firstLineChars="0"/>
              <w:rPr>
                <w:rFonts w:ascii="Times New Roman" w:hAnsi="Times New Roman" w:eastAsia="宋体"/>
                <w:color w:val="auto"/>
                <w:kern w:val="0"/>
                <w:sz w:val="21"/>
                <w:szCs w:val="21"/>
              </w:rPr>
            </w:pPr>
          </w:p>
        </w:tc>
        <w:tc>
          <w:tcPr>
            <w:tcW w:w="6120" w:type="dxa"/>
            <w:noWrap w:val="0"/>
            <w:vAlign w:val="center"/>
          </w:tcPr>
          <w:p w14:paraId="2368FF42">
            <w:pPr>
              <w:keepLines/>
              <w:spacing w:line="300" w:lineRule="exact"/>
              <w:ind w:firstLine="0" w:firstLineChars="0"/>
              <w:jc w:val="left"/>
              <w:rPr>
                <w:rFonts w:ascii="Times New Roman" w:hAnsi="Times New Roman" w:eastAsia="宋体"/>
                <w:color w:val="auto"/>
                <w:kern w:val="0"/>
                <w:sz w:val="21"/>
                <w:szCs w:val="21"/>
              </w:rPr>
            </w:pPr>
            <w:r>
              <w:rPr>
                <w:rFonts w:ascii="Times New Roman" w:hAnsi="Times New Roman" w:eastAsia="宋体"/>
                <w:color w:val="auto"/>
                <w:kern w:val="0"/>
                <w:sz w:val="21"/>
                <w:szCs w:val="21"/>
              </w:rPr>
              <w:t>部分未按设计施工，每发现一处现状与设计不符合，扣1分</w:t>
            </w:r>
          </w:p>
        </w:tc>
        <w:tc>
          <w:tcPr>
            <w:tcW w:w="983" w:type="dxa"/>
            <w:gridSpan w:val="2"/>
            <w:vMerge w:val="continue"/>
            <w:noWrap w:val="0"/>
            <w:vAlign w:val="center"/>
          </w:tcPr>
          <w:p w14:paraId="24067B6D">
            <w:pPr>
              <w:keepLines/>
              <w:spacing w:line="300" w:lineRule="exact"/>
              <w:ind w:firstLine="0" w:firstLineChars="0"/>
              <w:jc w:val="center"/>
              <w:rPr>
                <w:rFonts w:ascii="Times New Roman" w:hAnsi="Times New Roman" w:eastAsia="宋体"/>
                <w:color w:val="auto"/>
                <w:kern w:val="0"/>
                <w:sz w:val="21"/>
                <w:szCs w:val="21"/>
              </w:rPr>
            </w:pPr>
          </w:p>
        </w:tc>
        <w:tc>
          <w:tcPr>
            <w:tcW w:w="817" w:type="dxa"/>
            <w:vMerge w:val="continue"/>
            <w:noWrap w:val="0"/>
            <w:vAlign w:val="center"/>
          </w:tcPr>
          <w:p w14:paraId="5C0BBDE2">
            <w:pPr>
              <w:keepLines/>
              <w:spacing w:line="300" w:lineRule="exact"/>
              <w:ind w:firstLine="0" w:firstLineChars="0"/>
              <w:jc w:val="center"/>
              <w:rPr>
                <w:rFonts w:ascii="Times New Roman" w:hAnsi="Times New Roman" w:eastAsia="宋体"/>
                <w:bCs/>
                <w:color w:val="auto"/>
                <w:sz w:val="21"/>
                <w:szCs w:val="21"/>
              </w:rPr>
            </w:pPr>
          </w:p>
        </w:tc>
        <w:tc>
          <w:tcPr>
            <w:tcW w:w="5220" w:type="dxa"/>
            <w:vMerge w:val="continue"/>
            <w:noWrap w:val="0"/>
            <w:vAlign w:val="center"/>
          </w:tcPr>
          <w:p w14:paraId="00128C2B">
            <w:pPr>
              <w:keepLines/>
              <w:spacing w:line="300" w:lineRule="exact"/>
              <w:ind w:firstLine="0" w:firstLineChars="0"/>
              <w:jc w:val="center"/>
              <w:rPr>
                <w:rFonts w:ascii="Times New Roman" w:hAnsi="Times New Roman" w:eastAsia="宋体"/>
                <w:color w:val="auto"/>
                <w:sz w:val="21"/>
                <w:szCs w:val="21"/>
              </w:rPr>
            </w:pPr>
          </w:p>
        </w:tc>
      </w:tr>
      <w:tr w14:paraId="588EE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restart"/>
            <w:noWrap w:val="0"/>
            <w:vAlign w:val="center"/>
          </w:tcPr>
          <w:p w14:paraId="400F74EF">
            <w:pPr>
              <w:spacing w:line="300" w:lineRule="exact"/>
              <w:ind w:firstLine="0" w:firstLineChars="0"/>
              <w:rPr>
                <w:rFonts w:ascii="Times New Roman" w:hAnsi="Times New Roman" w:eastAsia="宋体"/>
                <w:color w:val="auto"/>
                <w:kern w:val="0"/>
                <w:sz w:val="21"/>
                <w:szCs w:val="21"/>
              </w:rPr>
            </w:pPr>
            <w:r>
              <w:rPr>
                <w:rFonts w:ascii="Times New Roman" w:hAnsi="Times New Roman" w:eastAsia="宋体"/>
                <w:color w:val="auto"/>
                <w:kern w:val="0"/>
                <w:sz w:val="21"/>
                <w:szCs w:val="21"/>
              </w:rPr>
              <w:t>1.5坝高</w:t>
            </w:r>
          </w:p>
        </w:tc>
        <w:tc>
          <w:tcPr>
            <w:tcW w:w="6120" w:type="dxa"/>
            <w:noWrap w:val="0"/>
            <w:vAlign w:val="center"/>
          </w:tcPr>
          <w:p w14:paraId="4E15D197">
            <w:pPr>
              <w:keepLines/>
              <w:spacing w:line="300" w:lineRule="exact"/>
              <w:ind w:firstLine="0" w:firstLineChars="0"/>
              <w:jc w:val="left"/>
              <w:rPr>
                <w:rFonts w:ascii="Times New Roman" w:hAnsi="Times New Roman" w:eastAsia="宋体"/>
                <w:color w:val="auto"/>
                <w:kern w:val="0"/>
                <w:sz w:val="21"/>
                <w:szCs w:val="21"/>
              </w:rPr>
            </w:pPr>
            <w:r>
              <w:rPr>
                <w:rFonts w:ascii="Times New Roman" w:hAnsi="Times New Roman" w:eastAsia="宋体"/>
                <w:color w:val="auto"/>
                <w:kern w:val="0"/>
                <w:sz w:val="21"/>
                <w:szCs w:val="21"/>
              </w:rPr>
              <w:t>小于30米，不扣分</w:t>
            </w:r>
          </w:p>
        </w:tc>
        <w:tc>
          <w:tcPr>
            <w:tcW w:w="983" w:type="dxa"/>
            <w:gridSpan w:val="2"/>
            <w:vMerge w:val="restart"/>
            <w:noWrap w:val="0"/>
            <w:vAlign w:val="center"/>
          </w:tcPr>
          <w:p w14:paraId="16E2F742">
            <w:pPr>
              <w:keepLines/>
              <w:spacing w:line="300" w:lineRule="exact"/>
              <w:ind w:firstLine="0" w:firstLineChars="0"/>
              <w:jc w:val="center"/>
              <w:rPr>
                <w:rFonts w:ascii="Times New Roman" w:hAnsi="Times New Roman" w:eastAsia="宋体"/>
                <w:color w:val="auto"/>
                <w:kern w:val="0"/>
                <w:sz w:val="21"/>
                <w:szCs w:val="21"/>
              </w:rPr>
            </w:pPr>
            <w:r>
              <w:rPr>
                <w:rFonts w:ascii="Times New Roman" w:hAnsi="Times New Roman" w:eastAsia="宋体"/>
                <w:color w:val="auto"/>
                <w:kern w:val="0"/>
                <w:sz w:val="21"/>
                <w:szCs w:val="21"/>
              </w:rPr>
              <w:t>4</w:t>
            </w:r>
          </w:p>
        </w:tc>
        <w:tc>
          <w:tcPr>
            <w:tcW w:w="817" w:type="dxa"/>
            <w:vMerge w:val="restart"/>
            <w:noWrap w:val="0"/>
            <w:vAlign w:val="center"/>
          </w:tcPr>
          <w:p w14:paraId="56B5F9D1">
            <w:pPr>
              <w:keepLines/>
              <w:spacing w:line="300" w:lineRule="exact"/>
              <w:ind w:firstLine="0" w:firstLineChars="0"/>
              <w:jc w:val="center"/>
              <w:rPr>
                <w:rFonts w:hint="eastAsia" w:ascii="Times New Roman" w:hAnsi="Times New Roman" w:eastAsia="宋体"/>
                <w:bCs/>
                <w:color w:val="auto"/>
                <w:sz w:val="21"/>
                <w:szCs w:val="21"/>
                <w:lang w:eastAsia="zh-CN"/>
              </w:rPr>
            </w:pPr>
            <w:r>
              <w:rPr>
                <w:rFonts w:hint="eastAsia" w:ascii="Times New Roman" w:hAnsi="Times New Roman" w:eastAsia="宋体"/>
                <w:bCs/>
                <w:color w:val="auto"/>
                <w:sz w:val="21"/>
                <w:szCs w:val="21"/>
                <w:lang w:val="en-US" w:eastAsia="zh-CN"/>
              </w:rPr>
              <w:t>3</w:t>
            </w:r>
          </w:p>
        </w:tc>
        <w:tc>
          <w:tcPr>
            <w:tcW w:w="5220" w:type="dxa"/>
            <w:vMerge w:val="restart"/>
            <w:noWrap w:val="0"/>
            <w:vAlign w:val="center"/>
          </w:tcPr>
          <w:p w14:paraId="285D589A">
            <w:pPr>
              <w:keepLines/>
              <w:spacing w:line="300" w:lineRule="exact"/>
              <w:ind w:firstLine="0" w:firstLineChars="0"/>
              <w:jc w:val="left"/>
              <w:rPr>
                <w:rFonts w:ascii="Times New Roman" w:hAnsi="Times New Roman" w:eastAsia="宋体"/>
                <w:color w:val="auto"/>
                <w:sz w:val="21"/>
                <w:szCs w:val="21"/>
              </w:rPr>
            </w:pPr>
            <w:r>
              <w:rPr>
                <w:rFonts w:ascii="Times New Roman" w:hAnsi="Times New Roman" w:eastAsia="宋体"/>
                <w:color w:val="auto"/>
                <w:kern w:val="0"/>
                <w:sz w:val="21"/>
                <w:szCs w:val="21"/>
              </w:rPr>
              <w:t>坝高超过200米（含200米），以二级起评，本项不另扣分</w:t>
            </w:r>
          </w:p>
        </w:tc>
      </w:tr>
      <w:tr w14:paraId="4AC05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1EC39064">
            <w:pPr>
              <w:spacing w:line="300" w:lineRule="exact"/>
              <w:ind w:firstLine="0" w:firstLineChars="0"/>
              <w:rPr>
                <w:rFonts w:ascii="Times New Roman" w:hAnsi="Times New Roman" w:eastAsia="宋体"/>
                <w:color w:val="auto"/>
                <w:kern w:val="0"/>
                <w:sz w:val="21"/>
                <w:szCs w:val="21"/>
              </w:rPr>
            </w:pPr>
          </w:p>
        </w:tc>
        <w:tc>
          <w:tcPr>
            <w:tcW w:w="6120" w:type="dxa"/>
            <w:noWrap w:val="0"/>
            <w:vAlign w:val="center"/>
          </w:tcPr>
          <w:p w14:paraId="117BAEF0">
            <w:pPr>
              <w:keepLines/>
              <w:spacing w:line="300" w:lineRule="exact"/>
              <w:ind w:firstLine="0" w:firstLineChars="0"/>
              <w:jc w:val="left"/>
              <w:rPr>
                <w:rFonts w:ascii="Times New Roman" w:hAnsi="Times New Roman" w:eastAsia="宋体"/>
                <w:color w:val="auto"/>
                <w:kern w:val="0"/>
                <w:sz w:val="21"/>
                <w:szCs w:val="21"/>
              </w:rPr>
            </w:pPr>
            <w:r>
              <w:rPr>
                <w:rFonts w:ascii="Times New Roman" w:hAnsi="Times New Roman" w:eastAsia="宋体"/>
                <w:color w:val="auto"/>
                <w:kern w:val="0"/>
                <w:sz w:val="21"/>
                <w:szCs w:val="21"/>
              </w:rPr>
              <w:t>等于或大于30米，小于60米，扣1分</w:t>
            </w:r>
          </w:p>
        </w:tc>
        <w:tc>
          <w:tcPr>
            <w:tcW w:w="983" w:type="dxa"/>
            <w:gridSpan w:val="2"/>
            <w:vMerge w:val="continue"/>
            <w:noWrap w:val="0"/>
            <w:vAlign w:val="center"/>
          </w:tcPr>
          <w:p w14:paraId="289E7A60">
            <w:pPr>
              <w:keepLines/>
              <w:spacing w:line="300" w:lineRule="exact"/>
              <w:ind w:firstLine="0" w:firstLineChars="0"/>
              <w:jc w:val="center"/>
              <w:rPr>
                <w:rFonts w:ascii="Times New Roman" w:hAnsi="Times New Roman" w:eastAsia="宋体"/>
                <w:color w:val="auto"/>
                <w:kern w:val="0"/>
                <w:sz w:val="21"/>
                <w:szCs w:val="21"/>
              </w:rPr>
            </w:pPr>
          </w:p>
        </w:tc>
        <w:tc>
          <w:tcPr>
            <w:tcW w:w="817" w:type="dxa"/>
            <w:vMerge w:val="continue"/>
            <w:noWrap w:val="0"/>
            <w:vAlign w:val="center"/>
          </w:tcPr>
          <w:p w14:paraId="42EF7880">
            <w:pPr>
              <w:keepLines/>
              <w:spacing w:line="300" w:lineRule="exact"/>
              <w:ind w:firstLine="0" w:firstLineChars="0"/>
              <w:jc w:val="center"/>
              <w:rPr>
                <w:rFonts w:ascii="Times New Roman" w:hAnsi="Times New Roman" w:eastAsia="宋体"/>
                <w:color w:val="auto"/>
                <w:kern w:val="0"/>
                <w:sz w:val="21"/>
                <w:szCs w:val="21"/>
              </w:rPr>
            </w:pPr>
          </w:p>
        </w:tc>
        <w:tc>
          <w:tcPr>
            <w:tcW w:w="5220" w:type="dxa"/>
            <w:vMerge w:val="continue"/>
            <w:noWrap w:val="0"/>
            <w:vAlign w:val="center"/>
          </w:tcPr>
          <w:p w14:paraId="491E5D1B">
            <w:pPr>
              <w:keepLines/>
              <w:spacing w:line="300" w:lineRule="exact"/>
              <w:ind w:firstLine="0" w:firstLineChars="0"/>
              <w:jc w:val="center"/>
              <w:rPr>
                <w:rFonts w:ascii="Times New Roman" w:hAnsi="Times New Roman" w:eastAsia="宋体"/>
                <w:color w:val="auto"/>
                <w:sz w:val="21"/>
                <w:szCs w:val="21"/>
              </w:rPr>
            </w:pPr>
          </w:p>
        </w:tc>
      </w:tr>
      <w:tr w14:paraId="625B1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426D4F0B">
            <w:pPr>
              <w:spacing w:line="300" w:lineRule="exact"/>
              <w:ind w:firstLine="0" w:firstLineChars="0"/>
              <w:rPr>
                <w:rFonts w:ascii="Times New Roman" w:hAnsi="Times New Roman" w:eastAsia="宋体"/>
                <w:color w:val="auto"/>
                <w:kern w:val="0"/>
                <w:sz w:val="21"/>
                <w:szCs w:val="21"/>
              </w:rPr>
            </w:pPr>
          </w:p>
        </w:tc>
        <w:tc>
          <w:tcPr>
            <w:tcW w:w="6120" w:type="dxa"/>
            <w:noWrap w:val="0"/>
            <w:vAlign w:val="center"/>
          </w:tcPr>
          <w:p w14:paraId="4EEC0AA5">
            <w:pPr>
              <w:keepLines/>
              <w:spacing w:line="300" w:lineRule="exact"/>
              <w:ind w:firstLine="0" w:firstLineChars="0"/>
              <w:jc w:val="left"/>
              <w:rPr>
                <w:rFonts w:ascii="Times New Roman" w:hAnsi="Times New Roman" w:eastAsia="宋体"/>
                <w:color w:val="auto"/>
                <w:kern w:val="0"/>
                <w:sz w:val="21"/>
                <w:szCs w:val="21"/>
              </w:rPr>
            </w:pPr>
            <w:r>
              <w:rPr>
                <w:rFonts w:ascii="Times New Roman" w:hAnsi="Times New Roman" w:eastAsia="宋体"/>
                <w:color w:val="auto"/>
                <w:kern w:val="0"/>
                <w:sz w:val="21"/>
                <w:szCs w:val="21"/>
              </w:rPr>
              <w:t>等于或大于60米，小于100米，扣2分</w:t>
            </w:r>
          </w:p>
        </w:tc>
        <w:tc>
          <w:tcPr>
            <w:tcW w:w="983" w:type="dxa"/>
            <w:gridSpan w:val="2"/>
            <w:vMerge w:val="continue"/>
            <w:noWrap w:val="0"/>
            <w:vAlign w:val="center"/>
          </w:tcPr>
          <w:p w14:paraId="15AA85EF">
            <w:pPr>
              <w:keepLines/>
              <w:spacing w:line="300" w:lineRule="exact"/>
              <w:ind w:firstLine="0" w:firstLineChars="0"/>
              <w:jc w:val="center"/>
              <w:rPr>
                <w:rFonts w:ascii="Times New Roman" w:hAnsi="Times New Roman" w:eastAsia="宋体"/>
                <w:color w:val="auto"/>
                <w:kern w:val="0"/>
                <w:sz w:val="21"/>
                <w:szCs w:val="21"/>
              </w:rPr>
            </w:pPr>
          </w:p>
        </w:tc>
        <w:tc>
          <w:tcPr>
            <w:tcW w:w="817" w:type="dxa"/>
            <w:vMerge w:val="continue"/>
            <w:noWrap w:val="0"/>
            <w:vAlign w:val="center"/>
          </w:tcPr>
          <w:p w14:paraId="1649EB5E">
            <w:pPr>
              <w:keepLines/>
              <w:spacing w:line="300" w:lineRule="exact"/>
              <w:ind w:firstLine="0" w:firstLineChars="0"/>
              <w:jc w:val="center"/>
              <w:rPr>
                <w:rFonts w:ascii="Times New Roman" w:hAnsi="Times New Roman" w:eastAsia="宋体"/>
                <w:color w:val="auto"/>
                <w:kern w:val="0"/>
                <w:sz w:val="21"/>
                <w:szCs w:val="21"/>
              </w:rPr>
            </w:pPr>
          </w:p>
        </w:tc>
        <w:tc>
          <w:tcPr>
            <w:tcW w:w="5220" w:type="dxa"/>
            <w:vMerge w:val="continue"/>
            <w:noWrap w:val="0"/>
            <w:vAlign w:val="center"/>
          </w:tcPr>
          <w:p w14:paraId="2F0FCFB4">
            <w:pPr>
              <w:keepLines/>
              <w:spacing w:line="300" w:lineRule="exact"/>
              <w:ind w:firstLine="0" w:firstLineChars="0"/>
              <w:jc w:val="center"/>
              <w:rPr>
                <w:rFonts w:ascii="Times New Roman" w:hAnsi="Times New Roman" w:eastAsia="宋体"/>
                <w:color w:val="auto"/>
                <w:sz w:val="21"/>
                <w:szCs w:val="21"/>
              </w:rPr>
            </w:pPr>
          </w:p>
        </w:tc>
      </w:tr>
      <w:tr w14:paraId="0D9C0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7B941744">
            <w:pPr>
              <w:spacing w:line="300" w:lineRule="exact"/>
              <w:ind w:firstLine="0" w:firstLineChars="0"/>
              <w:rPr>
                <w:rFonts w:ascii="Times New Roman" w:hAnsi="Times New Roman" w:eastAsia="宋体"/>
                <w:color w:val="auto"/>
                <w:kern w:val="0"/>
                <w:sz w:val="21"/>
                <w:szCs w:val="21"/>
              </w:rPr>
            </w:pPr>
          </w:p>
        </w:tc>
        <w:tc>
          <w:tcPr>
            <w:tcW w:w="6120" w:type="dxa"/>
            <w:noWrap w:val="0"/>
            <w:vAlign w:val="center"/>
          </w:tcPr>
          <w:p w14:paraId="69F29CB4">
            <w:pPr>
              <w:keepLines/>
              <w:spacing w:line="300" w:lineRule="exact"/>
              <w:ind w:firstLine="0" w:firstLineChars="0"/>
              <w:jc w:val="left"/>
              <w:rPr>
                <w:rFonts w:ascii="Times New Roman" w:hAnsi="Times New Roman" w:eastAsia="宋体"/>
                <w:color w:val="auto"/>
                <w:kern w:val="0"/>
                <w:sz w:val="21"/>
                <w:szCs w:val="21"/>
              </w:rPr>
            </w:pPr>
            <w:r>
              <w:rPr>
                <w:rFonts w:ascii="Times New Roman" w:hAnsi="Times New Roman" w:eastAsia="宋体"/>
                <w:color w:val="auto"/>
                <w:kern w:val="0"/>
                <w:sz w:val="21"/>
                <w:szCs w:val="21"/>
              </w:rPr>
              <w:t>超过100米，扣4分</w:t>
            </w:r>
          </w:p>
        </w:tc>
        <w:tc>
          <w:tcPr>
            <w:tcW w:w="983" w:type="dxa"/>
            <w:gridSpan w:val="2"/>
            <w:vMerge w:val="continue"/>
            <w:noWrap w:val="0"/>
            <w:vAlign w:val="center"/>
          </w:tcPr>
          <w:p w14:paraId="53755900">
            <w:pPr>
              <w:keepLines/>
              <w:spacing w:line="300" w:lineRule="exact"/>
              <w:ind w:firstLine="0" w:firstLineChars="0"/>
              <w:jc w:val="center"/>
              <w:rPr>
                <w:rFonts w:ascii="Times New Roman" w:hAnsi="Times New Roman" w:eastAsia="宋体"/>
                <w:color w:val="auto"/>
                <w:kern w:val="0"/>
                <w:sz w:val="21"/>
                <w:szCs w:val="21"/>
              </w:rPr>
            </w:pPr>
          </w:p>
        </w:tc>
        <w:tc>
          <w:tcPr>
            <w:tcW w:w="817" w:type="dxa"/>
            <w:vMerge w:val="continue"/>
            <w:noWrap w:val="0"/>
            <w:vAlign w:val="center"/>
          </w:tcPr>
          <w:p w14:paraId="6F868250">
            <w:pPr>
              <w:keepLines/>
              <w:spacing w:line="300" w:lineRule="exact"/>
              <w:ind w:firstLine="0" w:firstLineChars="0"/>
              <w:jc w:val="center"/>
              <w:rPr>
                <w:rFonts w:ascii="Times New Roman" w:hAnsi="Times New Roman" w:eastAsia="宋体"/>
                <w:color w:val="auto"/>
                <w:kern w:val="0"/>
                <w:sz w:val="21"/>
                <w:szCs w:val="21"/>
              </w:rPr>
            </w:pPr>
          </w:p>
        </w:tc>
        <w:tc>
          <w:tcPr>
            <w:tcW w:w="5220" w:type="dxa"/>
            <w:vMerge w:val="continue"/>
            <w:noWrap w:val="0"/>
            <w:vAlign w:val="center"/>
          </w:tcPr>
          <w:p w14:paraId="1D4A4EA3">
            <w:pPr>
              <w:keepLines/>
              <w:spacing w:line="300" w:lineRule="exact"/>
              <w:ind w:firstLine="0" w:firstLineChars="0"/>
              <w:jc w:val="center"/>
              <w:rPr>
                <w:rFonts w:ascii="Times New Roman" w:hAnsi="Times New Roman" w:eastAsia="宋体"/>
                <w:color w:val="auto"/>
                <w:sz w:val="21"/>
                <w:szCs w:val="21"/>
              </w:rPr>
            </w:pPr>
          </w:p>
        </w:tc>
      </w:tr>
      <w:tr w14:paraId="2EC5C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restart"/>
            <w:noWrap w:val="0"/>
            <w:vAlign w:val="center"/>
          </w:tcPr>
          <w:p w14:paraId="40813123">
            <w:pPr>
              <w:spacing w:line="300" w:lineRule="exact"/>
              <w:ind w:firstLine="0" w:firstLineChars="0"/>
              <w:rPr>
                <w:rFonts w:ascii="Times New Roman" w:hAnsi="Times New Roman" w:eastAsia="宋体"/>
                <w:color w:val="auto"/>
                <w:kern w:val="0"/>
                <w:sz w:val="21"/>
                <w:szCs w:val="21"/>
              </w:rPr>
            </w:pPr>
            <w:r>
              <w:rPr>
                <w:rFonts w:ascii="Times New Roman" w:hAnsi="Times New Roman" w:eastAsia="宋体"/>
                <w:color w:val="auto"/>
                <w:kern w:val="0"/>
                <w:sz w:val="21"/>
                <w:szCs w:val="21"/>
              </w:rPr>
              <w:t>1.6库容</w:t>
            </w:r>
          </w:p>
        </w:tc>
        <w:tc>
          <w:tcPr>
            <w:tcW w:w="6120" w:type="dxa"/>
            <w:noWrap w:val="0"/>
            <w:vAlign w:val="center"/>
          </w:tcPr>
          <w:p w14:paraId="11E9C79F">
            <w:pPr>
              <w:keepLines/>
              <w:spacing w:line="300" w:lineRule="exact"/>
              <w:ind w:firstLine="0" w:firstLineChars="0"/>
              <w:jc w:val="left"/>
              <w:rPr>
                <w:rFonts w:ascii="Times New Roman" w:hAnsi="Times New Roman" w:eastAsia="宋体"/>
                <w:color w:val="auto"/>
                <w:kern w:val="0"/>
                <w:sz w:val="21"/>
                <w:szCs w:val="21"/>
              </w:rPr>
            </w:pPr>
            <w:r>
              <w:rPr>
                <w:rFonts w:ascii="Times New Roman" w:hAnsi="Times New Roman" w:eastAsia="宋体"/>
                <w:color w:val="auto"/>
                <w:kern w:val="0"/>
                <w:sz w:val="21"/>
                <w:szCs w:val="21"/>
              </w:rPr>
              <w:t>小于100万m</w:t>
            </w:r>
            <w:r>
              <w:rPr>
                <w:rFonts w:ascii="Times New Roman" w:hAnsi="Times New Roman" w:eastAsia="宋体"/>
                <w:color w:val="auto"/>
                <w:kern w:val="0"/>
                <w:sz w:val="21"/>
                <w:szCs w:val="21"/>
                <w:vertAlign w:val="superscript"/>
              </w:rPr>
              <w:t>3</w:t>
            </w:r>
            <w:r>
              <w:rPr>
                <w:rFonts w:ascii="Times New Roman" w:hAnsi="Times New Roman" w:eastAsia="宋体"/>
                <w:color w:val="auto"/>
                <w:kern w:val="0"/>
                <w:sz w:val="21"/>
                <w:szCs w:val="21"/>
              </w:rPr>
              <w:t>，不扣分</w:t>
            </w:r>
          </w:p>
        </w:tc>
        <w:tc>
          <w:tcPr>
            <w:tcW w:w="983" w:type="dxa"/>
            <w:gridSpan w:val="2"/>
            <w:vMerge w:val="restart"/>
            <w:noWrap w:val="0"/>
            <w:vAlign w:val="center"/>
          </w:tcPr>
          <w:p w14:paraId="09288347">
            <w:pPr>
              <w:keepLines/>
              <w:spacing w:line="300" w:lineRule="exact"/>
              <w:ind w:firstLine="0" w:firstLineChars="0"/>
              <w:jc w:val="center"/>
              <w:rPr>
                <w:rFonts w:ascii="Times New Roman" w:hAnsi="Times New Roman" w:eastAsia="宋体"/>
                <w:color w:val="auto"/>
                <w:kern w:val="0"/>
                <w:sz w:val="21"/>
                <w:szCs w:val="21"/>
              </w:rPr>
            </w:pPr>
            <w:r>
              <w:rPr>
                <w:rFonts w:ascii="Times New Roman" w:hAnsi="Times New Roman" w:eastAsia="宋体"/>
                <w:color w:val="auto"/>
                <w:kern w:val="0"/>
                <w:sz w:val="21"/>
                <w:szCs w:val="21"/>
              </w:rPr>
              <w:t>4</w:t>
            </w:r>
          </w:p>
        </w:tc>
        <w:tc>
          <w:tcPr>
            <w:tcW w:w="817" w:type="dxa"/>
            <w:vMerge w:val="restart"/>
            <w:noWrap w:val="0"/>
            <w:vAlign w:val="center"/>
          </w:tcPr>
          <w:p w14:paraId="60B3A32D">
            <w:pPr>
              <w:keepLines/>
              <w:spacing w:line="300" w:lineRule="exact"/>
              <w:ind w:firstLine="0" w:firstLineChars="0"/>
              <w:jc w:val="center"/>
              <w:rPr>
                <w:rFonts w:hint="eastAsia" w:ascii="Times New Roman" w:hAnsi="Times New Roman" w:eastAsia="宋体"/>
                <w:bCs/>
                <w:color w:val="auto"/>
                <w:sz w:val="21"/>
                <w:szCs w:val="21"/>
                <w:lang w:eastAsia="zh-CN"/>
              </w:rPr>
            </w:pPr>
            <w:r>
              <w:rPr>
                <w:rFonts w:hint="eastAsia" w:ascii="Times New Roman" w:hAnsi="Times New Roman" w:eastAsia="宋体"/>
                <w:bCs/>
                <w:color w:val="auto"/>
                <w:sz w:val="21"/>
                <w:szCs w:val="21"/>
                <w:lang w:val="en-US" w:eastAsia="zh-CN"/>
              </w:rPr>
              <w:t>2</w:t>
            </w:r>
          </w:p>
        </w:tc>
        <w:tc>
          <w:tcPr>
            <w:tcW w:w="5220" w:type="dxa"/>
            <w:vMerge w:val="restart"/>
            <w:noWrap w:val="0"/>
            <w:vAlign w:val="center"/>
          </w:tcPr>
          <w:p w14:paraId="09329C35">
            <w:pPr>
              <w:keepLines/>
              <w:spacing w:line="300" w:lineRule="exact"/>
              <w:ind w:firstLine="0" w:firstLineChars="0"/>
              <w:jc w:val="left"/>
              <w:rPr>
                <w:rFonts w:ascii="Times New Roman" w:hAnsi="Times New Roman" w:eastAsia="宋体"/>
                <w:color w:val="auto"/>
                <w:sz w:val="21"/>
                <w:szCs w:val="21"/>
              </w:rPr>
            </w:pPr>
            <w:r>
              <w:rPr>
                <w:rFonts w:ascii="Times New Roman" w:hAnsi="Times New Roman" w:eastAsia="宋体"/>
                <w:color w:val="auto"/>
                <w:sz w:val="21"/>
                <w:szCs w:val="21"/>
              </w:rPr>
              <w:t>库容超过</w:t>
            </w:r>
            <w:r>
              <w:rPr>
                <w:rFonts w:ascii="Times New Roman" w:hAnsi="Times New Roman" w:eastAsia="宋体"/>
                <w:color w:val="auto"/>
                <w:kern w:val="0"/>
                <w:sz w:val="21"/>
                <w:szCs w:val="21"/>
              </w:rPr>
              <w:t>10000万m</w:t>
            </w:r>
            <w:r>
              <w:rPr>
                <w:rFonts w:ascii="Times New Roman" w:hAnsi="Times New Roman" w:eastAsia="宋体"/>
                <w:color w:val="auto"/>
                <w:kern w:val="0"/>
                <w:sz w:val="21"/>
                <w:szCs w:val="21"/>
                <w:vertAlign w:val="superscript"/>
              </w:rPr>
              <w:t>3</w:t>
            </w:r>
            <w:r>
              <w:rPr>
                <w:rFonts w:ascii="Times New Roman" w:hAnsi="Times New Roman" w:eastAsia="宋体"/>
                <w:color w:val="auto"/>
                <w:kern w:val="0"/>
                <w:sz w:val="21"/>
                <w:szCs w:val="21"/>
              </w:rPr>
              <w:t>，以二级起评，本项不另扣分</w:t>
            </w:r>
          </w:p>
        </w:tc>
      </w:tr>
      <w:tr w14:paraId="7AD59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7740E665">
            <w:pPr>
              <w:spacing w:line="300" w:lineRule="exact"/>
              <w:ind w:firstLine="0" w:firstLineChars="0"/>
              <w:rPr>
                <w:rFonts w:ascii="Times New Roman" w:hAnsi="Times New Roman" w:eastAsia="宋体"/>
                <w:color w:val="auto"/>
                <w:kern w:val="0"/>
                <w:sz w:val="21"/>
                <w:szCs w:val="21"/>
              </w:rPr>
            </w:pPr>
          </w:p>
        </w:tc>
        <w:tc>
          <w:tcPr>
            <w:tcW w:w="6120" w:type="dxa"/>
            <w:noWrap w:val="0"/>
            <w:vAlign w:val="center"/>
          </w:tcPr>
          <w:p w14:paraId="7C39671B">
            <w:pPr>
              <w:keepLines/>
              <w:spacing w:line="300" w:lineRule="exact"/>
              <w:ind w:firstLine="0" w:firstLineChars="0"/>
              <w:jc w:val="left"/>
              <w:rPr>
                <w:rFonts w:ascii="Times New Roman" w:hAnsi="Times New Roman" w:eastAsia="宋体"/>
                <w:color w:val="auto"/>
                <w:kern w:val="0"/>
                <w:sz w:val="21"/>
                <w:szCs w:val="21"/>
              </w:rPr>
            </w:pPr>
            <w:r>
              <w:rPr>
                <w:rFonts w:ascii="Times New Roman" w:hAnsi="Times New Roman" w:eastAsia="宋体"/>
                <w:color w:val="auto"/>
                <w:kern w:val="0"/>
                <w:sz w:val="21"/>
                <w:szCs w:val="21"/>
              </w:rPr>
              <w:t>等于或大于100万m</w:t>
            </w:r>
            <w:r>
              <w:rPr>
                <w:rFonts w:ascii="Times New Roman" w:hAnsi="Times New Roman" w:eastAsia="宋体"/>
                <w:color w:val="auto"/>
                <w:kern w:val="0"/>
                <w:sz w:val="21"/>
                <w:szCs w:val="21"/>
                <w:vertAlign w:val="superscript"/>
              </w:rPr>
              <w:t>3</w:t>
            </w:r>
            <w:r>
              <w:rPr>
                <w:rFonts w:ascii="Times New Roman" w:hAnsi="Times New Roman" w:eastAsia="宋体"/>
                <w:color w:val="auto"/>
                <w:kern w:val="0"/>
                <w:sz w:val="21"/>
                <w:szCs w:val="21"/>
              </w:rPr>
              <w:t>，小于1000万m</w:t>
            </w:r>
            <w:r>
              <w:rPr>
                <w:rFonts w:ascii="Times New Roman" w:hAnsi="Times New Roman" w:eastAsia="宋体"/>
                <w:color w:val="auto"/>
                <w:kern w:val="0"/>
                <w:sz w:val="21"/>
                <w:szCs w:val="21"/>
                <w:vertAlign w:val="superscript"/>
              </w:rPr>
              <w:t>3</w:t>
            </w:r>
            <w:r>
              <w:rPr>
                <w:rFonts w:ascii="Times New Roman" w:hAnsi="Times New Roman" w:eastAsia="宋体"/>
                <w:color w:val="auto"/>
                <w:kern w:val="0"/>
                <w:sz w:val="21"/>
                <w:szCs w:val="21"/>
              </w:rPr>
              <w:t>，扣2分</w:t>
            </w:r>
          </w:p>
        </w:tc>
        <w:tc>
          <w:tcPr>
            <w:tcW w:w="983" w:type="dxa"/>
            <w:gridSpan w:val="2"/>
            <w:vMerge w:val="continue"/>
            <w:noWrap w:val="0"/>
            <w:vAlign w:val="center"/>
          </w:tcPr>
          <w:p w14:paraId="56363899">
            <w:pPr>
              <w:keepLines/>
              <w:spacing w:line="300" w:lineRule="exact"/>
              <w:ind w:firstLine="0" w:firstLineChars="0"/>
              <w:jc w:val="center"/>
              <w:rPr>
                <w:rFonts w:ascii="Times New Roman" w:hAnsi="Times New Roman" w:eastAsia="宋体"/>
                <w:color w:val="auto"/>
                <w:kern w:val="0"/>
                <w:sz w:val="21"/>
                <w:szCs w:val="21"/>
              </w:rPr>
            </w:pPr>
          </w:p>
        </w:tc>
        <w:tc>
          <w:tcPr>
            <w:tcW w:w="817" w:type="dxa"/>
            <w:vMerge w:val="continue"/>
            <w:noWrap w:val="0"/>
            <w:vAlign w:val="center"/>
          </w:tcPr>
          <w:p w14:paraId="4C91569C">
            <w:pPr>
              <w:keepLines/>
              <w:spacing w:line="300" w:lineRule="exact"/>
              <w:ind w:firstLine="0" w:firstLineChars="0"/>
              <w:jc w:val="center"/>
              <w:rPr>
                <w:rFonts w:ascii="Times New Roman" w:hAnsi="Times New Roman" w:eastAsia="宋体"/>
                <w:color w:val="auto"/>
                <w:kern w:val="0"/>
                <w:sz w:val="21"/>
                <w:szCs w:val="21"/>
              </w:rPr>
            </w:pPr>
          </w:p>
        </w:tc>
        <w:tc>
          <w:tcPr>
            <w:tcW w:w="5220" w:type="dxa"/>
            <w:vMerge w:val="continue"/>
            <w:noWrap w:val="0"/>
            <w:vAlign w:val="center"/>
          </w:tcPr>
          <w:p w14:paraId="5E0FDF03">
            <w:pPr>
              <w:keepLines/>
              <w:spacing w:line="300" w:lineRule="exact"/>
              <w:ind w:firstLine="0" w:firstLineChars="0"/>
              <w:jc w:val="center"/>
              <w:rPr>
                <w:rFonts w:ascii="Times New Roman" w:hAnsi="Times New Roman" w:eastAsia="宋体"/>
                <w:color w:val="auto"/>
                <w:sz w:val="21"/>
                <w:szCs w:val="21"/>
              </w:rPr>
            </w:pPr>
          </w:p>
        </w:tc>
      </w:tr>
      <w:tr w14:paraId="03E35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6F2E3AC4">
            <w:pPr>
              <w:spacing w:line="300" w:lineRule="exact"/>
              <w:ind w:firstLine="0" w:firstLineChars="0"/>
              <w:rPr>
                <w:rFonts w:ascii="Times New Roman" w:hAnsi="Times New Roman" w:eastAsia="宋体"/>
                <w:color w:val="auto"/>
                <w:kern w:val="0"/>
                <w:sz w:val="21"/>
                <w:szCs w:val="21"/>
              </w:rPr>
            </w:pPr>
          </w:p>
        </w:tc>
        <w:tc>
          <w:tcPr>
            <w:tcW w:w="6120" w:type="dxa"/>
            <w:noWrap w:val="0"/>
            <w:vAlign w:val="center"/>
          </w:tcPr>
          <w:p w14:paraId="6A29ABA5">
            <w:pPr>
              <w:keepLines/>
              <w:spacing w:line="300" w:lineRule="exact"/>
              <w:ind w:firstLine="0" w:firstLineChars="0"/>
              <w:jc w:val="left"/>
              <w:rPr>
                <w:rFonts w:ascii="Times New Roman" w:hAnsi="Times New Roman" w:eastAsia="宋体"/>
                <w:color w:val="auto"/>
                <w:kern w:val="0"/>
                <w:sz w:val="21"/>
                <w:szCs w:val="21"/>
              </w:rPr>
            </w:pPr>
            <w:r>
              <w:rPr>
                <w:rFonts w:ascii="Times New Roman" w:hAnsi="Times New Roman" w:eastAsia="宋体"/>
                <w:color w:val="auto"/>
                <w:kern w:val="0"/>
                <w:sz w:val="21"/>
                <w:szCs w:val="21"/>
              </w:rPr>
              <w:t>等于或大于1000万m</w:t>
            </w:r>
            <w:r>
              <w:rPr>
                <w:rFonts w:ascii="Times New Roman" w:hAnsi="Times New Roman" w:eastAsia="宋体"/>
                <w:color w:val="auto"/>
                <w:kern w:val="0"/>
                <w:sz w:val="21"/>
                <w:szCs w:val="21"/>
                <w:vertAlign w:val="superscript"/>
              </w:rPr>
              <w:t>3</w:t>
            </w:r>
            <w:r>
              <w:rPr>
                <w:rFonts w:ascii="Times New Roman" w:hAnsi="Times New Roman" w:eastAsia="宋体"/>
                <w:color w:val="auto"/>
                <w:kern w:val="0"/>
                <w:sz w:val="21"/>
                <w:szCs w:val="21"/>
              </w:rPr>
              <w:t>，小于10000万m</w:t>
            </w:r>
            <w:r>
              <w:rPr>
                <w:rFonts w:ascii="Times New Roman" w:hAnsi="Times New Roman" w:eastAsia="宋体"/>
                <w:color w:val="auto"/>
                <w:kern w:val="0"/>
                <w:sz w:val="21"/>
                <w:szCs w:val="21"/>
                <w:vertAlign w:val="superscript"/>
              </w:rPr>
              <w:t>3</w:t>
            </w:r>
            <w:r>
              <w:rPr>
                <w:rFonts w:ascii="Times New Roman" w:hAnsi="Times New Roman" w:eastAsia="宋体"/>
                <w:color w:val="auto"/>
                <w:kern w:val="0"/>
                <w:sz w:val="21"/>
                <w:szCs w:val="21"/>
              </w:rPr>
              <w:t>，扣4分</w:t>
            </w:r>
          </w:p>
        </w:tc>
        <w:tc>
          <w:tcPr>
            <w:tcW w:w="983" w:type="dxa"/>
            <w:gridSpan w:val="2"/>
            <w:vMerge w:val="continue"/>
            <w:noWrap w:val="0"/>
            <w:vAlign w:val="center"/>
          </w:tcPr>
          <w:p w14:paraId="7B82F19A">
            <w:pPr>
              <w:keepLines/>
              <w:spacing w:line="300" w:lineRule="exact"/>
              <w:ind w:firstLine="0" w:firstLineChars="0"/>
              <w:jc w:val="center"/>
              <w:rPr>
                <w:rFonts w:ascii="Times New Roman" w:hAnsi="Times New Roman" w:eastAsia="宋体"/>
                <w:color w:val="auto"/>
                <w:kern w:val="0"/>
                <w:sz w:val="21"/>
                <w:szCs w:val="21"/>
              </w:rPr>
            </w:pPr>
          </w:p>
        </w:tc>
        <w:tc>
          <w:tcPr>
            <w:tcW w:w="817" w:type="dxa"/>
            <w:vMerge w:val="continue"/>
            <w:noWrap w:val="0"/>
            <w:vAlign w:val="center"/>
          </w:tcPr>
          <w:p w14:paraId="5332F4A2">
            <w:pPr>
              <w:keepLines/>
              <w:spacing w:line="300" w:lineRule="exact"/>
              <w:ind w:firstLine="0" w:firstLineChars="0"/>
              <w:jc w:val="center"/>
              <w:rPr>
                <w:rFonts w:ascii="Times New Roman" w:hAnsi="Times New Roman" w:eastAsia="宋体"/>
                <w:color w:val="auto"/>
                <w:kern w:val="0"/>
                <w:sz w:val="21"/>
                <w:szCs w:val="21"/>
              </w:rPr>
            </w:pPr>
          </w:p>
        </w:tc>
        <w:tc>
          <w:tcPr>
            <w:tcW w:w="5220" w:type="dxa"/>
            <w:vMerge w:val="continue"/>
            <w:noWrap w:val="0"/>
            <w:vAlign w:val="center"/>
          </w:tcPr>
          <w:p w14:paraId="718EB924">
            <w:pPr>
              <w:keepLines/>
              <w:spacing w:line="300" w:lineRule="exact"/>
              <w:ind w:firstLine="0" w:firstLineChars="0"/>
              <w:jc w:val="center"/>
              <w:rPr>
                <w:rFonts w:ascii="Times New Roman" w:hAnsi="Times New Roman" w:eastAsia="宋体"/>
                <w:color w:val="auto"/>
                <w:sz w:val="21"/>
                <w:szCs w:val="21"/>
              </w:rPr>
            </w:pPr>
          </w:p>
        </w:tc>
      </w:tr>
      <w:tr w14:paraId="3D098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restart"/>
            <w:noWrap w:val="0"/>
            <w:vAlign w:val="center"/>
          </w:tcPr>
          <w:p w14:paraId="42AB7347">
            <w:pPr>
              <w:spacing w:line="300" w:lineRule="exact"/>
              <w:ind w:firstLine="0" w:firstLineChars="0"/>
              <w:rPr>
                <w:rFonts w:ascii="Times New Roman" w:hAnsi="Times New Roman" w:eastAsia="宋体"/>
                <w:color w:val="auto"/>
                <w:kern w:val="0"/>
                <w:sz w:val="21"/>
                <w:szCs w:val="21"/>
              </w:rPr>
            </w:pPr>
            <w:r>
              <w:rPr>
                <w:rFonts w:ascii="Times New Roman" w:hAnsi="Times New Roman" w:eastAsia="宋体"/>
                <w:color w:val="auto"/>
                <w:kern w:val="0"/>
                <w:sz w:val="21"/>
                <w:szCs w:val="21"/>
              </w:rPr>
              <w:t>1.7汇水面积</w:t>
            </w:r>
          </w:p>
        </w:tc>
        <w:tc>
          <w:tcPr>
            <w:tcW w:w="6120" w:type="dxa"/>
            <w:noWrap w:val="0"/>
            <w:vAlign w:val="center"/>
          </w:tcPr>
          <w:p w14:paraId="4F5C4B02">
            <w:pPr>
              <w:keepLines/>
              <w:spacing w:line="300" w:lineRule="exact"/>
              <w:ind w:firstLine="0" w:firstLineChars="0"/>
              <w:jc w:val="left"/>
              <w:rPr>
                <w:rFonts w:ascii="Times New Roman" w:hAnsi="Times New Roman" w:eastAsia="宋体"/>
                <w:color w:val="auto"/>
                <w:kern w:val="0"/>
                <w:sz w:val="21"/>
                <w:szCs w:val="21"/>
              </w:rPr>
            </w:pPr>
            <w:r>
              <w:rPr>
                <w:rFonts w:ascii="Times New Roman" w:hAnsi="Times New Roman" w:eastAsia="宋体"/>
                <w:color w:val="auto"/>
                <w:kern w:val="0"/>
                <w:sz w:val="21"/>
                <w:szCs w:val="21"/>
              </w:rPr>
              <w:t>汇水面积小于1平方公里，不扣分</w:t>
            </w:r>
          </w:p>
        </w:tc>
        <w:tc>
          <w:tcPr>
            <w:tcW w:w="983" w:type="dxa"/>
            <w:gridSpan w:val="2"/>
            <w:vMerge w:val="restart"/>
            <w:noWrap w:val="0"/>
            <w:vAlign w:val="center"/>
          </w:tcPr>
          <w:p w14:paraId="404EDD03">
            <w:pPr>
              <w:keepLines/>
              <w:spacing w:line="300" w:lineRule="exact"/>
              <w:ind w:firstLine="0" w:firstLineChars="0"/>
              <w:jc w:val="center"/>
              <w:rPr>
                <w:rFonts w:ascii="Times New Roman" w:hAnsi="Times New Roman" w:eastAsia="宋体"/>
                <w:color w:val="auto"/>
                <w:kern w:val="0"/>
                <w:sz w:val="21"/>
                <w:szCs w:val="21"/>
              </w:rPr>
            </w:pPr>
            <w:r>
              <w:rPr>
                <w:rFonts w:ascii="Times New Roman" w:hAnsi="Times New Roman" w:eastAsia="宋体"/>
                <w:color w:val="auto"/>
                <w:kern w:val="0"/>
                <w:sz w:val="21"/>
                <w:szCs w:val="21"/>
              </w:rPr>
              <w:t>2</w:t>
            </w:r>
          </w:p>
        </w:tc>
        <w:tc>
          <w:tcPr>
            <w:tcW w:w="817" w:type="dxa"/>
            <w:vMerge w:val="restart"/>
            <w:noWrap w:val="0"/>
            <w:vAlign w:val="center"/>
          </w:tcPr>
          <w:p w14:paraId="2C331AC5">
            <w:pPr>
              <w:keepLines/>
              <w:spacing w:line="300" w:lineRule="exact"/>
              <w:ind w:firstLine="0" w:firstLineChars="0"/>
              <w:jc w:val="center"/>
              <w:rPr>
                <w:rFonts w:hint="eastAsia" w:ascii="Times New Roman" w:hAnsi="Times New Roman" w:eastAsia="宋体"/>
                <w:bCs/>
                <w:color w:val="auto"/>
                <w:sz w:val="21"/>
                <w:szCs w:val="21"/>
              </w:rPr>
            </w:pPr>
            <w:r>
              <w:rPr>
                <w:rFonts w:hint="eastAsia" w:ascii="Times New Roman" w:hAnsi="Times New Roman" w:eastAsia="宋体"/>
                <w:bCs/>
                <w:color w:val="auto"/>
                <w:sz w:val="21"/>
                <w:szCs w:val="21"/>
              </w:rPr>
              <w:t>1</w:t>
            </w:r>
          </w:p>
        </w:tc>
        <w:tc>
          <w:tcPr>
            <w:tcW w:w="5220" w:type="dxa"/>
            <w:vMerge w:val="restart"/>
            <w:noWrap w:val="0"/>
            <w:vAlign w:val="center"/>
          </w:tcPr>
          <w:p w14:paraId="45E9802A">
            <w:pPr>
              <w:keepLines/>
              <w:spacing w:line="300" w:lineRule="exact"/>
              <w:ind w:firstLine="0" w:firstLineChars="0"/>
              <w:jc w:val="center"/>
              <w:rPr>
                <w:rFonts w:ascii="Times New Roman" w:hAnsi="Times New Roman" w:eastAsia="宋体"/>
                <w:color w:val="auto"/>
                <w:sz w:val="21"/>
                <w:szCs w:val="21"/>
              </w:rPr>
            </w:pPr>
          </w:p>
        </w:tc>
      </w:tr>
      <w:tr w14:paraId="15848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65F44FDF">
            <w:pPr>
              <w:spacing w:line="300" w:lineRule="exact"/>
              <w:ind w:firstLine="0" w:firstLineChars="0"/>
              <w:rPr>
                <w:rFonts w:ascii="Times New Roman" w:hAnsi="Times New Roman" w:eastAsia="宋体"/>
                <w:color w:val="auto"/>
                <w:kern w:val="0"/>
                <w:sz w:val="21"/>
                <w:szCs w:val="21"/>
              </w:rPr>
            </w:pPr>
          </w:p>
        </w:tc>
        <w:tc>
          <w:tcPr>
            <w:tcW w:w="6120" w:type="dxa"/>
            <w:noWrap w:val="0"/>
            <w:vAlign w:val="center"/>
          </w:tcPr>
          <w:p w14:paraId="28B135A5">
            <w:pPr>
              <w:keepLines/>
              <w:spacing w:line="300" w:lineRule="exact"/>
              <w:ind w:firstLine="0" w:firstLineChars="0"/>
              <w:jc w:val="left"/>
              <w:rPr>
                <w:rFonts w:ascii="Times New Roman" w:hAnsi="Times New Roman" w:eastAsia="宋体"/>
                <w:color w:val="auto"/>
                <w:kern w:val="0"/>
                <w:sz w:val="21"/>
                <w:szCs w:val="21"/>
              </w:rPr>
            </w:pPr>
            <w:r>
              <w:rPr>
                <w:rFonts w:ascii="Times New Roman" w:hAnsi="Times New Roman" w:eastAsia="宋体"/>
                <w:color w:val="auto"/>
                <w:kern w:val="0"/>
                <w:sz w:val="21"/>
                <w:szCs w:val="21"/>
              </w:rPr>
              <w:t>汇水面积超过1平方公里，每增加1平方公里，扣1分</w:t>
            </w:r>
          </w:p>
        </w:tc>
        <w:tc>
          <w:tcPr>
            <w:tcW w:w="983" w:type="dxa"/>
            <w:gridSpan w:val="2"/>
            <w:vMerge w:val="continue"/>
            <w:noWrap w:val="0"/>
            <w:vAlign w:val="center"/>
          </w:tcPr>
          <w:p w14:paraId="304A2454">
            <w:pPr>
              <w:keepLines/>
              <w:spacing w:line="300" w:lineRule="exact"/>
              <w:ind w:firstLine="0" w:firstLineChars="0"/>
              <w:jc w:val="center"/>
              <w:rPr>
                <w:rFonts w:ascii="Times New Roman" w:hAnsi="Times New Roman" w:eastAsia="宋体"/>
                <w:color w:val="auto"/>
                <w:kern w:val="0"/>
                <w:sz w:val="21"/>
                <w:szCs w:val="21"/>
              </w:rPr>
            </w:pPr>
          </w:p>
        </w:tc>
        <w:tc>
          <w:tcPr>
            <w:tcW w:w="817" w:type="dxa"/>
            <w:vMerge w:val="continue"/>
            <w:noWrap w:val="0"/>
            <w:vAlign w:val="center"/>
          </w:tcPr>
          <w:p w14:paraId="51D635B8">
            <w:pPr>
              <w:keepLines/>
              <w:spacing w:line="300" w:lineRule="exact"/>
              <w:ind w:firstLine="0" w:firstLineChars="0"/>
              <w:jc w:val="center"/>
              <w:rPr>
                <w:rFonts w:ascii="Times New Roman" w:hAnsi="Times New Roman" w:eastAsia="宋体"/>
                <w:color w:val="auto"/>
                <w:kern w:val="0"/>
                <w:sz w:val="21"/>
                <w:szCs w:val="21"/>
              </w:rPr>
            </w:pPr>
          </w:p>
        </w:tc>
        <w:tc>
          <w:tcPr>
            <w:tcW w:w="5220" w:type="dxa"/>
            <w:vMerge w:val="continue"/>
            <w:noWrap w:val="0"/>
            <w:vAlign w:val="center"/>
          </w:tcPr>
          <w:p w14:paraId="583339F7">
            <w:pPr>
              <w:keepLines/>
              <w:spacing w:line="300" w:lineRule="exact"/>
              <w:ind w:firstLine="0" w:firstLineChars="0"/>
              <w:jc w:val="center"/>
              <w:rPr>
                <w:rFonts w:ascii="Times New Roman" w:hAnsi="Times New Roman" w:eastAsia="宋体"/>
                <w:color w:val="auto"/>
                <w:sz w:val="21"/>
                <w:szCs w:val="21"/>
              </w:rPr>
            </w:pPr>
          </w:p>
        </w:tc>
      </w:tr>
      <w:tr w14:paraId="487312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restart"/>
            <w:noWrap w:val="0"/>
            <w:vAlign w:val="center"/>
          </w:tcPr>
          <w:p w14:paraId="751751BE">
            <w:pPr>
              <w:spacing w:line="300" w:lineRule="exact"/>
              <w:ind w:firstLine="0" w:firstLineChars="0"/>
              <w:rPr>
                <w:rFonts w:ascii="Times New Roman" w:hAnsi="Times New Roman" w:eastAsia="宋体"/>
                <w:color w:val="auto"/>
                <w:kern w:val="0"/>
                <w:sz w:val="21"/>
                <w:szCs w:val="21"/>
              </w:rPr>
            </w:pPr>
            <w:r>
              <w:rPr>
                <w:rFonts w:ascii="Times New Roman" w:hAnsi="Times New Roman" w:eastAsia="宋体"/>
                <w:color w:val="auto"/>
                <w:kern w:val="0"/>
                <w:sz w:val="21"/>
                <w:szCs w:val="21"/>
              </w:rPr>
              <w:t>1.8工程地质条件</w:t>
            </w:r>
          </w:p>
        </w:tc>
        <w:tc>
          <w:tcPr>
            <w:tcW w:w="6120" w:type="dxa"/>
            <w:noWrap w:val="0"/>
            <w:vAlign w:val="center"/>
          </w:tcPr>
          <w:p w14:paraId="43A21F70">
            <w:pPr>
              <w:keepLines/>
              <w:spacing w:line="300" w:lineRule="exact"/>
              <w:ind w:firstLine="0" w:firstLineChars="0"/>
              <w:rPr>
                <w:rFonts w:ascii="Times New Roman" w:hAnsi="Times New Roman" w:eastAsia="宋体"/>
                <w:color w:val="auto"/>
                <w:kern w:val="0"/>
                <w:sz w:val="21"/>
                <w:szCs w:val="21"/>
              </w:rPr>
            </w:pPr>
            <w:r>
              <w:rPr>
                <w:rFonts w:ascii="Times New Roman" w:hAnsi="Times New Roman" w:eastAsia="宋体"/>
                <w:color w:val="auto"/>
                <w:kern w:val="0"/>
                <w:sz w:val="21"/>
                <w:szCs w:val="21"/>
              </w:rPr>
              <w:t>工程地质条件简单，不扣分</w:t>
            </w:r>
          </w:p>
        </w:tc>
        <w:tc>
          <w:tcPr>
            <w:tcW w:w="983" w:type="dxa"/>
            <w:gridSpan w:val="2"/>
            <w:vMerge w:val="restart"/>
            <w:noWrap w:val="0"/>
            <w:vAlign w:val="center"/>
          </w:tcPr>
          <w:p w14:paraId="451BF987">
            <w:pPr>
              <w:keepLines/>
              <w:spacing w:line="300" w:lineRule="exact"/>
              <w:ind w:firstLine="0" w:firstLineChars="0"/>
              <w:jc w:val="center"/>
              <w:rPr>
                <w:rFonts w:ascii="Times New Roman" w:hAnsi="Times New Roman" w:eastAsia="宋体"/>
                <w:color w:val="auto"/>
                <w:kern w:val="0"/>
                <w:sz w:val="21"/>
                <w:szCs w:val="21"/>
              </w:rPr>
            </w:pPr>
            <w:r>
              <w:rPr>
                <w:rFonts w:ascii="Times New Roman" w:hAnsi="Times New Roman" w:eastAsia="宋体"/>
                <w:color w:val="auto"/>
                <w:kern w:val="0"/>
                <w:sz w:val="21"/>
                <w:szCs w:val="21"/>
              </w:rPr>
              <w:t>4</w:t>
            </w:r>
          </w:p>
        </w:tc>
        <w:tc>
          <w:tcPr>
            <w:tcW w:w="817" w:type="dxa"/>
            <w:vMerge w:val="restart"/>
            <w:noWrap w:val="0"/>
            <w:vAlign w:val="center"/>
          </w:tcPr>
          <w:p w14:paraId="0F133F55">
            <w:pPr>
              <w:keepLines/>
              <w:spacing w:line="300" w:lineRule="exact"/>
              <w:ind w:firstLine="0" w:firstLineChars="0"/>
              <w:jc w:val="center"/>
              <w:rPr>
                <w:rFonts w:hint="eastAsia" w:ascii="Times New Roman" w:hAnsi="Times New Roman" w:eastAsia="宋体"/>
                <w:bCs/>
                <w:color w:val="auto"/>
                <w:sz w:val="21"/>
                <w:szCs w:val="21"/>
              </w:rPr>
            </w:pPr>
            <w:r>
              <w:rPr>
                <w:rFonts w:hint="eastAsia" w:ascii="Times New Roman" w:hAnsi="Times New Roman" w:eastAsia="宋体"/>
                <w:bCs/>
                <w:color w:val="auto"/>
                <w:sz w:val="21"/>
                <w:szCs w:val="21"/>
              </w:rPr>
              <w:t>4</w:t>
            </w:r>
          </w:p>
        </w:tc>
        <w:tc>
          <w:tcPr>
            <w:tcW w:w="5220" w:type="dxa"/>
            <w:vMerge w:val="restart"/>
            <w:noWrap w:val="0"/>
            <w:vAlign w:val="center"/>
          </w:tcPr>
          <w:p w14:paraId="0815B7D7">
            <w:pPr>
              <w:keepLines/>
              <w:spacing w:line="300" w:lineRule="exact"/>
              <w:ind w:firstLine="0" w:firstLineChars="0"/>
              <w:rPr>
                <w:rFonts w:ascii="Times New Roman" w:hAnsi="Times New Roman" w:eastAsia="宋体"/>
                <w:color w:val="auto"/>
                <w:sz w:val="21"/>
                <w:szCs w:val="21"/>
              </w:rPr>
            </w:pPr>
          </w:p>
        </w:tc>
      </w:tr>
      <w:tr w14:paraId="286D8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12A0D6F3">
            <w:pPr>
              <w:spacing w:line="300" w:lineRule="exact"/>
              <w:ind w:firstLine="0" w:firstLineChars="0"/>
              <w:rPr>
                <w:rFonts w:ascii="Times New Roman" w:hAnsi="Times New Roman" w:eastAsia="宋体"/>
                <w:color w:val="auto"/>
                <w:kern w:val="0"/>
                <w:sz w:val="21"/>
                <w:szCs w:val="21"/>
              </w:rPr>
            </w:pPr>
          </w:p>
        </w:tc>
        <w:tc>
          <w:tcPr>
            <w:tcW w:w="6120" w:type="dxa"/>
            <w:noWrap w:val="0"/>
            <w:vAlign w:val="center"/>
          </w:tcPr>
          <w:p w14:paraId="1B9B9441">
            <w:pPr>
              <w:keepLines/>
              <w:spacing w:line="300" w:lineRule="exact"/>
              <w:ind w:firstLine="0" w:firstLineChars="0"/>
              <w:rPr>
                <w:rFonts w:ascii="Times New Roman" w:hAnsi="Times New Roman" w:eastAsia="宋体"/>
                <w:color w:val="auto"/>
                <w:kern w:val="0"/>
                <w:sz w:val="21"/>
                <w:szCs w:val="21"/>
              </w:rPr>
            </w:pPr>
            <w:r>
              <w:rPr>
                <w:rFonts w:ascii="Times New Roman" w:hAnsi="Times New Roman" w:eastAsia="宋体"/>
                <w:color w:val="auto"/>
                <w:kern w:val="0"/>
                <w:sz w:val="21"/>
                <w:szCs w:val="21"/>
              </w:rPr>
              <w:t>工程地质条件中等，扣1分</w:t>
            </w:r>
          </w:p>
        </w:tc>
        <w:tc>
          <w:tcPr>
            <w:tcW w:w="983" w:type="dxa"/>
            <w:gridSpan w:val="2"/>
            <w:vMerge w:val="continue"/>
            <w:noWrap w:val="0"/>
            <w:vAlign w:val="center"/>
          </w:tcPr>
          <w:p w14:paraId="5044F1B5">
            <w:pPr>
              <w:keepLines/>
              <w:spacing w:line="300" w:lineRule="exact"/>
              <w:ind w:firstLine="0" w:firstLineChars="0"/>
              <w:jc w:val="center"/>
              <w:rPr>
                <w:rFonts w:ascii="Times New Roman" w:hAnsi="Times New Roman" w:eastAsia="宋体"/>
                <w:color w:val="auto"/>
                <w:kern w:val="0"/>
                <w:sz w:val="21"/>
                <w:szCs w:val="21"/>
              </w:rPr>
            </w:pPr>
          </w:p>
        </w:tc>
        <w:tc>
          <w:tcPr>
            <w:tcW w:w="817" w:type="dxa"/>
            <w:vMerge w:val="continue"/>
            <w:noWrap w:val="0"/>
            <w:vAlign w:val="center"/>
          </w:tcPr>
          <w:p w14:paraId="5FA7CBB9">
            <w:pPr>
              <w:keepLines/>
              <w:spacing w:line="300" w:lineRule="exact"/>
              <w:ind w:firstLine="0" w:firstLineChars="0"/>
              <w:jc w:val="center"/>
              <w:rPr>
                <w:rFonts w:ascii="Times New Roman" w:hAnsi="Times New Roman" w:eastAsia="宋体"/>
                <w:color w:val="auto"/>
                <w:kern w:val="0"/>
                <w:sz w:val="21"/>
                <w:szCs w:val="21"/>
              </w:rPr>
            </w:pPr>
          </w:p>
        </w:tc>
        <w:tc>
          <w:tcPr>
            <w:tcW w:w="5220" w:type="dxa"/>
            <w:vMerge w:val="continue"/>
            <w:noWrap w:val="0"/>
            <w:vAlign w:val="center"/>
          </w:tcPr>
          <w:p w14:paraId="5A8FC731">
            <w:pPr>
              <w:keepLines/>
              <w:spacing w:line="300" w:lineRule="exact"/>
              <w:ind w:firstLine="0" w:firstLineChars="0"/>
              <w:jc w:val="center"/>
              <w:rPr>
                <w:rFonts w:ascii="Times New Roman" w:hAnsi="Times New Roman" w:eastAsia="宋体"/>
                <w:color w:val="auto"/>
                <w:sz w:val="21"/>
                <w:szCs w:val="21"/>
              </w:rPr>
            </w:pPr>
          </w:p>
        </w:tc>
      </w:tr>
      <w:tr w14:paraId="3DB32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06D53B59">
            <w:pPr>
              <w:spacing w:line="300" w:lineRule="exact"/>
              <w:ind w:firstLine="0" w:firstLineChars="0"/>
              <w:rPr>
                <w:rFonts w:ascii="Times New Roman" w:hAnsi="Times New Roman" w:eastAsia="宋体"/>
                <w:color w:val="auto"/>
                <w:kern w:val="0"/>
                <w:sz w:val="21"/>
                <w:szCs w:val="21"/>
              </w:rPr>
            </w:pPr>
          </w:p>
        </w:tc>
        <w:tc>
          <w:tcPr>
            <w:tcW w:w="6120" w:type="dxa"/>
            <w:noWrap w:val="0"/>
            <w:vAlign w:val="center"/>
          </w:tcPr>
          <w:p w14:paraId="7225182F">
            <w:pPr>
              <w:keepLines/>
              <w:spacing w:line="300" w:lineRule="exact"/>
              <w:ind w:firstLine="0" w:firstLineChars="0"/>
              <w:rPr>
                <w:rFonts w:ascii="Times New Roman" w:hAnsi="Times New Roman" w:eastAsia="宋体"/>
                <w:color w:val="auto"/>
                <w:kern w:val="0"/>
                <w:sz w:val="21"/>
                <w:szCs w:val="21"/>
              </w:rPr>
            </w:pPr>
            <w:r>
              <w:rPr>
                <w:rFonts w:ascii="Times New Roman" w:hAnsi="Times New Roman" w:eastAsia="宋体"/>
                <w:color w:val="auto"/>
                <w:kern w:val="0"/>
                <w:sz w:val="21"/>
                <w:szCs w:val="21"/>
              </w:rPr>
              <w:t>工程地质条件复杂，扣2分</w:t>
            </w:r>
          </w:p>
        </w:tc>
        <w:tc>
          <w:tcPr>
            <w:tcW w:w="983" w:type="dxa"/>
            <w:gridSpan w:val="2"/>
            <w:vMerge w:val="continue"/>
            <w:noWrap w:val="0"/>
            <w:vAlign w:val="center"/>
          </w:tcPr>
          <w:p w14:paraId="1AD4F754">
            <w:pPr>
              <w:keepLines/>
              <w:spacing w:line="300" w:lineRule="exact"/>
              <w:ind w:firstLine="0" w:firstLineChars="0"/>
              <w:jc w:val="center"/>
              <w:rPr>
                <w:rFonts w:ascii="Times New Roman" w:hAnsi="Times New Roman" w:eastAsia="宋体"/>
                <w:color w:val="auto"/>
                <w:kern w:val="0"/>
                <w:sz w:val="21"/>
                <w:szCs w:val="21"/>
              </w:rPr>
            </w:pPr>
          </w:p>
        </w:tc>
        <w:tc>
          <w:tcPr>
            <w:tcW w:w="817" w:type="dxa"/>
            <w:vMerge w:val="continue"/>
            <w:noWrap w:val="0"/>
            <w:vAlign w:val="center"/>
          </w:tcPr>
          <w:p w14:paraId="2DAEA38F">
            <w:pPr>
              <w:keepLines/>
              <w:spacing w:line="300" w:lineRule="exact"/>
              <w:ind w:firstLine="0" w:firstLineChars="0"/>
              <w:jc w:val="center"/>
              <w:rPr>
                <w:rFonts w:ascii="Times New Roman" w:hAnsi="Times New Roman" w:eastAsia="宋体"/>
                <w:color w:val="auto"/>
                <w:kern w:val="0"/>
                <w:sz w:val="21"/>
                <w:szCs w:val="21"/>
              </w:rPr>
            </w:pPr>
          </w:p>
        </w:tc>
        <w:tc>
          <w:tcPr>
            <w:tcW w:w="5220" w:type="dxa"/>
            <w:vMerge w:val="continue"/>
            <w:noWrap w:val="0"/>
            <w:vAlign w:val="center"/>
          </w:tcPr>
          <w:p w14:paraId="14DA7D33">
            <w:pPr>
              <w:keepLines/>
              <w:spacing w:line="300" w:lineRule="exact"/>
              <w:ind w:firstLine="0" w:firstLineChars="0"/>
              <w:jc w:val="center"/>
              <w:rPr>
                <w:rFonts w:ascii="Times New Roman" w:hAnsi="Times New Roman" w:eastAsia="宋体"/>
                <w:color w:val="auto"/>
                <w:sz w:val="21"/>
                <w:szCs w:val="21"/>
              </w:rPr>
            </w:pPr>
          </w:p>
        </w:tc>
      </w:tr>
      <w:tr w14:paraId="6DAD5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1440" w:type="dxa"/>
            <w:noWrap w:val="0"/>
            <w:vAlign w:val="center"/>
          </w:tcPr>
          <w:p w14:paraId="5BE235B6">
            <w:pPr>
              <w:keepLines/>
              <w:spacing w:line="300" w:lineRule="exact"/>
              <w:ind w:firstLine="0" w:firstLineChars="0"/>
              <w:jc w:val="left"/>
              <w:rPr>
                <w:rFonts w:ascii="Times New Roman" w:hAnsi="Times New Roman" w:eastAsia="宋体"/>
                <w:color w:val="auto"/>
                <w:kern w:val="0"/>
                <w:sz w:val="21"/>
                <w:szCs w:val="21"/>
              </w:rPr>
            </w:pPr>
            <w:r>
              <w:rPr>
                <w:rFonts w:ascii="Times New Roman" w:hAnsi="Times New Roman" w:eastAsia="宋体"/>
                <w:color w:val="auto"/>
                <w:kern w:val="0"/>
                <w:sz w:val="21"/>
                <w:szCs w:val="21"/>
              </w:rPr>
              <w:t>二、安全管理</w:t>
            </w:r>
          </w:p>
        </w:tc>
        <w:tc>
          <w:tcPr>
            <w:tcW w:w="6120" w:type="dxa"/>
            <w:noWrap w:val="0"/>
            <w:vAlign w:val="center"/>
          </w:tcPr>
          <w:p w14:paraId="40E25FF1">
            <w:pPr>
              <w:keepLines/>
              <w:spacing w:line="300" w:lineRule="exact"/>
              <w:ind w:firstLine="0" w:firstLineChars="0"/>
              <w:jc w:val="center"/>
              <w:rPr>
                <w:rFonts w:ascii="Times New Roman" w:hAnsi="Times New Roman" w:eastAsia="宋体"/>
                <w:color w:val="auto"/>
                <w:spacing w:val="8"/>
                <w:kern w:val="0"/>
                <w:sz w:val="21"/>
                <w:szCs w:val="21"/>
              </w:rPr>
            </w:pPr>
          </w:p>
        </w:tc>
        <w:tc>
          <w:tcPr>
            <w:tcW w:w="983" w:type="dxa"/>
            <w:gridSpan w:val="2"/>
            <w:noWrap w:val="0"/>
            <w:vAlign w:val="center"/>
          </w:tcPr>
          <w:p w14:paraId="3E829348">
            <w:pPr>
              <w:keepLines/>
              <w:spacing w:line="300" w:lineRule="exact"/>
              <w:ind w:firstLine="0" w:firstLineChars="0"/>
              <w:jc w:val="center"/>
              <w:rPr>
                <w:rFonts w:ascii="Times New Roman" w:hAnsi="Times New Roman" w:eastAsia="宋体"/>
                <w:color w:val="auto"/>
                <w:kern w:val="0"/>
                <w:sz w:val="21"/>
                <w:szCs w:val="21"/>
              </w:rPr>
            </w:pPr>
            <w:r>
              <w:rPr>
                <w:rFonts w:ascii="Times New Roman" w:hAnsi="Times New Roman" w:eastAsia="宋体"/>
                <w:color w:val="auto"/>
                <w:kern w:val="0"/>
                <w:sz w:val="21"/>
                <w:szCs w:val="21"/>
              </w:rPr>
              <w:t>30</w:t>
            </w:r>
          </w:p>
        </w:tc>
        <w:tc>
          <w:tcPr>
            <w:tcW w:w="817" w:type="dxa"/>
            <w:noWrap w:val="0"/>
            <w:vAlign w:val="center"/>
          </w:tcPr>
          <w:p w14:paraId="64394763">
            <w:pPr>
              <w:keepLines/>
              <w:spacing w:line="300" w:lineRule="exact"/>
              <w:ind w:firstLine="0" w:firstLineChars="0"/>
              <w:jc w:val="center"/>
              <w:rPr>
                <w:rFonts w:ascii="Times New Roman" w:hAnsi="Times New Roman" w:eastAsia="宋体"/>
                <w:color w:val="auto"/>
                <w:kern w:val="0"/>
                <w:sz w:val="21"/>
                <w:szCs w:val="21"/>
              </w:rPr>
            </w:pPr>
          </w:p>
        </w:tc>
        <w:tc>
          <w:tcPr>
            <w:tcW w:w="5220" w:type="dxa"/>
            <w:noWrap w:val="0"/>
            <w:vAlign w:val="center"/>
          </w:tcPr>
          <w:p w14:paraId="708288D1">
            <w:pPr>
              <w:keepLines/>
              <w:spacing w:line="300" w:lineRule="exact"/>
              <w:ind w:firstLine="0" w:firstLineChars="0"/>
              <w:jc w:val="center"/>
              <w:rPr>
                <w:rFonts w:ascii="Times New Roman" w:hAnsi="Times New Roman" w:eastAsia="宋体"/>
                <w:color w:val="auto"/>
                <w:sz w:val="21"/>
                <w:szCs w:val="21"/>
              </w:rPr>
            </w:pPr>
          </w:p>
        </w:tc>
      </w:tr>
      <w:tr w14:paraId="5DD70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440" w:type="dxa"/>
            <w:noWrap w:val="0"/>
            <w:vAlign w:val="center"/>
          </w:tcPr>
          <w:p w14:paraId="50741599">
            <w:pPr>
              <w:keepLines/>
              <w:spacing w:line="300" w:lineRule="exact"/>
              <w:ind w:firstLine="0" w:firstLineChars="0"/>
              <w:jc w:val="left"/>
              <w:rPr>
                <w:rFonts w:ascii="Times New Roman" w:hAnsi="Times New Roman" w:eastAsia="宋体"/>
                <w:color w:val="auto"/>
                <w:kern w:val="0"/>
                <w:sz w:val="21"/>
                <w:szCs w:val="21"/>
              </w:rPr>
            </w:pPr>
            <w:r>
              <w:rPr>
                <w:rFonts w:ascii="Times New Roman" w:hAnsi="Times New Roman" w:eastAsia="宋体"/>
                <w:color w:val="auto"/>
                <w:kern w:val="0"/>
                <w:sz w:val="21"/>
                <w:szCs w:val="21"/>
              </w:rPr>
              <w:t>2.1资质证照</w:t>
            </w:r>
          </w:p>
        </w:tc>
        <w:tc>
          <w:tcPr>
            <w:tcW w:w="6120" w:type="dxa"/>
            <w:noWrap w:val="0"/>
            <w:vAlign w:val="center"/>
          </w:tcPr>
          <w:p w14:paraId="5CB54A30">
            <w:pPr>
              <w:keepLines/>
              <w:spacing w:line="300" w:lineRule="exact"/>
              <w:ind w:firstLine="0" w:firstLineChars="0"/>
              <w:jc w:val="left"/>
              <w:rPr>
                <w:rFonts w:ascii="Times New Roman" w:hAnsi="Times New Roman" w:eastAsia="宋体"/>
                <w:color w:val="auto"/>
                <w:kern w:val="0"/>
                <w:sz w:val="21"/>
                <w:szCs w:val="21"/>
              </w:rPr>
            </w:pPr>
            <w:r>
              <w:rPr>
                <w:rFonts w:ascii="Times New Roman" w:hAnsi="Times New Roman" w:eastAsia="宋体"/>
                <w:bCs/>
                <w:color w:val="auto"/>
                <w:spacing w:val="8"/>
                <w:kern w:val="0"/>
                <w:sz w:val="21"/>
                <w:szCs w:val="21"/>
              </w:rPr>
              <w:t>安全生产许可证、采矿许可证、营业执照有一项未取得或过期的</w:t>
            </w:r>
          </w:p>
        </w:tc>
        <w:tc>
          <w:tcPr>
            <w:tcW w:w="983" w:type="dxa"/>
            <w:gridSpan w:val="2"/>
            <w:noWrap w:val="0"/>
            <w:vAlign w:val="center"/>
          </w:tcPr>
          <w:p w14:paraId="5A31A937">
            <w:pPr>
              <w:keepLines/>
              <w:spacing w:line="300" w:lineRule="exact"/>
              <w:ind w:firstLine="0" w:firstLineChars="0"/>
              <w:jc w:val="center"/>
              <w:rPr>
                <w:rFonts w:ascii="Times New Roman" w:hAnsi="Times New Roman" w:eastAsia="宋体"/>
                <w:color w:val="auto"/>
                <w:kern w:val="0"/>
                <w:sz w:val="21"/>
                <w:szCs w:val="21"/>
              </w:rPr>
            </w:pPr>
            <w:r>
              <w:rPr>
                <w:rFonts w:ascii="Times New Roman" w:hAnsi="Times New Roman" w:eastAsia="宋体"/>
                <w:color w:val="auto"/>
                <w:kern w:val="0"/>
                <w:sz w:val="21"/>
                <w:szCs w:val="21"/>
              </w:rPr>
              <w:t>\</w:t>
            </w:r>
          </w:p>
        </w:tc>
        <w:tc>
          <w:tcPr>
            <w:tcW w:w="817" w:type="dxa"/>
            <w:noWrap w:val="0"/>
            <w:vAlign w:val="center"/>
          </w:tcPr>
          <w:p w14:paraId="484DD72E">
            <w:pPr>
              <w:keepLines/>
              <w:spacing w:line="300" w:lineRule="exact"/>
              <w:ind w:firstLine="0" w:firstLineChars="0"/>
              <w:jc w:val="center"/>
              <w:rPr>
                <w:rFonts w:ascii="Times New Roman" w:hAnsi="Times New Roman" w:eastAsia="宋体"/>
                <w:bCs/>
                <w:color w:val="auto"/>
                <w:kern w:val="0"/>
                <w:sz w:val="21"/>
                <w:szCs w:val="21"/>
              </w:rPr>
            </w:pPr>
            <w:r>
              <w:rPr>
                <w:rFonts w:ascii="Times New Roman" w:hAnsi="Times New Roman" w:eastAsia="宋体"/>
                <w:color w:val="auto"/>
                <w:kern w:val="0"/>
                <w:sz w:val="21"/>
                <w:szCs w:val="21"/>
              </w:rPr>
              <w:t>\</w:t>
            </w:r>
          </w:p>
        </w:tc>
        <w:tc>
          <w:tcPr>
            <w:tcW w:w="5220" w:type="dxa"/>
            <w:noWrap w:val="0"/>
            <w:vAlign w:val="center"/>
          </w:tcPr>
          <w:p w14:paraId="514B4337">
            <w:pPr>
              <w:keepLines/>
              <w:spacing w:line="300" w:lineRule="exact"/>
              <w:ind w:firstLine="0" w:firstLineChars="0"/>
              <w:jc w:val="center"/>
              <w:rPr>
                <w:rFonts w:ascii="Times New Roman" w:hAnsi="Times New Roman" w:eastAsia="宋体"/>
                <w:bCs/>
                <w:color w:val="auto"/>
                <w:kern w:val="0"/>
                <w:sz w:val="21"/>
                <w:szCs w:val="21"/>
              </w:rPr>
            </w:pPr>
            <w:r>
              <w:rPr>
                <w:rFonts w:ascii="Times New Roman" w:hAnsi="Times New Roman" w:eastAsia="宋体"/>
                <w:color w:val="auto"/>
                <w:sz w:val="21"/>
                <w:szCs w:val="21"/>
              </w:rPr>
              <w:t>直接定为一级风险</w:t>
            </w:r>
          </w:p>
        </w:tc>
      </w:tr>
      <w:tr w14:paraId="73864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restart"/>
            <w:noWrap w:val="0"/>
            <w:vAlign w:val="center"/>
          </w:tcPr>
          <w:p w14:paraId="630547B4">
            <w:pPr>
              <w:spacing w:line="300" w:lineRule="exact"/>
              <w:ind w:firstLine="0" w:firstLineChars="0"/>
              <w:rPr>
                <w:rFonts w:ascii="Times New Roman" w:hAnsi="Times New Roman" w:eastAsia="宋体"/>
                <w:bCs/>
                <w:color w:val="auto"/>
                <w:kern w:val="0"/>
                <w:sz w:val="21"/>
                <w:szCs w:val="21"/>
              </w:rPr>
            </w:pPr>
            <w:r>
              <w:rPr>
                <w:rFonts w:ascii="Times New Roman" w:hAnsi="Times New Roman" w:eastAsia="宋体"/>
                <w:bCs/>
                <w:color w:val="auto"/>
                <w:kern w:val="0"/>
                <w:sz w:val="21"/>
                <w:szCs w:val="21"/>
              </w:rPr>
              <w:t>2.2建设项目</w:t>
            </w:r>
            <w:r>
              <w:rPr>
                <w:rFonts w:ascii="宋体" w:hAnsi="宋体" w:eastAsia="宋体"/>
                <w:bCs/>
                <w:color w:val="auto"/>
                <w:kern w:val="0"/>
                <w:sz w:val="21"/>
                <w:szCs w:val="21"/>
              </w:rPr>
              <w:t>“三同时”</w:t>
            </w:r>
          </w:p>
        </w:tc>
        <w:tc>
          <w:tcPr>
            <w:tcW w:w="6120" w:type="dxa"/>
            <w:noWrap w:val="0"/>
            <w:vAlign w:val="center"/>
          </w:tcPr>
          <w:p w14:paraId="6380FEF1">
            <w:pPr>
              <w:keepLines/>
              <w:spacing w:line="300" w:lineRule="exact"/>
              <w:ind w:firstLine="0" w:firstLineChars="0"/>
              <w:jc w:val="left"/>
              <w:rPr>
                <w:rFonts w:ascii="Times New Roman" w:hAnsi="Times New Roman" w:eastAsia="宋体"/>
                <w:bCs/>
                <w:color w:val="auto"/>
                <w:spacing w:val="8"/>
                <w:kern w:val="0"/>
                <w:sz w:val="21"/>
                <w:szCs w:val="21"/>
              </w:rPr>
            </w:pPr>
            <w:r>
              <w:rPr>
                <w:rFonts w:ascii="Times New Roman" w:hAnsi="Times New Roman" w:eastAsia="宋体"/>
                <w:bCs/>
                <w:color w:val="auto"/>
                <w:spacing w:val="8"/>
                <w:kern w:val="0"/>
                <w:sz w:val="21"/>
                <w:szCs w:val="21"/>
              </w:rPr>
              <w:t>新建、改建、扩建工程项目严格执行安全设施和职业病防护设施</w:t>
            </w:r>
            <w:r>
              <w:rPr>
                <w:rFonts w:ascii="宋体" w:hAnsi="宋体" w:eastAsia="宋体"/>
                <w:bCs/>
                <w:color w:val="auto"/>
                <w:kern w:val="0"/>
                <w:sz w:val="21"/>
                <w:szCs w:val="21"/>
              </w:rPr>
              <w:t>“三同时”</w:t>
            </w:r>
            <w:r>
              <w:rPr>
                <w:rFonts w:ascii="Times New Roman" w:hAnsi="Times New Roman" w:eastAsia="宋体"/>
                <w:bCs/>
                <w:color w:val="auto"/>
                <w:spacing w:val="8"/>
                <w:kern w:val="0"/>
                <w:sz w:val="21"/>
                <w:szCs w:val="21"/>
              </w:rPr>
              <w:t>的，不扣分</w:t>
            </w:r>
          </w:p>
        </w:tc>
        <w:tc>
          <w:tcPr>
            <w:tcW w:w="983" w:type="dxa"/>
            <w:gridSpan w:val="2"/>
            <w:vMerge w:val="restart"/>
            <w:noWrap w:val="0"/>
            <w:vAlign w:val="center"/>
          </w:tcPr>
          <w:p w14:paraId="044E4519">
            <w:pPr>
              <w:keepLines/>
              <w:spacing w:line="300" w:lineRule="exact"/>
              <w:ind w:firstLine="0" w:firstLineChars="0"/>
              <w:jc w:val="center"/>
              <w:rPr>
                <w:rFonts w:ascii="Times New Roman" w:hAnsi="Times New Roman" w:eastAsia="宋体"/>
                <w:color w:val="auto"/>
                <w:kern w:val="0"/>
                <w:sz w:val="21"/>
                <w:szCs w:val="21"/>
              </w:rPr>
            </w:pPr>
            <w:r>
              <w:rPr>
                <w:rFonts w:ascii="Times New Roman" w:hAnsi="Times New Roman" w:eastAsia="宋体"/>
                <w:color w:val="auto"/>
                <w:kern w:val="0"/>
                <w:sz w:val="21"/>
                <w:szCs w:val="21"/>
              </w:rPr>
              <w:t>3</w:t>
            </w:r>
          </w:p>
        </w:tc>
        <w:tc>
          <w:tcPr>
            <w:tcW w:w="817" w:type="dxa"/>
            <w:vMerge w:val="restart"/>
            <w:noWrap w:val="0"/>
            <w:vAlign w:val="center"/>
          </w:tcPr>
          <w:p w14:paraId="5D4B3BC9">
            <w:pPr>
              <w:keepLines/>
              <w:spacing w:line="300" w:lineRule="exact"/>
              <w:ind w:firstLine="0" w:firstLineChars="0"/>
              <w:jc w:val="center"/>
              <w:rPr>
                <w:rFonts w:hint="eastAsia" w:ascii="Times New Roman" w:hAnsi="Times New Roman" w:eastAsia="宋体"/>
                <w:bCs/>
                <w:color w:val="auto"/>
                <w:kern w:val="0"/>
                <w:sz w:val="21"/>
                <w:szCs w:val="21"/>
              </w:rPr>
            </w:pPr>
            <w:r>
              <w:rPr>
                <w:rFonts w:hint="eastAsia" w:ascii="Times New Roman" w:hAnsi="Times New Roman" w:eastAsia="宋体"/>
                <w:bCs/>
                <w:color w:val="auto"/>
                <w:kern w:val="0"/>
                <w:sz w:val="21"/>
                <w:szCs w:val="21"/>
              </w:rPr>
              <w:t>3</w:t>
            </w:r>
          </w:p>
        </w:tc>
        <w:tc>
          <w:tcPr>
            <w:tcW w:w="5220" w:type="dxa"/>
            <w:vMerge w:val="restart"/>
            <w:noWrap w:val="0"/>
            <w:vAlign w:val="center"/>
          </w:tcPr>
          <w:p w14:paraId="70E530DA">
            <w:pPr>
              <w:keepLines/>
              <w:spacing w:line="300" w:lineRule="exact"/>
              <w:ind w:firstLine="0" w:firstLineChars="0"/>
              <w:jc w:val="left"/>
              <w:rPr>
                <w:rFonts w:ascii="Times New Roman" w:hAnsi="Times New Roman" w:eastAsia="宋体"/>
                <w:bCs/>
                <w:color w:val="auto"/>
                <w:kern w:val="0"/>
                <w:sz w:val="21"/>
                <w:szCs w:val="21"/>
              </w:rPr>
            </w:pPr>
          </w:p>
        </w:tc>
      </w:tr>
      <w:tr w14:paraId="00614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29920246">
            <w:pPr>
              <w:keepLines/>
              <w:spacing w:line="300" w:lineRule="exact"/>
              <w:ind w:firstLine="0" w:firstLineChars="0"/>
              <w:jc w:val="left"/>
              <w:rPr>
                <w:rFonts w:ascii="Times New Roman" w:hAnsi="Times New Roman" w:eastAsia="宋体"/>
                <w:bCs/>
                <w:color w:val="auto"/>
                <w:kern w:val="0"/>
                <w:sz w:val="21"/>
                <w:szCs w:val="21"/>
              </w:rPr>
            </w:pPr>
          </w:p>
        </w:tc>
        <w:tc>
          <w:tcPr>
            <w:tcW w:w="6120" w:type="dxa"/>
            <w:noWrap w:val="0"/>
            <w:vAlign w:val="center"/>
          </w:tcPr>
          <w:p w14:paraId="6C3DF4BD">
            <w:pPr>
              <w:keepLines/>
              <w:spacing w:line="300" w:lineRule="exact"/>
              <w:ind w:firstLine="0" w:firstLineChars="0"/>
              <w:jc w:val="left"/>
              <w:rPr>
                <w:rFonts w:ascii="Times New Roman" w:hAnsi="Times New Roman" w:eastAsia="宋体"/>
                <w:bCs/>
                <w:color w:val="auto"/>
                <w:spacing w:val="8"/>
                <w:kern w:val="0"/>
                <w:sz w:val="21"/>
                <w:szCs w:val="21"/>
              </w:rPr>
            </w:pPr>
            <w:r>
              <w:rPr>
                <w:rFonts w:ascii="Times New Roman" w:hAnsi="Times New Roman" w:eastAsia="宋体"/>
                <w:bCs/>
                <w:color w:val="auto"/>
                <w:spacing w:val="8"/>
                <w:kern w:val="0"/>
                <w:sz w:val="21"/>
                <w:szCs w:val="21"/>
              </w:rPr>
              <w:t>新建、改建、扩建工程项目未委托有资质的单位进行安全预评价、安全设施设计、安全验收评价，未按规定要求进行现状评价，缺一项扣1.5分，扣完为止</w:t>
            </w:r>
          </w:p>
        </w:tc>
        <w:tc>
          <w:tcPr>
            <w:tcW w:w="983" w:type="dxa"/>
            <w:gridSpan w:val="2"/>
            <w:vMerge w:val="continue"/>
            <w:noWrap w:val="0"/>
            <w:vAlign w:val="center"/>
          </w:tcPr>
          <w:p w14:paraId="2BA2556B">
            <w:pPr>
              <w:keepLines/>
              <w:spacing w:line="300" w:lineRule="exact"/>
              <w:ind w:firstLine="0" w:firstLineChars="0"/>
              <w:jc w:val="center"/>
              <w:rPr>
                <w:rFonts w:ascii="Times New Roman" w:hAnsi="Times New Roman" w:eastAsia="宋体"/>
                <w:color w:val="auto"/>
                <w:kern w:val="0"/>
                <w:sz w:val="21"/>
                <w:szCs w:val="21"/>
              </w:rPr>
            </w:pPr>
          </w:p>
        </w:tc>
        <w:tc>
          <w:tcPr>
            <w:tcW w:w="817" w:type="dxa"/>
            <w:vMerge w:val="continue"/>
            <w:noWrap w:val="0"/>
            <w:vAlign w:val="center"/>
          </w:tcPr>
          <w:p w14:paraId="1A8B3E88">
            <w:pPr>
              <w:keepLines/>
              <w:spacing w:line="300" w:lineRule="exact"/>
              <w:ind w:firstLine="0" w:firstLineChars="0"/>
              <w:jc w:val="center"/>
              <w:rPr>
                <w:rFonts w:ascii="Times New Roman" w:hAnsi="Times New Roman" w:eastAsia="宋体"/>
                <w:bCs/>
                <w:color w:val="auto"/>
                <w:kern w:val="0"/>
                <w:sz w:val="21"/>
                <w:szCs w:val="21"/>
              </w:rPr>
            </w:pPr>
          </w:p>
        </w:tc>
        <w:tc>
          <w:tcPr>
            <w:tcW w:w="5220" w:type="dxa"/>
            <w:vMerge w:val="continue"/>
            <w:noWrap w:val="0"/>
            <w:vAlign w:val="center"/>
          </w:tcPr>
          <w:p w14:paraId="4B50F651">
            <w:pPr>
              <w:keepLines/>
              <w:spacing w:line="300" w:lineRule="exact"/>
              <w:ind w:firstLine="0" w:firstLineChars="0"/>
              <w:jc w:val="left"/>
              <w:rPr>
                <w:rFonts w:ascii="Times New Roman" w:hAnsi="Times New Roman" w:eastAsia="宋体"/>
                <w:bCs/>
                <w:color w:val="auto"/>
                <w:kern w:val="0"/>
                <w:sz w:val="21"/>
                <w:szCs w:val="21"/>
              </w:rPr>
            </w:pPr>
          </w:p>
        </w:tc>
      </w:tr>
      <w:tr w14:paraId="6880E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restart"/>
            <w:noWrap w:val="0"/>
            <w:vAlign w:val="center"/>
          </w:tcPr>
          <w:p w14:paraId="1A2CA99D">
            <w:pPr>
              <w:spacing w:line="300" w:lineRule="exact"/>
              <w:ind w:firstLine="0" w:firstLineChars="0"/>
              <w:rPr>
                <w:rFonts w:ascii="Times New Roman" w:hAnsi="Times New Roman" w:eastAsia="宋体"/>
                <w:color w:val="auto"/>
                <w:sz w:val="21"/>
                <w:szCs w:val="21"/>
              </w:rPr>
            </w:pPr>
            <w:r>
              <w:rPr>
                <w:rFonts w:ascii="Times New Roman" w:hAnsi="Times New Roman" w:eastAsia="宋体"/>
                <w:color w:val="auto"/>
                <w:sz w:val="21"/>
                <w:szCs w:val="21"/>
              </w:rPr>
              <w:t>2.3管理机构</w:t>
            </w:r>
          </w:p>
        </w:tc>
        <w:tc>
          <w:tcPr>
            <w:tcW w:w="6120" w:type="dxa"/>
            <w:noWrap w:val="0"/>
            <w:vAlign w:val="center"/>
          </w:tcPr>
          <w:p w14:paraId="26D022BB">
            <w:pPr>
              <w:keepLines/>
              <w:spacing w:line="300" w:lineRule="exact"/>
              <w:ind w:firstLine="0" w:firstLineChars="0"/>
              <w:jc w:val="left"/>
              <w:rPr>
                <w:rFonts w:ascii="Times New Roman" w:hAnsi="Times New Roman" w:eastAsia="宋体"/>
                <w:bCs/>
                <w:color w:val="auto"/>
                <w:spacing w:val="8"/>
                <w:kern w:val="0"/>
                <w:sz w:val="21"/>
                <w:szCs w:val="21"/>
              </w:rPr>
            </w:pPr>
            <w:r>
              <w:rPr>
                <w:rFonts w:ascii="Times New Roman" w:hAnsi="Times New Roman" w:eastAsia="宋体"/>
                <w:bCs/>
                <w:color w:val="auto"/>
                <w:kern w:val="0"/>
                <w:sz w:val="21"/>
                <w:szCs w:val="21"/>
              </w:rPr>
              <w:t>按规定设置了安全管理机构和职业卫生管理机构，不扣分</w:t>
            </w:r>
          </w:p>
        </w:tc>
        <w:tc>
          <w:tcPr>
            <w:tcW w:w="983" w:type="dxa"/>
            <w:gridSpan w:val="2"/>
            <w:vMerge w:val="restart"/>
            <w:noWrap w:val="0"/>
            <w:vAlign w:val="center"/>
          </w:tcPr>
          <w:p w14:paraId="0D16FF7C">
            <w:pPr>
              <w:keepLines/>
              <w:spacing w:line="300" w:lineRule="exact"/>
              <w:ind w:firstLine="0" w:firstLineChars="0"/>
              <w:jc w:val="center"/>
              <w:rPr>
                <w:rFonts w:ascii="Times New Roman" w:hAnsi="Times New Roman" w:eastAsia="宋体"/>
                <w:color w:val="auto"/>
                <w:kern w:val="0"/>
                <w:sz w:val="21"/>
                <w:szCs w:val="21"/>
              </w:rPr>
            </w:pPr>
            <w:r>
              <w:rPr>
                <w:rFonts w:ascii="Times New Roman" w:hAnsi="Times New Roman" w:eastAsia="宋体"/>
                <w:color w:val="auto"/>
                <w:kern w:val="0"/>
                <w:sz w:val="21"/>
                <w:szCs w:val="21"/>
              </w:rPr>
              <w:t>2</w:t>
            </w:r>
          </w:p>
        </w:tc>
        <w:tc>
          <w:tcPr>
            <w:tcW w:w="817" w:type="dxa"/>
            <w:vMerge w:val="restart"/>
            <w:noWrap w:val="0"/>
            <w:vAlign w:val="center"/>
          </w:tcPr>
          <w:p w14:paraId="6211E2C0">
            <w:pPr>
              <w:keepLines/>
              <w:spacing w:line="300" w:lineRule="exact"/>
              <w:ind w:firstLine="0" w:firstLineChars="0"/>
              <w:jc w:val="center"/>
              <w:rPr>
                <w:rFonts w:hint="eastAsia" w:ascii="Times New Roman" w:hAnsi="Times New Roman" w:eastAsia="宋体"/>
                <w:bCs/>
                <w:color w:val="auto"/>
                <w:kern w:val="0"/>
                <w:sz w:val="21"/>
                <w:szCs w:val="21"/>
              </w:rPr>
            </w:pPr>
            <w:r>
              <w:rPr>
                <w:rFonts w:hint="eastAsia" w:ascii="Times New Roman" w:hAnsi="Times New Roman" w:eastAsia="宋体"/>
                <w:bCs/>
                <w:color w:val="auto"/>
                <w:kern w:val="0"/>
                <w:sz w:val="21"/>
                <w:szCs w:val="21"/>
              </w:rPr>
              <w:t>2</w:t>
            </w:r>
          </w:p>
        </w:tc>
        <w:tc>
          <w:tcPr>
            <w:tcW w:w="5220" w:type="dxa"/>
            <w:vMerge w:val="restart"/>
            <w:noWrap w:val="0"/>
            <w:vAlign w:val="center"/>
          </w:tcPr>
          <w:p w14:paraId="0E1B3419">
            <w:pPr>
              <w:keepLines/>
              <w:spacing w:line="300" w:lineRule="exact"/>
              <w:ind w:firstLine="0" w:firstLineChars="0"/>
              <w:jc w:val="center"/>
              <w:rPr>
                <w:rFonts w:ascii="Times New Roman" w:hAnsi="Times New Roman" w:eastAsia="宋体"/>
                <w:color w:val="auto"/>
                <w:sz w:val="21"/>
                <w:szCs w:val="21"/>
              </w:rPr>
            </w:pPr>
          </w:p>
        </w:tc>
      </w:tr>
      <w:tr w14:paraId="5405A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6297F09B">
            <w:pPr>
              <w:spacing w:line="300" w:lineRule="exact"/>
              <w:ind w:firstLine="0" w:firstLineChars="0"/>
              <w:rPr>
                <w:rFonts w:ascii="Times New Roman" w:hAnsi="Times New Roman" w:eastAsia="宋体"/>
                <w:color w:val="auto"/>
                <w:sz w:val="21"/>
                <w:szCs w:val="21"/>
              </w:rPr>
            </w:pPr>
          </w:p>
        </w:tc>
        <w:tc>
          <w:tcPr>
            <w:tcW w:w="6120" w:type="dxa"/>
            <w:noWrap w:val="0"/>
            <w:vAlign w:val="center"/>
          </w:tcPr>
          <w:p w14:paraId="1B5CD94A">
            <w:pPr>
              <w:keepLines/>
              <w:spacing w:line="300" w:lineRule="exact"/>
              <w:ind w:firstLine="0" w:firstLineChars="0"/>
              <w:jc w:val="left"/>
              <w:rPr>
                <w:rFonts w:ascii="Times New Roman" w:hAnsi="Times New Roman" w:eastAsia="宋体"/>
                <w:bCs/>
                <w:color w:val="auto"/>
                <w:spacing w:val="8"/>
                <w:kern w:val="0"/>
                <w:sz w:val="21"/>
                <w:szCs w:val="21"/>
              </w:rPr>
            </w:pPr>
            <w:r>
              <w:rPr>
                <w:rFonts w:ascii="Times New Roman" w:hAnsi="Times New Roman" w:eastAsia="宋体"/>
                <w:bCs/>
                <w:color w:val="auto"/>
                <w:kern w:val="0"/>
                <w:sz w:val="21"/>
                <w:szCs w:val="21"/>
              </w:rPr>
              <w:t>未按规定设置安全管理机构或职业卫生管理机构，或管理机构不健全的扣2分</w:t>
            </w:r>
          </w:p>
        </w:tc>
        <w:tc>
          <w:tcPr>
            <w:tcW w:w="983" w:type="dxa"/>
            <w:gridSpan w:val="2"/>
            <w:vMerge w:val="continue"/>
            <w:noWrap w:val="0"/>
            <w:vAlign w:val="center"/>
          </w:tcPr>
          <w:p w14:paraId="1C8AE7CE">
            <w:pPr>
              <w:keepLines/>
              <w:spacing w:line="300" w:lineRule="exact"/>
              <w:ind w:firstLine="0" w:firstLineChars="0"/>
              <w:jc w:val="center"/>
              <w:rPr>
                <w:rFonts w:ascii="Times New Roman" w:hAnsi="Times New Roman" w:eastAsia="宋体"/>
                <w:color w:val="auto"/>
                <w:kern w:val="0"/>
                <w:sz w:val="21"/>
                <w:szCs w:val="21"/>
              </w:rPr>
            </w:pPr>
          </w:p>
        </w:tc>
        <w:tc>
          <w:tcPr>
            <w:tcW w:w="817" w:type="dxa"/>
            <w:vMerge w:val="continue"/>
            <w:noWrap w:val="0"/>
            <w:vAlign w:val="center"/>
          </w:tcPr>
          <w:p w14:paraId="0A77983F">
            <w:pPr>
              <w:keepLines/>
              <w:spacing w:line="300" w:lineRule="exact"/>
              <w:ind w:firstLine="0" w:firstLineChars="0"/>
              <w:jc w:val="center"/>
              <w:rPr>
                <w:rFonts w:ascii="Times New Roman" w:hAnsi="Times New Roman" w:eastAsia="宋体"/>
                <w:bCs/>
                <w:color w:val="auto"/>
                <w:kern w:val="0"/>
                <w:sz w:val="21"/>
                <w:szCs w:val="21"/>
              </w:rPr>
            </w:pPr>
          </w:p>
        </w:tc>
        <w:tc>
          <w:tcPr>
            <w:tcW w:w="5220" w:type="dxa"/>
            <w:vMerge w:val="continue"/>
            <w:noWrap w:val="0"/>
            <w:vAlign w:val="center"/>
          </w:tcPr>
          <w:p w14:paraId="39AA1CFB">
            <w:pPr>
              <w:keepLines/>
              <w:spacing w:line="300" w:lineRule="exact"/>
              <w:ind w:firstLine="0" w:firstLineChars="0"/>
              <w:jc w:val="center"/>
              <w:rPr>
                <w:rFonts w:ascii="Times New Roman" w:hAnsi="Times New Roman" w:eastAsia="宋体"/>
                <w:color w:val="auto"/>
                <w:sz w:val="21"/>
                <w:szCs w:val="21"/>
              </w:rPr>
            </w:pPr>
          </w:p>
        </w:tc>
      </w:tr>
      <w:tr w14:paraId="33F27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restart"/>
            <w:noWrap w:val="0"/>
            <w:vAlign w:val="center"/>
          </w:tcPr>
          <w:p w14:paraId="36D55F62">
            <w:pPr>
              <w:spacing w:line="300" w:lineRule="exact"/>
              <w:ind w:firstLine="0" w:firstLineChars="0"/>
              <w:rPr>
                <w:rFonts w:ascii="Times New Roman" w:hAnsi="Times New Roman" w:eastAsia="宋体"/>
                <w:color w:val="auto"/>
                <w:sz w:val="21"/>
                <w:szCs w:val="21"/>
              </w:rPr>
            </w:pPr>
            <w:r>
              <w:rPr>
                <w:rFonts w:ascii="Times New Roman" w:hAnsi="Times New Roman" w:eastAsia="宋体"/>
                <w:bCs/>
                <w:color w:val="auto"/>
                <w:kern w:val="0"/>
                <w:sz w:val="21"/>
                <w:szCs w:val="21"/>
              </w:rPr>
              <w:t>2.4 管理人员配备</w:t>
            </w:r>
          </w:p>
        </w:tc>
        <w:tc>
          <w:tcPr>
            <w:tcW w:w="6120" w:type="dxa"/>
            <w:noWrap w:val="0"/>
            <w:vAlign w:val="center"/>
          </w:tcPr>
          <w:p w14:paraId="7A687137">
            <w:pPr>
              <w:keepLines/>
              <w:spacing w:line="300" w:lineRule="exact"/>
              <w:ind w:firstLine="0" w:firstLineChars="0"/>
              <w:jc w:val="left"/>
              <w:rPr>
                <w:rFonts w:ascii="Times New Roman" w:hAnsi="Times New Roman" w:eastAsia="宋体"/>
                <w:bCs/>
                <w:color w:val="auto"/>
                <w:spacing w:val="8"/>
                <w:kern w:val="0"/>
                <w:sz w:val="21"/>
                <w:szCs w:val="21"/>
              </w:rPr>
            </w:pPr>
            <w:r>
              <w:rPr>
                <w:rFonts w:ascii="Times New Roman" w:hAnsi="Times New Roman" w:eastAsia="宋体"/>
                <w:bCs/>
                <w:color w:val="auto"/>
                <w:sz w:val="21"/>
                <w:szCs w:val="21"/>
              </w:rPr>
              <w:t>按规定配备专职安全管理人员，</w:t>
            </w:r>
            <w:r>
              <w:rPr>
                <w:rFonts w:ascii="Times New Roman" w:hAnsi="Times New Roman" w:eastAsia="宋体"/>
                <w:bCs/>
                <w:color w:val="auto"/>
                <w:spacing w:val="8"/>
                <w:kern w:val="0"/>
                <w:sz w:val="21"/>
                <w:szCs w:val="21"/>
              </w:rPr>
              <w:t>配备专职或兼职职业卫生管理人员的，</w:t>
            </w:r>
            <w:r>
              <w:rPr>
                <w:rFonts w:ascii="Times New Roman" w:hAnsi="Times New Roman" w:eastAsia="宋体"/>
                <w:bCs/>
                <w:color w:val="auto"/>
                <w:sz w:val="21"/>
                <w:szCs w:val="21"/>
              </w:rPr>
              <w:t>不扣分</w:t>
            </w:r>
          </w:p>
        </w:tc>
        <w:tc>
          <w:tcPr>
            <w:tcW w:w="983" w:type="dxa"/>
            <w:gridSpan w:val="2"/>
            <w:vMerge w:val="restart"/>
            <w:noWrap w:val="0"/>
            <w:vAlign w:val="center"/>
          </w:tcPr>
          <w:p w14:paraId="6CBD3388">
            <w:pPr>
              <w:keepLines/>
              <w:spacing w:line="300" w:lineRule="exact"/>
              <w:ind w:firstLine="0" w:firstLineChars="0"/>
              <w:jc w:val="center"/>
              <w:rPr>
                <w:rFonts w:ascii="Times New Roman" w:hAnsi="Times New Roman" w:eastAsia="宋体"/>
                <w:bCs/>
                <w:color w:val="auto"/>
                <w:spacing w:val="8"/>
                <w:kern w:val="0"/>
                <w:sz w:val="21"/>
                <w:szCs w:val="21"/>
              </w:rPr>
            </w:pPr>
            <w:r>
              <w:rPr>
                <w:rFonts w:ascii="Times New Roman" w:hAnsi="Times New Roman" w:eastAsia="宋体"/>
                <w:bCs/>
                <w:color w:val="auto"/>
                <w:spacing w:val="8"/>
                <w:kern w:val="0"/>
                <w:sz w:val="21"/>
                <w:szCs w:val="21"/>
              </w:rPr>
              <w:t>2</w:t>
            </w:r>
          </w:p>
        </w:tc>
        <w:tc>
          <w:tcPr>
            <w:tcW w:w="817" w:type="dxa"/>
            <w:vMerge w:val="restart"/>
            <w:noWrap w:val="0"/>
            <w:vAlign w:val="center"/>
          </w:tcPr>
          <w:p w14:paraId="56BD82E3">
            <w:pPr>
              <w:keepLines/>
              <w:spacing w:line="300" w:lineRule="exact"/>
              <w:ind w:firstLine="0" w:firstLineChars="0"/>
              <w:jc w:val="center"/>
              <w:rPr>
                <w:rFonts w:hint="eastAsia" w:ascii="Times New Roman" w:hAnsi="Times New Roman" w:eastAsia="宋体"/>
                <w:bCs/>
                <w:color w:val="auto"/>
                <w:kern w:val="0"/>
                <w:sz w:val="21"/>
                <w:szCs w:val="21"/>
              </w:rPr>
            </w:pPr>
            <w:r>
              <w:rPr>
                <w:rFonts w:hint="eastAsia" w:ascii="Times New Roman" w:hAnsi="Times New Roman" w:eastAsia="宋体"/>
                <w:bCs/>
                <w:color w:val="auto"/>
                <w:kern w:val="0"/>
                <w:sz w:val="21"/>
                <w:szCs w:val="21"/>
              </w:rPr>
              <w:t>2</w:t>
            </w:r>
          </w:p>
        </w:tc>
        <w:tc>
          <w:tcPr>
            <w:tcW w:w="5220" w:type="dxa"/>
            <w:vMerge w:val="restart"/>
            <w:noWrap w:val="0"/>
            <w:vAlign w:val="center"/>
          </w:tcPr>
          <w:p w14:paraId="754347D7">
            <w:pPr>
              <w:keepLines/>
              <w:spacing w:line="300" w:lineRule="exact"/>
              <w:ind w:firstLine="0" w:firstLineChars="0"/>
              <w:jc w:val="center"/>
              <w:rPr>
                <w:rFonts w:ascii="Times New Roman" w:hAnsi="Times New Roman" w:eastAsia="宋体"/>
                <w:color w:val="auto"/>
                <w:sz w:val="21"/>
                <w:szCs w:val="21"/>
              </w:rPr>
            </w:pPr>
          </w:p>
        </w:tc>
      </w:tr>
      <w:tr w14:paraId="3CEE5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17B02626">
            <w:pPr>
              <w:spacing w:line="300" w:lineRule="exact"/>
              <w:ind w:firstLine="0" w:firstLineChars="0"/>
              <w:rPr>
                <w:rFonts w:ascii="Times New Roman" w:hAnsi="Times New Roman" w:eastAsia="宋体"/>
                <w:color w:val="auto"/>
                <w:sz w:val="21"/>
                <w:szCs w:val="21"/>
              </w:rPr>
            </w:pPr>
          </w:p>
        </w:tc>
        <w:tc>
          <w:tcPr>
            <w:tcW w:w="6120" w:type="dxa"/>
            <w:noWrap w:val="0"/>
            <w:vAlign w:val="center"/>
          </w:tcPr>
          <w:p w14:paraId="72E02BCC">
            <w:pPr>
              <w:keepLines/>
              <w:spacing w:line="300" w:lineRule="exact"/>
              <w:ind w:firstLine="0" w:firstLineChars="0"/>
              <w:jc w:val="left"/>
              <w:rPr>
                <w:rFonts w:ascii="Times New Roman" w:hAnsi="Times New Roman" w:eastAsia="宋体"/>
                <w:bCs/>
                <w:color w:val="auto"/>
                <w:spacing w:val="8"/>
                <w:kern w:val="0"/>
                <w:sz w:val="21"/>
                <w:szCs w:val="21"/>
              </w:rPr>
            </w:pPr>
            <w:r>
              <w:rPr>
                <w:rFonts w:ascii="Times New Roman" w:hAnsi="Times New Roman" w:eastAsia="宋体"/>
                <w:bCs/>
                <w:color w:val="auto"/>
                <w:sz w:val="21"/>
                <w:szCs w:val="21"/>
              </w:rPr>
              <w:t>未按规定</w:t>
            </w:r>
            <w:r>
              <w:rPr>
                <w:rFonts w:ascii="Times New Roman" w:hAnsi="Times New Roman" w:eastAsia="宋体"/>
                <w:bCs/>
                <w:color w:val="auto"/>
                <w:spacing w:val="8"/>
                <w:kern w:val="0"/>
                <w:sz w:val="21"/>
                <w:szCs w:val="21"/>
              </w:rPr>
              <w:t>配备专职或兼职安全生产和职业卫生管理人员的，</w:t>
            </w:r>
            <w:r>
              <w:rPr>
                <w:rFonts w:ascii="Times New Roman" w:hAnsi="Times New Roman" w:eastAsia="宋体"/>
                <w:bCs/>
                <w:color w:val="auto"/>
                <w:sz w:val="21"/>
                <w:szCs w:val="21"/>
              </w:rPr>
              <w:t>少1人扣1分，扣完为止</w:t>
            </w:r>
          </w:p>
        </w:tc>
        <w:tc>
          <w:tcPr>
            <w:tcW w:w="983" w:type="dxa"/>
            <w:gridSpan w:val="2"/>
            <w:vMerge w:val="continue"/>
            <w:noWrap w:val="0"/>
            <w:vAlign w:val="center"/>
          </w:tcPr>
          <w:p w14:paraId="681A5EEB">
            <w:pPr>
              <w:keepLines/>
              <w:spacing w:line="300" w:lineRule="exact"/>
              <w:ind w:firstLine="0" w:firstLineChars="0"/>
              <w:jc w:val="center"/>
              <w:rPr>
                <w:rFonts w:ascii="Times New Roman" w:hAnsi="Times New Roman" w:eastAsia="宋体"/>
                <w:bCs/>
                <w:color w:val="auto"/>
                <w:spacing w:val="8"/>
                <w:kern w:val="0"/>
                <w:sz w:val="21"/>
                <w:szCs w:val="21"/>
              </w:rPr>
            </w:pPr>
          </w:p>
        </w:tc>
        <w:tc>
          <w:tcPr>
            <w:tcW w:w="817" w:type="dxa"/>
            <w:vMerge w:val="continue"/>
            <w:noWrap w:val="0"/>
            <w:vAlign w:val="center"/>
          </w:tcPr>
          <w:p w14:paraId="2CD95C9D">
            <w:pPr>
              <w:keepLines/>
              <w:spacing w:line="300" w:lineRule="exact"/>
              <w:ind w:firstLine="0" w:firstLineChars="0"/>
              <w:jc w:val="center"/>
              <w:rPr>
                <w:rFonts w:ascii="Times New Roman" w:hAnsi="Times New Roman" w:eastAsia="宋体"/>
                <w:bCs/>
                <w:color w:val="auto"/>
                <w:kern w:val="0"/>
                <w:sz w:val="21"/>
                <w:szCs w:val="21"/>
              </w:rPr>
            </w:pPr>
          </w:p>
        </w:tc>
        <w:tc>
          <w:tcPr>
            <w:tcW w:w="5220" w:type="dxa"/>
            <w:vMerge w:val="continue"/>
            <w:noWrap w:val="0"/>
            <w:vAlign w:val="center"/>
          </w:tcPr>
          <w:p w14:paraId="72E57CF5">
            <w:pPr>
              <w:keepLines/>
              <w:spacing w:line="300" w:lineRule="exact"/>
              <w:ind w:firstLine="0" w:firstLineChars="0"/>
              <w:jc w:val="center"/>
              <w:rPr>
                <w:rFonts w:ascii="Times New Roman" w:hAnsi="Times New Roman" w:eastAsia="宋体"/>
                <w:color w:val="auto"/>
                <w:sz w:val="21"/>
                <w:szCs w:val="21"/>
              </w:rPr>
            </w:pPr>
          </w:p>
        </w:tc>
      </w:tr>
      <w:tr w14:paraId="4D0E3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restart"/>
            <w:noWrap w:val="0"/>
            <w:vAlign w:val="center"/>
          </w:tcPr>
          <w:p w14:paraId="00E74DE9">
            <w:pPr>
              <w:spacing w:line="300" w:lineRule="exact"/>
              <w:ind w:firstLine="0" w:firstLineChars="0"/>
              <w:rPr>
                <w:rFonts w:ascii="Times New Roman" w:hAnsi="Times New Roman" w:eastAsia="宋体"/>
                <w:bCs/>
                <w:color w:val="auto"/>
                <w:sz w:val="21"/>
                <w:szCs w:val="21"/>
              </w:rPr>
            </w:pPr>
            <w:r>
              <w:rPr>
                <w:rFonts w:ascii="Times New Roman" w:hAnsi="Times New Roman" w:eastAsia="宋体"/>
                <w:bCs/>
                <w:color w:val="auto"/>
                <w:kern w:val="0"/>
                <w:sz w:val="21"/>
                <w:szCs w:val="21"/>
              </w:rPr>
              <w:t>2.5 规章制度</w:t>
            </w:r>
          </w:p>
        </w:tc>
        <w:tc>
          <w:tcPr>
            <w:tcW w:w="6120" w:type="dxa"/>
            <w:noWrap w:val="0"/>
            <w:vAlign w:val="center"/>
          </w:tcPr>
          <w:p w14:paraId="783C0E74">
            <w:pPr>
              <w:keepLines/>
              <w:spacing w:line="300" w:lineRule="exact"/>
              <w:ind w:firstLine="0" w:firstLineChars="0"/>
              <w:jc w:val="left"/>
              <w:rPr>
                <w:rFonts w:ascii="Times New Roman" w:hAnsi="Times New Roman" w:eastAsia="宋体"/>
                <w:bCs/>
                <w:color w:val="auto"/>
                <w:spacing w:val="8"/>
                <w:kern w:val="0"/>
                <w:sz w:val="21"/>
                <w:szCs w:val="21"/>
              </w:rPr>
            </w:pPr>
            <w:r>
              <w:rPr>
                <w:rFonts w:ascii="Times New Roman" w:hAnsi="Times New Roman" w:eastAsia="宋体"/>
                <w:bCs/>
                <w:color w:val="auto"/>
                <w:sz w:val="21"/>
                <w:szCs w:val="21"/>
              </w:rPr>
              <w:t>按规定建立安全生产和职业卫生责任制、规章制度和</w:t>
            </w:r>
            <w:r>
              <w:rPr>
                <w:rFonts w:ascii="Times New Roman" w:hAnsi="Times New Roman" w:eastAsia="宋体"/>
                <w:bCs/>
                <w:color w:val="auto"/>
                <w:kern w:val="0"/>
                <w:sz w:val="21"/>
                <w:szCs w:val="21"/>
              </w:rPr>
              <w:t>操作规程的，不扣分</w:t>
            </w:r>
          </w:p>
        </w:tc>
        <w:tc>
          <w:tcPr>
            <w:tcW w:w="983" w:type="dxa"/>
            <w:gridSpan w:val="2"/>
            <w:vMerge w:val="restart"/>
            <w:noWrap w:val="0"/>
            <w:vAlign w:val="center"/>
          </w:tcPr>
          <w:p w14:paraId="740386A5">
            <w:pPr>
              <w:keepLines/>
              <w:spacing w:line="300" w:lineRule="exact"/>
              <w:ind w:firstLine="0" w:firstLineChars="0"/>
              <w:jc w:val="center"/>
              <w:rPr>
                <w:rFonts w:ascii="Times New Roman" w:hAnsi="Times New Roman" w:eastAsia="宋体"/>
                <w:bCs/>
                <w:color w:val="auto"/>
                <w:spacing w:val="8"/>
                <w:kern w:val="0"/>
                <w:sz w:val="21"/>
                <w:szCs w:val="21"/>
              </w:rPr>
            </w:pPr>
            <w:r>
              <w:rPr>
                <w:rFonts w:ascii="Times New Roman" w:hAnsi="Times New Roman" w:eastAsia="宋体"/>
                <w:bCs/>
                <w:color w:val="auto"/>
                <w:spacing w:val="8"/>
                <w:kern w:val="0"/>
                <w:sz w:val="21"/>
                <w:szCs w:val="21"/>
              </w:rPr>
              <w:t>2</w:t>
            </w:r>
          </w:p>
        </w:tc>
        <w:tc>
          <w:tcPr>
            <w:tcW w:w="817" w:type="dxa"/>
            <w:vMerge w:val="restart"/>
            <w:noWrap w:val="0"/>
            <w:vAlign w:val="center"/>
          </w:tcPr>
          <w:p w14:paraId="01CDA15E">
            <w:pPr>
              <w:keepLines/>
              <w:spacing w:line="300" w:lineRule="exact"/>
              <w:ind w:firstLine="0" w:firstLineChars="0"/>
              <w:jc w:val="center"/>
              <w:rPr>
                <w:rFonts w:hint="eastAsia" w:ascii="Times New Roman" w:hAnsi="Times New Roman" w:eastAsia="宋体"/>
                <w:bCs/>
                <w:color w:val="auto"/>
                <w:kern w:val="0"/>
                <w:sz w:val="21"/>
                <w:szCs w:val="21"/>
              </w:rPr>
            </w:pPr>
            <w:r>
              <w:rPr>
                <w:rFonts w:hint="eastAsia" w:ascii="Times New Roman" w:hAnsi="Times New Roman" w:eastAsia="宋体"/>
                <w:bCs/>
                <w:color w:val="auto"/>
                <w:kern w:val="0"/>
                <w:sz w:val="21"/>
                <w:szCs w:val="21"/>
              </w:rPr>
              <w:t>2</w:t>
            </w:r>
          </w:p>
        </w:tc>
        <w:tc>
          <w:tcPr>
            <w:tcW w:w="5220" w:type="dxa"/>
            <w:vMerge w:val="restart"/>
            <w:noWrap w:val="0"/>
            <w:vAlign w:val="center"/>
          </w:tcPr>
          <w:p w14:paraId="7EE6BDC0">
            <w:pPr>
              <w:keepLines/>
              <w:spacing w:line="300" w:lineRule="exact"/>
              <w:ind w:firstLine="0" w:firstLineChars="0"/>
              <w:jc w:val="center"/>
              <w:rPr>
                <w:rFonts w:ascii="Times New Roman" w:hAnsi="Times New Roman" w:eastAsia="宋体"/>
                <w:color w:val="auto"/>
                <w:sz w:val="21"/>
                <w:szCs w:val="21"/>
              </w:rPr>
            </w:pPr>
          </w:p>
        </w:tc>
      </w:tr>
      <w:tr w14:paraId="4E901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08F0A869">
            <w:pPr>
              <w:spacing w:line="300" w:lineRule="exact"/>
              <w:ind w:firstLine="0" w:firstLineChars="0"/>
              <w:rPr>
                <w:rFonts w:ascii="Times New Roman" w:hAnsi="Times New Roman" w:eastAsia="宋体"/>
                <w:bCs/>
                <w:color w:val="auto"/>
                <w:sz w:val="21"/>
                <w:szCs w:val="21"/>
              </w:rPr>
            </w:pPr>
          </w:p>
        </w:tc>
        <w:tc>
          <w:tcPr>
            <w:tcW w:w="6120" w:type="dxa"/>
            <w:noWrap w:val="0"/>
            <w:vAlign w:val="center"/>
          </w:tcPr>
          <w:p w14:paraId="76AF51E9">
            <w:pPr>
              <w:keepLines/>
              <w:spacing w:line="300" w:lineRule="exact"/>
              <w:ind w:firstLine="0" w:firstLineChars="0"/>
              <w:jc w:val="left"/>
              <w:rPr>
                <w:rFonts w:ascii="Times New Roman" w:hAnsi="Times New Roman" w:eastAsia="宋体"/>
                <w:bCs/>
                <w:color w:val="auto"/>
                <w:spacing w:val="8"/>
                <w:kern w:val="0"/>
                <w:sz w:val="21"/>
                <w:szCs w:val="21"/>
              </w:rPr>
            </w:pPr>
            <w:r>
              <w:rPr>
                <w:rFonts w:ascii="Times New Roman" w:hAnsi="Times New Roman" w:eastAsia="宋体"/>
                <w:bCs/>
                <w:color w:val="auto"/>
                <w:sz w:val="21"/>
                <w:szCs w:val="21"/>
              </w:rPr>
              <w:t>未按规定建立安全生产和职业卫生责任制、规章制度、</w:t>
            </w:r>
            <w:r>
              <w:rPr>
                <w:rFonts w:ascii="Times New Roman" w:hAnsi="Times New Roman" w:eastAsia="宋体"/>
                <w:bCs/>
                <w:color w:val="auto"/>
                <w:kern w:val="0"/>
                <w:sz w:val="21"/>
                <w:szCs w:val="21"/>
              </w:rPr>
              <w:t>操作规程，1项没有或不齐全扣0.5分，扣完为止</w:t>
            </w:r>
          </w:p>
        </w:tc>
        <w:tc>
          <w:tcPr>
            <w:tcW w:w="983" w:type="dxa"/>
            <w:gridSpan w:val="2"/>
            <w:vMerge w:val="continue"/>
            <w:noWrap w:val="0"/>
            <w:vAlign w:val="center"/>
          </w:tcPr>
          <w:p w14:paraId="3E3D0E69">
            <w:pPr>
              <w:keepLines/>
              <w:spacing w:line="300" w:lineRule="exact"/>
              <w:ind w:firstLine="0" w:firstLineChars="0"/>
              <w:jc w:val="center"/>
              <w:rPr>
                <w:rFonts w:ascii="Times New Roman" w:hAnsi="Times New Roman" w:eastAsia="宋体"/>
                <w:bCs/>
                <w:color w:val="auto"/>
                <w:spacing w:val="8"/>
                <w:kern w:val="0"/>
                <w:sz w:val="21"/>
                <w:szCs w:val="21"/>
              </w:rPr>
            </w:pPr>
          </w:p>
        </w:tc>
        <w:tc>
          <w:tcPr>
            <w:tcW w:w="817" w:type="dxa"/>
            <w:vMerge w:val="continue"/>
            <w:noWrap w:val="0"/>
            <w:vAlign w:val="center"/>
          </w:tcPr>
          <w:p w14:paraId="01310541">
            <w:pPr>
              <w:keepLines/>
              <w:spacing w:line="300" w:lineRule="exact"/>
              <w:ind w:firstLine="0" w:firstLineChars="0"/>
              <w:jc w:val="center"/>
              <w:rPr>
                <w:rFonts w:ascii="Times New Roman" w:hAnsi="Times New Roman" w:eastAsia="宋体"/>
                <w:bCs/>
                <w:color w:val="auto"/>
                <w:kern w:val="0"/>
                <w:sz w:val="21"/>
                <w:szCs w:val="21"/>
              </w:rPr>
            </w:pPr>
          </w:p>
        </w:tc>
        <w:tc>
          <w:tcPr>
            <w:tcW w:w="5220" w:type="dxa"/>
            <w:vMerge w:val="continue"/>
            <w:noWrap w:val="0"/>
            <w:vAlign w:val="center"/>
          </w:tcPr>
          <w:p w14:paraId="0B703D44">
            <w:pPr>
              <w:keepLines/>
              <w:spacing w:line="300" w:lineRule="exact"/>
              <w:ind w:firstLine="0" w:firstLineChars="0"/>
              <w:jc w:val="center"/>
              <w:rPr>
                <w:rFonts w:ascii="Times New Roman" w:hAnsi="Times New Roman" w:eastAsia="宋体"/>
                <w:color w:val="auto"/>
                <w:sz w:val="21"/>
                <w:szCs w:val="21"/>
              </w:rPr>
            </w:pPr>
          </w:p>
        </w:tc>
      </w:tr>
      <w:tr w14:paraId="3B8D0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restart"/>
            <w:noWrap w:val="0"/>
            <w:vAlign w:val="center"/>
          </w:tcPr>
          <w:p w14:paraId="0919CC50">
            <w:pPr>
              <w:spacing w:line="300" w:lineRule="exact"/>
              <w:ind w:firstLine="0" w:firstLineChars="0"/>
              <w:rPr>
                <w:rFonts w:ascii="Times New Roman" w:hAnsi="Times New Roman" w:eastAsia="宋体"/>
                <w:bCs/>
                <w:color w:val="auto"/>
                <w:sz w:val="21"/>
                <w:szCs w:val="21"/>
              </w:rPr>
            </w:pPr>
            <w:r>
              <w:rPr>
                <w:rFonts w:ascii="Times New Roman" w:hAnsi="Times New Roman" w:eastAsia="宋体"/>
                <w:bCs/>
                <w:color w:val="auto"/>
                <w:sz w:val="21"/>
                <w:szCs w:val="21"/>
              </w:rPr>
              <w:t>2.6管理档案</w:t>
            </w:r>
          </w:p>
        </w:tc>
        <w:tc>
          <w:tcPr>
            <w:tcW w:w="6120" w:type="dxa"/>
            <w:noWrap w:val="0"/>
            <w:vAlign w:val="center"/>
          </w:tcPr>
          <w:p w14:paraId="5EC3033C">
            <w:pPr>
              <w:keepLines/>
              <w:spacing w:line="300" w:lineRule="exact"/>
              <w:ind w:firstLine="0" w:firstLineChars="0"/>
              <w:jc w:val="left"/>
              <w:rPr>
                <w:rFonts w:ascii="Times New Roman" w:hAnsi="Times New Roman" w:eastAsia="宋体"/>
                <w:bCs/>
                <w:color w:val="auto"/>
                <w:spacing w:val="8"/>
                <w:kern w:val="0"/>
                <w:sz w:val="21"/>
                <w:szCs w:val="21"/>
              </w:rPr>
            </w:pPr>
            <w:r>
              <w:rPr>
                <w:rFonts w:ascii="Times New Roman" w:hAnsi="Times New Roman" w:eastAsia="宋体"/>
                <w:bCs/>
                <w:color w:val="auto"/>
                <w:sz w:val="21"/>
                <w:szCs w:val="21"/>
              </w:rPr>
              <w:t>按规定建立尾矿库工程档案，不扣分</w:t>
            </w:r>
          </w:p>
        </w:tc>
        <w:tc>
          <w:tcPr>
            <w:tcW w:w="983" w:type="dxa"/>
            <w:gridSpan w:val="2"/>
            <w:vMerge w:val="restart"/>
            <w:noWrap w:val="0"/>
            <w:vAlign w:val="center"/>
          </w:tcPr>
          <w:p w14:paraId="2D4BBB42">
            <w:pPr>
              <w:keepLines/>
              <w:spacing w:line="300" w:lineRule="exact"/>
              <w:ind w:firstLine="0" w:firstLineChars="0"/>
              <w:jc w:val="center"/>
              <w:rPr>
                <w:rFonts w:ascii="Times New Roman" w:hAnsi="Times New Roman" w:eastAsia="宋体"/>
                <w:bCs/>
                <w:color w:val="auto"/>
                <w:spacing w:val="8"/>
                <w:kern w:val="0"/>
                <w:sz w:val="21"/>
                <w:szCs w:val="21"/>
              </w:rPr>
            </w:pPr>
            <w:r>
              <w:rPr>
                <w:rFonts w:ascii="Times New Roman" w:hAnsi="Times New Roman" w:eastAsia="宋体"/>
                <w:bCs/>
                <w:color w:val="auto"/>
                <w:spacing w:val="8"/>
                <w:kern w:val="0"/>
                <w:sz w:val="21"/>
                <w:szCs w:val="21"/>
              </w:rPr>
              <w:t>2</w:t>
            </w:r>
          </w:p>
        </w:tc>
        <w:tc>
          <w:tcPr>
            <w:tcW w:w="817" w:type="dxa"/>
            <w:vMerge w:val="restart"/>
            <w:noWrap w:val="0"/>
            <w:vAlign w:val="center"/>
          </w:tcPr>
          <w:p w14:paraId="6327D33A">
            <w:pPr>
              <w:keepLines/>
              <w:spacing w:line="300" w:lineRule="exact"/>
              <w:ind w:firstLine="0" w:firstLineChars="0"/>
              <w:jc w:val="center"/>
              <w:rPr>
                <w:rFonts w:hint="eastAsia" w:ascii="Times New Roman" w:hAnsi="Times New Roman" w:eastAsia="宋体"/>
                <w:bCs/>
                <w:color w:val="auto"/>
                <w:kern w:val="0"/>
                <w:sz w:val="21"/>
                <w:szCs w:val="21"/>
              </w:rPr>
            </w:pPr>
            <w:r>
              <w:rPr>
                <w:rFonts w:hint="eastAsia" w:ascii="Times New Roman" w:hAnsi="Times New Roman" w:eastAsia="宋体"/>
                <w:bCs/>
                <w:color w:val="auto"/>
                <w:kern w:val="0"/>
                <w:sz w:val="21"/>
                <w:szCs w:val="21"/>
              </w:rPr>
              <w:t>2</w:t>
            </w:r>
          </w:p>
        </w:tc>
        <w:tc>
          <w:tcPr>
            <w:tcW w:w="5220" w:type="dxa"/>
            <w:vMerge w:val="restart"/>
            <w:noWrap w:val="0"/>
            <w:vAlign w:val="center"/>
          </w:tcPr>
          <w:p w14:paraId="0919492D">
            <w:pPr>
              <w:keepLines/>
              <w:spacing w:line="300" w:lineRule="exact"/>
              <w:ind w:firstLine="0" w:firstLineChars="0"/>
              <w:jc w:val="center"/>
              <w:rPr>
                <w:rFonts w:ascii="Times New Roman" w:hAnsi="Times New Roman" w:eastAsia="宋体"/>
                <w:color w:val="auto"/>
                <w:sz w:val="21"/>
                <w:szCs w:val="21"/>
              </w:rPr>
            </w:pPr>
          </w:p>
        </w:tc>
      </w:tr>
      <w:tr w14:paraId="727E6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3F16D844">
            <w:pPr>
              <w:keepLines/>
              <w:spacing w:line="300" w:lineRule="exact"/>
              <w:ind w:firstLine="0" w:firstLineChars="0"/>
              <w:jc w:val="left"/>
              <w:rPr>
                <w:rFonts w:ascii="Times New Roman" w:hAnsi="Times New Roman" w:eastAsia="宋体"/>
                <w:bCs/>
                <w:color w:val="auto"/>
                <w:sz w:val="21"/>
                <w:szCs w:val="21"/>
              </w:rPr>
            </w:pPr>
          </w:p>
        </w:tc>
        <w:tc>
          <w:tcPr>
            <w:tcW w:w="6120" w:type="dxa"/>
            <w:noWrap w:val="0"/>
            <w:vAlign w:val="center"/>
          </w:tcPr>
          <w:p w14:paraId="27B6BA94">
            <w:pPr>
              <w:keepLines/>
              <w:spacing w:line="300" w:lineRule="exact"/>
              <w:ind w:firstLine="0" w:firstLineChars="0"/>
              <w:jc w:val="left"/>
              <w:rPr>
                <w:rFonts w:ascii="Times New Roman" w:hAnsi="Times New Roman" w:eastAsia="宋体"/>
                <w:bCs/>
                <w:color w:val="auto"/>
                <w:spacing w:val="8"/>
                <w:kern w:val="0"/>
                <w:sz w:val="21"/>
                <w:szCs w:val="21"/>
              </w:rPr>
            </w:pPr>
            <w:r>
              <w:rPr>
                <w:rFonts w:ascii="Times New Roman" w:hAnsi="Times New Roman" w:eastAsia="宋体"/>
                <w:bCs/>
                <w:color w:val="auto"/>
                <w:sz w:val="21"/>
                <w:szCs w:val="21"/>
              </w:rPr>
              <w:t>未建立尾矿库工程档案，特别是隐蔽工程的档案，并长期保管，扣2分</w:t>
            </w:r>
          </w:p>
        </w:tc>
        <w:tc>
          <w:tcPr>
            <w:tcW w:w="983" w:type="dxa"/>
            <w:gridSpan w:val="2"/>
            <w:vMerge w:val="continue"/>
            <w:noWrap w:val="0"/>
            <w:vAlign w:val="center"/>
          </w:tcPr>
          <w:p w14:paraId="14B3FDD3">
            <w:pPr>
              <w:keepLines/>
              <w:spacing w:line="300" w:lineRule="exact"/>
              <w:ind w:firstLine="0" w:firstLineChars="0"/>
              <w:jc w:val="center"/>
              <w:rPr>
                <w:rFonts w:ascii="Times New Roman" w:hAnsi="Times New Roman" w:eastAsia="宋体"/>
                <w:bCs/>
                <w:color w:val="auto"/>
                <w:spacing w:val="8"/>
                <w:kern w:val="0"/>
                <w:sz w:val="21"/>
                <w:szCs w:val="21"/>
              </w:rPr>
            </w:pPr>
          </w:p>
        </w:tc>
        <w:tc>
          <w:tcPr>
            <w:tcW w:w="817" w:type="dxa"/>
            <w:vMerge w:val="continue"/>
            <w:noWrap w:val="0"/>
            <w:vAlign w:val="center"/>
          </w:tcPr>
          <w:p w14:paraId="62697F46">
            <w:pPr>
              <w:keepLines/>
              <w:spacing w:line="300" w:lineRule="exact"/>
              <w:ind w:firstLine="0" w:firstLineChars="0"/>
              <w:jc w:val="center"/>
              <w:rPr>
                <w:rFonts w:ascii="Times New Roman" w:hAnsi="Times New Roman" w:eastAsia="宋体"/>
                <w:bCs/>
                <w:color w:val="auto"/>
                <w:kern w:val="0"/>
                <w:sz w:val="21"/>
                <w:szCs w:val="21"/>
              </w:rPr>
            </w:pPr>
          </w:p>
        </w:tc>
        <w:tc>
          <w:tcPr>
            <w:tcW w:w="5220" w:type="dxa"/>
            <w:vMerge w:val="continue"/>
            <w:noWrap w:val="0"/>
            <w:vAlign w:val="center"/>
          </w:tcPr>
          <w:p w14:paraId="48097DBE">
            <w:pPr>
              <w:keepLines/>
              <w:spacing w:line="300" w:lineRule="exact"/>
              <w:ind w:firstLine="0" w:firstLineChars="0"/>
              <w:jc w:val="center"/>
              <w:rPr>
                <w:rFonts w:ascii="Times New Roman" w:hAnsi="Times New Roman" w:eastAsia="宋体"/>
                <w:color w:val="auto"/>
                <w:sz w:val="21"/>
                <w:szCs w:val="21"/>
              </w:rPr>
            </w:pPr>
          </w:p>
        </w:tc>
      </w:tr>
      <w:tr w14:paraId="79F53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restart"/>
            <w:noWrap w:val="0"/>
            <w:vAlign w:val="center"/>
          </w:tcPr>
          <w:p w14:paraId="2679AFE6">
            <w:pPr>
              <w:spacing w:line="300" w:lineRule="exact"/>
              <w:ind w:firstLine="0" w:firstLineChars="0"/>
              <w:rPr>
                <w:rFonts w:ascii="Times New Roman" w:hAnsi="Times New Roman" w:eastAsia="宋体"/>
                <w:color w:val="auto"/>
                <w:sz w:val="21"/>
                <w:szCs w:val="21"/>
              </w:rPr>
            </w:pPr>
            <w:r>
              <w:rPr>
                <w:rFonts w:ascii="Times New Roman" w:hAnsi="Times New Roman" w:eastAsia="宋体"/>
                <w:bCs/>
                <w:color w:val="auto"/>
                <w:kern w:val="0"/>
                <w:sz w:val="21"/>
                <w:szCs w:val="21"/>
              </w:rPr>
              <w:t>2.7安全生产责任险</w:t>
            </w:r>
          </w:p>
        </w:tc>
        <w:tc>
          <w:tcPr>
            <w:tcW w:w="6120" w:type="dxa"/>
            <w:noWrap w:val="0"/>
            <w:vAlign w:val="center"/>
          </w:tcPr>
          <w:p w14:paraId="73B40E8F">
            <w:pPr>
              <w:keepLines/>
              <w:spacing w:line="300" w:lineRule="exact"/>
              <w:ind w:firstLine="0" w:firstLineChars="0"/>
              <w:jc w:val="left"/>
              <w:rPr>
                <w:rFonts w:ascii="Times New Roman" w:hAnsi="Times New Roman" w:eastAsia="宋体"/>
                <w:bCs/>
                <w:color w:val="auto"/>
                <w:sz w:val="21"/>
                <w:szCs w:val="21"/>
              </w:rPr>
            </w:pPr>
            <w:r>
              <w:rPr>
                <w:rFonts w:ascii="Times New Roman" w:hAnsi="Times New Roman" w:eastAsia="宋体"/>
                <w:bCs/>
                <w:color w:val="auto"/>
                <w:sz w:val="21"/>
                <w:szCs w:val="21"/>
              </w:rPr>
              <w:t>依法缴纳安全生产责任险，不扣分</w:t>
            </w:r>
          </w:p>
        </w:tc>
        <w:tc>
          <w:tcPr>
            <w:tcW w:w="983" w:type="dxa"/>
            <w:gridSpan w:val="2"/>
            <w:vMerge w:val="restart"/>
            <w:noWrap w:val="0"/>
            <w:vAlign w:val="center"/>
          </w:tcPr>
          <w:p w14:paraId="198A42F3">
            <w:pPr>
              <w:keepLines/>
              <w:spacing w:line="300" w:lineRule="exact"/>
              <w:ind w:firstLine="0" w:firstLineChars="0"/>
              <w:jc w:val="center"/>
              <w:rPr>
                <w:rFonts w:ascii="Times New Roman" w:hAnsi="Times New Roman" w:eastAsia="宋体"/>
                <w:bCs/>
                <w:color w:val="auto"/>
                <w:spacing w:val="8"/>
                <w:kern w:val="0"/>
                <w:sz w:val="21"/>
                <w:szCs w:val="21"/>
              </w:rPr>
            </w:pPr>
            <w:r>
              <w:rPr>
                <w:rFonts w:ascii="Times New Roman" w:hAnsi="Times New Roman" w:eastAsia="宋体"/>
                <w:bCs/>
                <w:color w:val="auto"/>
                <w:spacing w:val="8"/>
                <w:kern w:val="0"/>
                <w:sz w:val="21"/>
                <w:szCs w:val="21"/>
              </w:rPr>
              <w:t>3</w:t>
            </w:r>
          </w:p>
        </w:tc>
        <w:tc>
          <w:tcPr>
            <w:tcW w:w="817" w:type="dxa"/>
            <w:vMerge w:val="restart"/>
            <w:noWrap w:val="0"/>
            <w:vAlign w:val="center"/>
          </w:tcPr>
          <w:p w14:paraId="589D9802">
            <w:pPr>
              <w:keepLines/>
              <w:spacing w:line="300" w:lineRule="exact"/>
              <w:ind w:firstLine="0" w:firstLineChars="0"/>
              <w:jc w:val="center"/>
              <w:rPr>
                <w:rFonts w:hint="eastAsia" w:ascii="Times New Roman" w:hAnsi="Times New Roman" w:eastAsia="宋体"/>
                <w:bCs/>
                <w:color w:val="auto"/>
                <w:kern w:val="0"/>
                <w:sz w:val="21"/>
                <w:szCs w:val="21"/>
              </w:rPr>
            </w:pPr>
            <w:r>
              <w:rPr>
                <w:rFonts w:hint="eastAsia" w:ascii="Times New Roman" w:hAnsi="Times New Roman" w:eastAsia="宋体"/>
                <w:bCs/>
                <w:color w:val="auto"/>
                <w:kern w:val="0"/>
                <w:sz w:val="21"/>
                <w:szCs w:val="21"/>
              </w:rPr>
              <w:t>3</w:t>
            </w:r>
          </w:p>
        </w:tc>
        <w:tc>
          <w:tcPr>
            <w:tcW w:w="5220" w:type="dxa"/>
            <w:vMerge w:val="restart"/>
            <w:noWrap w:val="0"/>
            <w:vAlign w:val="center"/>
          </w:tcPr>
          <w:p w14:paraId="6207DEAB">
            <w:pPr>
              <w:keepLines/>
              <w:spacing w:line="300" w:lineRule="exact"/>
              <w:ind w:firstLine="0" w:firstLineChars="0"/>
              <w:jc w:val="center"/>
              <w:rPr>
                <w:rFonts w:ascii="Times New Roman" w:hAnsi="Times New Roman" w:eastAsia="宋体"/>
                <w:color w:val="auto"/>
                <w:sz w:val="21"/>
                <w:szCs w:val="21"/>
              </w:rPr>
            </w:pPr>
          </w:p>
        </w:tc>
      </w:tr>
      <w:tr w14:paraId="1923E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25AE4F79">
            <w:pPr>
              <w:spacing w:line="300" w:lineRule="exact"/>
              <w:ind w:firstLine="0" w:firstLineChars="0"/>
              <w:rPr>
                <w:rFonts w:ascii="Times New Roman" w:hAnsi="Times New Roman" w:eastAsia="宋体"/>
                <w:color w:val="auto"/>
                <w:sz w:val="21"/>
                <w:szCs w:val="21"/>
              </w:rPr>
            </w:pPr>
          </w:p>
        </w:tc>
        <w:tc>
          <w:tcPr>
            <w:tcW w:w="6120" w:type="dxa"/>
            <w:noWrap w:val="0"/>
            <w:vAlign w:val="top"/>
          </w:tcPr>
          <w:p w14:paraId="42E6AD27">
            <w:pPr>
              <w:spacing w:line="300" w:lineRule="exact"/>
              <w:ind w:firstLine="0" w:firstLineChars="0"/>
              <w:rPr>
                <w:rFonts w:ascii="Times New Roman" w:hAnsi="Times New Roman" w:eastAsia="宋体"/>
                <w:bCs/>
                <w:color w:val="auto"/>
                <w:sz w:val="21"/>
                <w:szCs w:val="21"/>
              </w:rPr>
            </w:pPr>
            <w:r>
              <w:rPr>
                <w:rFonts w:ascii="Times New Roman" w:hAnsi="Times New Roman" w:eastAsia="宋体"/>
                <w:bCs/>
                <w:color w:val="auto"/>
                <w:sz w:val="21"/>
                <w:szCs w:val="21"/>
              </w:rPr>
              <w:t>只为部分从业人员缴纳安全生产责任险，扣1.5分</w:t>
            </w:r>
          </w:p>
        </w:tc>
        <w:tc>
          <w:tcPr>
            <w:tcW w:w="983" w:type="dxa"/>
            <w:gridSpan w:val="2"/>
            <w:vMerge w:val="continue"/>
            <w:noWrap w:val="0"/>
            <w:vAlign w:val="center"/>
          </w:tcPr>
          <w:p w14:paraId="51AE7DC8">
            <w:pPr>
              <w:keepLines/>
              <w:spacing w:line="300" w:lineRule="exact"/>
              <w:ind w:firstLine="0" w:firstLineChars="0"/>
              <w:jc w:val="left"/>
              <w:rPr>
                <w:rFonts w:ascii="Times New Roman" w:hAnsi="Times New Roman" w:eastAsia="宋体"/>
                <w:bCs/>
                <w:color w:val="auto"/>
                <w:spacing w:val="8"/>
                <w:kern w:val="0"/>
                <w:sz w:val="21"/>
                <w:szCs w:val="21"/>
              </w:rPr>
            </w:pPr>
          </w:p>
        </w:tc>
        <w:tc>
          <w:tcPr>
            <w:tcW w:w="817" w:type="dxa"/>
            <w:vMerge w:val="continue"/>
            <w:noWrap w:val="0"/>
            <w:vAlign w:val="center"/>
          </w:tcPr>
          <w:p w14:paraId="1D819B66">
            <w:pPr>
              <w:keepLines/>
              <w:spacing w:line="300" w:lineRule="exact"/>
              <w:ind w:firstLine="0" w:firstLineChars="0"/>
              <w:jc w:val="center"/>
              <w:rPr>
                <w:rFonts w:ascii="Times New Roman" w:hAnsi="Times New Roman" w:eastAsia="宋体"/>
                <w:bCs/>
                <w:color w:val="auto"/>
                <w:kern w:val="0"/>
                <w:sz w:val="21"/>
                <w:szCs w:val="21"/>
              </w:rPr>
            </w:pPr>
          </w:p>
        </w:tc>
        <w:tc>
          <w:tcPr>
            <w:tcW w:w="5220" w:type="dxa"/>
            <w:vMerge w:val="continue"/>
            <w:noWrap w:val="0"/>
            <w:vAlign w:val="center"/>
          </w:tcPr>
          <w:p w14:paraId="3ECCC9BC">
            <w:pPr>
              <w:keepLines/>
              <w:spacing w:line="300" w:lineRule="exact"/>
              <w:ind w:firstLine="0" w:firstLineChars="0"/>
              <w:jc w:val="center"/>
              <w:rPr>
                <w:rFonts w:ascii="Times New Roman" w:hAnsi="Times New Roman" w:eastAsia="宋体"/>
                <w:color w:val="auto"/>
                <w:sz w:val="21"/>
                <w:szCs w:val="21"/>
              </w:rPr>
            </w:pPr>
          </w:p>
        </w:tc>
      </w:tr>
      <w:tr w14:paraId="02CE1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48B9DC3D">
            <w:pPr>
              <w:spacing w:line="300" w:lineRule="exact"/>
              <w:ind w:firstLine="0" w:firstLineChars="0"/>
              <w:rPr>
                <w:rFonts w:ascii="Times New Roman" w:hAnsi="Times New Roman" w:eastAsia="宋体"/>
                <w:color w:val="auto"/>
                <w:sz w:val="21"/>
                <w:szCs w:val="21"/>
              </w:rPr>
            </w:pPr>
          </w:p>
        </w:tc>
        <w:tc>
          <w:tcPr>
            <w:tcW w:w="6120" w:type="dxa"/>
            <w:noWrap w:val="0"/>
            <w:vAlign w:val="top"/>
          </w:tcPr>
          <w:p w14:paraId="5F05D6E6">
            <w:pPr>
              <w:spacing w:line="300" w:lineRule="exact"/>
              <w:ind w:firstLine="0" w:firstLineChars="0"/>
              <w:rPr>
                <w:rFonts w:ascii="Times New Roman" w:hAnsi="Times New Roman" w:eastAsia="宋体"/>
                <w:bCs/>
                <w:color w:val="auto"/>
                <w:sz w:val="21"/>
                <w:szCs w:val="21"/>
              </w:rPr>
            </w:pPr>
            <w:r>
              <w:rPr>
                <w:rFonts w:ascii="Times New Roman" w:hAnsi="Times New Roman" w:eastAsia="宋体"/>
                <w:bCs/>
                <w:color w:val="auto"/>
                <w:sz w:val="21"/>
                <w:szCs w:val="21"/>
              </w:rPr>
              <w:t>未依法为从业人员缴纳安全生产责任险，扣3分</w:t>
            </w:r>
          </w:p>
        </w:tc>
        <w:tc>
          <w:tcPr>
            <w:tcW w:w="983" w:type="dxa"/>
            <w:gridSpan w:val="2"/>
            <w:vMerge w:val="continue"/>
            <w:noWrap w:val="0"/>
            <w:vAlign w:val="center"/>
          </w:tcPr>
          <w:p w14:paraId="3C3482A6">
            <w:pPr>
              <w:keepLines/>
              <w:spacing w:line="300" w:lineRule="exact"/>
              <w:ind w:firstLine="0" w:firstLineChars="0"/>
              <w:jc w:val="left"/>
              <w:rPr>
                <w:rFonts w:ascii="Times New Roman" w:hAnsi="Times New Roman" w:eastAsia="宋体"/>
                <w:bCs/>
                <w:color w:val="auto"/>
                <w:spacing w:val="8"/>
                <w:kern w:val="0"/>
                <w:sz w:val="21"/>
                <w:szCs w:val="21"/>
              </w:rPr>
            </w:pPr>
          </w:p>
        </w:tc>
        <w:tc>
          <w:tcPr>
            <w:tcW w:w="817" w:type="dxa"/>
            <w:vMerge w:val="continue"/>
            <w:noWrap w:val="0"/>
            <w:vAlign w:val="center"/>
          </w:tcPr>
          <w:p w14:paraId="1FDDFFB5">
            <w:pPr>
              <w:keepLines/>
              <w:spacing w:line="300" w:lineRule="exact"/>
              <w:ind w:firstLine="0" w:firstLineChars="0"/>
              <w:jc w:val="center"/>
              <w:rPr>
                <w:rFonts w:ascii="Times New Roman" w:hAnsi="Times New Roman" w:eastAsia="宋体"/>
                <w:bCs/>
                <w:color w:val="auto"/>
                <w:kern w:val="0"/>
                <w:sz w:val="21"/>
                <w:szCs w:val="21"/>
              </w:rPr>
            </w:pPr>
          </w:p>
        </w:tc>
        <w:tc>
          <w:tcPr>
            <w:tcW w:w="5220" w:type="dxa"/>
            <w:vMerge w:val="continue"/>
            <w:noWrap w:val="0"/>
            <w:vAlign w:val="center"/>
          </w:tcPr>
          <w:p w14:paraId="229498A6">
            <w:pPr>
              <w:keepLines/>
              <w:spacing w:line="300" w:lineRule="exact"/>
              <w:ind w:firstLine="0" w:firstLineChars="0"/>
              <w:jc w:val="center"/>
              <w:rPr>
                <w:rFonts w:ascii="Times New Roman" w:hAnsi="Times New Roman" w:eastAsia="宋体"/>
                <w:color w:val="auto"/>
                <w:sz w:val="21"/>
                <w:szCs w:val="21"/>
              </w:rPr>
            </w:pPr>
          </w:p>
        </w:tc>
      </w:tr>
      <w:tr w14:paraId="3B5B3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restart"/>
            <w:noWrap w:val="0"/>
            <w:vAlign w:val="center"/>
          </w:tcPr>
          <w:p w14:paraId="11AAD564">
            <w:pPr>
              <w:spacing w:line="300" w:lineRule="exact"/>
              <w:ind w:firstLine="0" w:firstLineChars="0"/>
              <w:rPr>
                <w:rFonts w:ascii="Times New Roman" w:hAnsi="Times New Roman" w:eastAsia="宋体"/>
                <w:color w:val="auto"/>
                <w:kern w:val="0"/>
                <w:sz w:val="21"/>
                <w:szCs w:val="21"/>
              </w:rPr>
            </w:pPr>
            <w:r>
              <w:rPr>
                <w:rFonts w:ascii="Times New Roman" w:hAnsi="Times New Roman" w:eastAsia="宋体"/>
                <w:color w:val="auto"/>
                <w:kern w:val="0"/>
                <w:sz w:val="21"/>
                <w:szCs w:val="21"/>
              </w:rPr>
              <w:t>2.8责任清单</w:t>
            </w:r>
          </w:p>
        </w:tc>
        <w:tc>
          <w:tcPr>
            <w:tcW w:w="6120" w:type="dxa"/>
            <w:noWrap w:val="0"/>
            <w:vAlign w:val="center"/>
          </w:tcPr>
          <w:p w14:paraId="6F09BEF6">
            <w:pPr>
              <w:keepLines/>
              <w:spacing w:line="300" w:lineRule="exact"/>
              <w:ind w:firstLine="0" w:firstLineChars="0"/>
              <w:jc w:val="left"/>
              <w:rPr>
                <w:rFonts w:ascii="Times New Roman" w:hAnsi="Times New Roman" w:eastAsia="宋体"/>
                <w:color w:val="auto"/>
                <w:sz w:val="21"/>
                <w:szCs w:val="21"/>
              </w:rPr>
            </w:pPr>
            <w:r>
              <w:rPr>
                <w:rFonts w:ascii="Times New Roman" w:hAnsi="Times New Roman" w:eastAsia="宋体"/>
                <w:color w:val="auto"/>
                <w:sz w:val="21"/>
                <w:szCs w:val="21"/>
              </w:rPr>
              <w:t>按规定建立了各岗位的安全责任清单，不扣分</w:t>
            </w:r>
          </w:p>
        </w:tc>
        <w:tc>
          <w:tcPr>
            <w:tcW w:w="983" w:type="dxa"/>
            <w:gridSpan w:val="2"/>
            <w:vMerge w:val="restart"/>
            <w:noWrap w:val="0"/>
            <w:vAlign w:val="center"/>
          </w:tcPr>
          <w:p w14:paraId="7F5D3ECB">
            <w:pPr>
              <w:keepLines/>
              <w:spacing w:line="300" w:lineRule="exact"/>
              <w:ind w:firstLine="0" w:firstLineChars="0"/>
              <w:jc w:val="center"/>
              <w:rPr>
                <w:rFonts w:ascii="Times New Roman" w:hAnsi="Times New Roman" w:eastAsia="宋体"/>
                <w:color w:val="auto"/>
                <w:kern w:val="0"/>
                <w:sz w:val="21"/>
                <w:szCs w:val="21"/>
              </w:rPr>
            </w:pPr>
            <w:r>
              <w:rPr>
                <w:rFonts w:ascii="Times New Roman" w:hAnsi="Times New Roman" w:eastAsia="宋体"/>
                <w:color w:val="auto"/>
                <w:kern w:val="0"/>
                <w:sz w:val="21"/>
                <w:szCs w:val="21"/>
              </w:rPr>
              <w:t>3</w:t>
            </w:r>
          </w:p>
        </w:tc>
        <w:tc>
          <w:tcPr>
            <w:tcW w:w="817" w:type="dxa"/>
            <w:vMerge w:val="restart"/>
            <w:noWrap w:val="0"/>
            <w:vAlign w:val="center"/>
          </w:tcPr>
          <w:p w14:paraId="3C4C7CDB">
            <w:pPr>
              <w:keepLines/>
              <w:spacing w:line="300" w:lineRule="exact"/>
              <w:ind w:firstLine="0" w:firstLineChars="0"/>
              <w:jc w:val="center"/>
              <w:rPr>
                <w:rFonts w:hint="eastAsia" w:ascii="Times New Roman" w:hAnsi="Times New Roman" w:eastAsia="宋体"/>
                <w:bCs/>
                <w:color w:val="auto"/>
                <w:kern w:val="0"/>
                <w:sz w:val="21"/>
                <w:szCs w:val="21"/>
              </w:rPr>
            </w:pPr>
            <w:r>
              <w:rPr>
                <w:rFonts w:hint="eastAsia" w:ascii="Times New Roman" w:hAnsi="Times New Roman" w:eastAsia="宋体"/>
                <w:bCs/>
                <w:color w:val="auto"/>
                <w:kern w:val="0"/>
                <w:sz w:val="21"/>
                <w:szCs w:val="21"/>
              </w:rPr>
              <w:t>3</w:t>
            </w:r>
          </w:p>
        </w:tc>
        <w:tc>
          <w:tcPr>
            <w:tcW w:w="5220" w:type="dxa"/>
            <w:vMerge w:val="restart"/>
            <w:noWrap w:val="0"/>
            <w:vAlign w:val="center"/>
          </w:tcPr>
          <w:p w14:paraId="01260A4D">
            <w:pPr>
              <w:keepLines/>
              <w:spacing w:line="300" w:lineRule="exact"/>
              <w:ind w:firstLine="0" w:firstLineChars="0"/>
              <w:jc w:val="center"/>
              <w:rPr>
                <w:rFonts w:ascii="Times New Roman" w:hAnsi="Times New Roman" w:eastAsia="宋体"/>
                <w:color w:val="auto"/>
                <w:sz w:val="21"/>
                <w:szCs w:val="21"/>
              </w:rPr>
            </w:pPr>
          </w:p>
        </w:tc>
      </w:tr>
      <w:tr w14:paraId="007CC1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1C6E9909">
            <w:pPr>
              <w:spacing w:line="300" w:lineRule="exact"/>
              <w:ind w:firstLine="0" w:firstLineChars="0"/>
              <w:rPr>
                <w:rFonts w:ascii="Times New Roman" w:hAnsi="Times New Roman" w:eastAsia="宋体"/>
                <w:color w:val="auto"/>
                <w:kern w:val="0"/>
                <w:sz w:val="21"/>
                <w:szCs w:val="21"/>
              </w:rPr>
            </w:pPr>
          </w:p>
        </w:tc>
        <w:tc>
          <w:tcPr>
            <w:tcW w:w="6120" w:type="dxa"/>
            <w:noWrap w:val="0"/>
            <w:vAlign w:val="center"/>
          </w:tcPr>
          <w:p w14:paraId="3BF125B1">
            <w:pPr>
              <w:keepLines/>
              <w:spacing w:line="300" w:lineRule="exact"/>
              <w:ind w:firstLine="0" w:firstLineChars="0"/>
              <w:jc w:val="left"/>
              <w:rPr>
                <w:rFonts w:ascii="Times New Roman" w:hAnsi="Times New Roman" w:eastAsia="宋体"/>
                <w:color w:val="auto"/>
                <w:sz w:val="21"/>
                <w:szCs w:val="21"/>
              </w:rPr>
            </w:pPr>
            <w:r>
              <w:rPr>
                <w:rFonts w:ascii="Times New Roman" w:hAnsi="Times New Roman" w:eastAsia="宋体"/>
                <w:color w:val="auto"/>
                <w:sz w:val="21"/>
                <w:szCs w:val="21"/>
              </w:rPr>
              <w:t>未按规定建立各岗位的安全责任清单，缺一项扣1分，扣完为止</w:t>
            </w:r>
          </w:p>
        </w:tc>
        <w:tc>
          <w:tcPr>
            <w:tcW w:w="983" w:type="dxa"/>
            <w:gridSpan w:val="2"/>
            <w:vMerge w:val="continue"/>
            <w:noWrap w:val="0"/>
            <w:vAlign w:val="center"/>
          </w:tcPr>
          <w:p w14:paraId="16D8697A">
            <w:pPr>
              <w:keepLines/>
              <w:spacing w:line="300" w:lineRule="exact"/>
              <w:ind w:firstLine="0" w:firstLineChars="0"/>
              <w:jc w:val="center"/>
              <w:rPr>
                <w:rFonts w:ascii="Times New Roman" w:hAnsi="Times New Roman" w:eastAsia="宋体"/>
                <w:color w:val="auto"/>
                <w:kern w:val="0"/>
                <w:sz w:val="21"/>
                <w:szCs w:val="21"/>
              </w:rPr>
            </w:pPr>
          </w:p>
        </w:tc>
        <w:tc>
          <w:tcPr>
            <w:tcW w:w="817" w:type="dxa"/>
            <w:vMerge w:val="continue"/>
            <w:noWrap w:val="0"/>
            <w:vAlign w:val="center"/>
          </w:tcPr>
          <w:p w14:paraId="7A4283DF">
            <w:pPr>
              <w:keepLines/>
              <w:spacing w:line="300" w:lineRule="exact"/>
              <w:ind w:firstLine="0" w:firstLineChars="0"/>
              <w:jc w:val="center"/>
              <w:rPr>
                <w:rFonts w:ascii="Times New Roman" w:hAnsi="Times New Roman" w:eastAsia="宋体"/>
                <w:bCs/>
                <w:color w:val="auto"/>
                <w:kern w:val="0"/>
                <w:sz w:val="21"/>
                <w:szCs w:val="21"/>
              </w:rPr>
            </w:pPr>
          </w:p>
        </w:tc>
        <w:tc>
          <w:tcPr>
            <w:tcW w:w="5220" w:type="dxa"/>
            <w:vMerge w:val="continue"/>
            <w:noWrap w:val="0"/>
            <w:vAlign w:val="center"/>
          </w:tcPr>
          <w:p w14:paraId="4A2186E2">
            <w:pPr>
              <w:keepLines/>
              <w:spacing w:line="300" w:lineRule="exact"/>
              <w:ind w:firstLine="0" w:firstLineChars="0"/>
              <w:jc w:val="center"/>
              <w:rPr>
                <w:rFonts w:ascii="Times New Roman" w:hAnsi="Times New Roman" w:eastAsia="宋体"/>
                <w:color w:val="auto"/>
                <w:sz w:val="21"/>
                <w:szCs w:val="21"/>
              </w:rPr>
            </w:pPr>
          </w:p>
        </w:tc>
      </w:tr>
      <w:tr w14:paraId="19826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restart"/>
            <w:noWrap w:val="0"/>
            <w:vAlign w:val="center"/>
          </w:tcPr>
          <w:p w14:paraId="225770CC">
            <w:pPr>
              <w:spacing w:line="300" w:lineRule="exact"/>
              <w:ind w:firstLine="0" w:firstLineChars="0"/>
              <w:rPr>
                <w:rFonts w:ascii="Times New Roman" w:hAnsi="Times New Roman" w:eastAsia="宋体"/>
                <w:color w:val="auto"/>
                <w:kern w:val="0"/>
                <w:sz w:val="21"/>
                <w:szCs w:val="21"/>
              </w:rPr>
            </w:pPr>
            <w:r>
              <w:rPr>
                <w:rFonts w:ascii="Times New Roman" w:hAnsi="Times New Roman" w:eastAsia="宋体"/>
                <w:color w:val="auto"/>
                <w:kern w:val="0"/>
                <w:sz w:val="21"/>
                <w:szCs w:val="21"/>
              </w:rPr>
              <w:t>2.9隐患排查</w:t>
            </w:r>
          </w:p>
        </w:tc>
        <w:tc>
          <w:tcPr>
            <w:tcW w:w="6120" w:type="dxa"/>
            <w:noWrap w:val="0"/>
            <w:vAlign w:val="center"/>
          </w:tcPr>
          <w:p w14:paraId="7F94FB8A">
            <w:pPr>
              <w:keepLines/>
              <w:spacing w:line="300" w:lineRule="exact"/>
              <w:ind w:firstLine="0" w:firstLineChars="0"/>
              <w:jc w:val="left"/>
              <w:rPr>
                <w:rFonts w:ascii="Times New Roman" w:hAnsi="Times New Roman" w:eastAsia="宋体"/>
                <w:color w:val="auto"/>
                <w:sz w:val="21"/>
                <w:szCs w:val="21"/>
              </w:rPr>
            </w:pPr>
            <w:r>
              <w:rPr>
                <w:rFonts w:ascii="Times New Roman" w:hAnsi="Times New Roman" w:eastAsia="宋体"/>
                <w:color w:val="auto"/>
                <w:sz w:val="21"/>
                <w:szCs w:val="21"/>
              </w:rPr>
              <w:t>按规定制定了隐患排查标准，注册了隐患排查信息系统，并及时登录上报隐患，不扣分</w:t>
            </w:r>
          </w:p>
        </w:tc>
        <w:tc>
          <w:tcPr>
            <w:tcW w:w="983" w:type="dxa"/>
            <w:gridSpan w:val="2"/>
            <w:vMerge w:val="restart"/>
            <w:noWrap w:val="0"/>
            <w:vAlign w:val="center"/>
          </w:tcPr>
          <w:p w14:paraId="0158A69A">
            <w:pPr>
              <w:keepLines/>
              <w:spacing w:line="300" w:lineRule="exact"/>
              <w:ind w:firstLine="0" w:firstLineChars="0"/>
              <w:jc w:val="center"/>
              <w:rPr>
                <w:rFonts w:ascii="Times New Roman" w:hAnsi="Times New Roman" w:eastAsia="宋体"/>
                <w:color w:val="auto"/>
                <w:kern w:val="0"/>
                <w:sz w:val="21"/>
                <w:szCs w:val="21"/>
              </w:rPr>
            </w:pPr>
            <w:r>
              <w:rPr>
                <w:rFonts w:ascii="Times New Roman" w:hAnsi="Times New Roman" w:eastAsia="宋体"/>
                <w:color w:val="auto"/>
                <w:kern w:val="0"/>
                <w:sz w:val="21"/>
                <w:szCs w:val="21"/>
              </w:rPr>
              <w:t>4</w:t>
            </w:r>
          </w:p>
        </w:tc>
        <w:tc>
          <w:tcPr>
            <w:tcW w:w="817" w:type="dxa"/>
            <w:vMerge w:val="restart"/>
            <w:noWrap w:val="0"/>
            <w:vAlign w:val="center"/>
          </w:tcPr>
          <w:p w14:paraId="398E175B">
            <w:pPr>
              <w:keepLines/>
              <w:spacing w:line="300" w:lineRule="exact"/>
              <w:ind w:firstLine="0" w:firstLineChars="0"/>
              <w:jc w:val="center"/>
              <w:rPr>
                <w:rFonts w:hint="eastAsia" w:ascii="Times New Roman" w:hAnsi="Times New Roman" w:eastAsia="宋体"/>
                <w:bCs/>
                <w:color w:val="auto"/>
                <w:kern w:val="0"/>
                <w:sz w:val="21"/>
                <w:szCs w:val="21"/>
              </w:rPr>
            </w:pPr>
            <w:r>
              <w:rPr>
                <w:rFonts w:hint="eastAsia" w:ascii="Times New Roman" w:hAnsi="Times New Roman" w:eastAsia="宋体"/>
                <w:bCs/>
                <w:color w:val="auto"/>
                <w:kern w:val="0"/>
                <w:sz w:val="21"/>
                <w:szCs w:val="21"/>
              </w:rPr>
              <w:t>4</w:t>
            </w:r>
          </w:p>
        </w:tc>
        <w:tc>
          <w:tcPr>
            <w:tcW w:w="5220" w:type="dxa"/>
            <w:vMerge w:val="restart"/>
            <w:noWrap w:val="0"/>
            <w:vAlign w:val="center"/>
          </w:tcPr>
          <w:p w14:paraId="503AF420">
            <w:pPr>
              <w:keepLines/>
              <w:spacing w:line="300" w:lineRule="exact"/>
              <w:ind w:firstLine="0" w:firstLineChars="0"/>
              <w:jc w:val="center"/>
              <w:rPr>
                <w:rFonts w:ascii="Times New Roman" w:hAnsi="Times New Roman" w:eastAsia="宋体"/>
                <w:color w:val="auto"/>
                <w:sz w:val="21"/>
                <w:szCs w:val="21"/>
              </w:rPr>
            </w:pPr>
          </w:p>
        </w:tc>
      </w:tr>
      <w:tr w14:paraId="3EA03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09AF2E80">
            <w:pPr>
              <w:spacing w:line="300" w:lineRule="exact"/>
              <w:ind w:firstLine="0" w:firstLineChars="0"/>
              <w:rPr>
                <w:rFonts w:ascii="Times New Roman" w:hAnsi="Times New Roman" w:eastAsia="宋体"/>
                <w:color w:val="auto"/>
                <w:kern w:val="0"/>
                <w:sz w:val="21"/>
                <w:szCs w:val="21"/>
              </w:rPr>
            </w:pPr>
          </w:p>
        </w:tc>
        <w:tc>
          <w:tcPr>
            <w:tcW w:w="6120" w:type="dxa"/>
            <w:noWrap w:val="0"/>
            <w:vAlign w:val="center"/>
          </w:tcPr>
          <w:p w14:paraId="40E2ABE0">
            <w:pPr>
              <w:keepLines/>
              <w:spacing w:line="300" w:lineRule="exact"/>
              <w:ind w:firstLine="0" w:firstLineChars="0"/>
              <w:jc w:val="left"/>
              <w:rPr>
                <w:rFonts w:ascii="Times New Roman" w:hAnsi="Times New Roman" w:eastAsia="宋体"/>
                <w:color w:val="auto"/>
                <w:sz w:val="21"/>
                <w:szCs w:val="21"/>
              </w:rPr>
            </w:pPr>
            <w:r>
              <w:rPr>
                <w:rFonts w:ascii="Times New Roman" w:hAnsi="Times New Roman" w:eastAsia="宋体"/>
                <w:color w:val="auto"/>
                <w:sz w:val="21"/>
                <w:szCs w:val="21"/>
              </w:rPr>
              <w:t>未制定隐患排查标准，扣2分</w:t>
            </w:r>
          </w:p>
        </w:tc>
        <w:tc>
          <w:tcPr>
            <w:tcW w:w="983" w:type="dxa"/>
            <w:gridSpan w:val="2"/>
            <w:vMerge w:val="continue"/>
            <w:noWrap w:val="0"/>
            <w:vAlign w:val="center"/>
          </w:tcPr>
          <w:p w14:paraId="0851E2AA">
            <w:pPr>
              <w:keepLines/>
              <w:spacing w:line="300" w:lineRule="exact"/>
              <w:ind w:firstLine="0" w:firstLineChars="0"/>
              <w:jc w:val="center"/>
              <w:rPr>
                <w:rFonts w:ascii="Times New Roman" w:hAnsi="Times New Roman" w:eastAsia="宋体"/>
                <w:color w:val="auto"/>
                <w:kern w:val="0"/>
                <w:sz w:val="21"/>
                <w:szCs w:val="21"/>
              </w:rPr>
            </w:pPr>
          </w:p>
        </w:tc>
        <w:tc>
          <w:tcPr>
            <w:tcW w:w="817" w:type="dxa"/>
            <w:vMerge w:val="continue"/>
            <w:noWrap w:val="0"/>
            <w:vAlign w:val="center"/>
          </w:tcPr>
          <w:p w14:paraId="2DCE2BB8">
            <w:pPr>
              <w:keepLines/>
              <w:spacing w:line="300" w:lineRule="exact"/>
              <w:ind w:firstLine="0" w:firstLineChars="0"/>
              <w:jc w:val="center"/>
              <w:rPr>
                <w:rFonts w:ascii="Times New Roman" w:hAnsi="Times New Roman" w:eastAsia="宋体"/>
                <w:bCs/>
                <w:color w:val="auto"/>
                <w:kern w:val="0"/>
                <w:sz w:val="21"/>
                <w:szCs w:val="21"/>
              </w:rPr>
            </w:pPr>
          </w:p>
        </w:tc>
        <w:tc>
          <w:tcPr>
            <w:tcW w:w="5220" w:type="dxa"/>
            <w:vMerge w:val="continue"/>
            <w:noWrap w:val="0"/>
            <w:vAlign w:val="center"/>
          </w:tcPr>
          <w:p w14:paraId="2D2ADFE3">
            <w:pPr>
              <w:keepLines/>
              <w:spacing w:line="300" w:lineRule="exact"/>
              <w:ind w:firstLine="0" w:firstLineChars="0"/>
              <w:jc w:val="center"/>
              <w:rPr>
                <w:rFonts w:ascii="Times New Roman" w:hAnsi="Times New Roman" w:eastAsia="宋体"/>
                <w:color w:val="auto"/>
                <w:sz w:val="21"/>
                <w:szCs w:val="21"/>
              </w:rPr>
            </w:pPr>
          </w:p>
        </w:tc>
      </w:tr>
      <w:tr w14:paraId="70914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41164F38">
            <w:pPr>
              <w:spacing w:line="300" w:lineRule="exact"/>
              <w:ind w:firstLine="0" w:firstLineChars="0"/>
              <w:rPr>
                <w:rFonts w:ascii="Times New Roman" w:hAnsi="Times New Roman" w:eastAsia="宋体"/>
                <w:color w:val="auto"/>
                <w:kern w:val="0"/>
                <w:sz w:val="21"/>
                <w:szCs w:val="21"/>
              </w:rPr>
            </w:pPr>
          </w:p>
        </w:tc>
        <w:tc>
          <w:tcPr>
            <w:tcW w:w="6120" w:type="dxa"/>
            <w:noWrap w:val="0"/>
            <w:vAlign w:val="center"/>
          </w:tcPr>
          <w:p w14:paraId="6F5D1350">
            <w:pPr>
              <w:keepLines/>
              <w:spacing w:line="300" w:lineRule="exact"/>
              <w:ind w:firstLine="0" w:firstLineChars="0"/>
              <w:jc w:val="left"/>
              <w:rPr>
                <w:rFonts w:ascii="Times New Roman" w:hAnsi="Times New Roman" w:eastAsia="宋体"/>
                <w:color w:val="auto"/>
                <w:sz w:val="21"/>
                <w:szCs w:val="21"/>
              </w:rPr>
            </w:pPr>
            <w:r>
              <w:rPr>
                <w:rFonts w:ascii="Times New Roman" w:hAnsi="Times New Roman" w:eastAsia="宋体"/>
                <w:color w:val="auto"/>
                <w:sz w:val="21"/>
                <w:szCs w:val="21"/>
              </w:rPr>
              <w:t>未及时登录上报隐患，超时1次扣0.5分，扣完为止</w:t>
            </w:r>
          </w:p>
        </w:tc>
        <w:tc>
          <w:tcPr>
            <w:tcW w:w="983" w:type="dxa"/>
            <w:gridSpan w:val="2"/>
            <w:vMerge w:val="continue"/>
            <w:noWrap w:val="0"/>
            <w:vAlign w:val="center"/>
          </w:tcPr>
          <w:p w14:paraId="2BFF5B38">
            <w:pPr>
              <w:keepLines/>
              <w:spacing w:line="300" w:lineRule="exact"/>
              <w:ind w:firstLine="0" w:firstLineChars="0"/>
              <w:jc w:val="center"/>
              <w:rPr>
                <w:rFonts w:ascii="Times New Roman" w:hAnsi="Times New Roman" w:eastAsia="宋体"/>
                <w:color w:val="auto"/>
                <w:kern w:val="0"/>
                <w:sz w:val="21"/>
                <w:szCs w:val="21"/>
              </w:rPr>
            </w:pPr>
          </w:p>
        </w:tc>
        <w:tc>
          <w:tcPr>
            <w:tcW w:w="817" w:type="dxa"/>
            <w:vMerge w:val="continue"/>
            <w:noWrap w:val="0"/>
            <w:vAlign w:val="center"/>
          </w:tcPr>
          <w:p w14:paraId="36678796">
            <w:pPr>
              <w:keepLines/>
              <w:spacing w:line="300" w:lineRule="exact"/>
              <w:ind w:firstLine="0" w:firstLineChars="0"/>
              <w:jc w:val="center"/>
              <w:rPr>
                <w:rFonts w:ascii="Times New Roman" w:hAnsi="Times New Roman" w:eastAsia="宋体"/>
                <w:bCs/>
                <w:color w:val="auto"/>
                <w:kern w:val="0"/>
                <w:sz w:val="21"/>
                <w:szCs w:val="21"/>
              </w:rPr>
            </w:pPr>
          </w:p>
        </w:tc>
        <w:tc>
          <w:tcPr>
            <w:tcW w:w="5220" w:type="dxa"/>
            <w:vMerge w:val="continue"/>
            <w:noWrap w:val="0"/>
            <w:vAlign w:val="center"/>
          </w:tcPr>
          <w:p w14:paraId="5A03C74F">
            <w:pPr>
              <w:keepLines/>
              <w:spacing w:line="300" w:lineRule="exact"/>
              <w:ind w:firstLine="0" w:firstLineChars="0"/>
              <w:jc w:val="center"/>
              <w:rPr>
                <w:rFonts w:ascii="Times New Roman" w:hAnsi="Times New Roman" w:eastAsia="宋体"/>
                <w:color w:val="auto"/>
                <w:sz w:val="21"/>
                <w:szCs w:val="21"/>
              </w:rPr>
            </w:pPr>
          </w:p>
        </w:tc>
      </w:tr>
      <w:tr w14:paraId="2277D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4F025316">
            <w:pPr>
              <w:spacing w:line="300" w:lineRule="exact"/>
              <w:ind w:firstLine="0" w:firstLineChars="0"/>
              <w:rPr>
                <w:rFonts w:ascii="Times New Roman" w:hAnsi="Times New Roman" w:eastAsia="宋体"/>
                <w:color w:val="auto"/>
                <w:kern w:val="0"/>
                <w:sz w:val="21"/>
                <w:szCs w:val="21"/>
              </w:rPr>
            </w:pPr>
          </w:p>
        </w:tc>
        <w:tc>
          <w:tcPr>
            <w:tcW w:w="6120" w:type="dxa"/>
            <w:noWrap w:val="0"/>
            <w:vAlign w:val="center"/>
          </w:tcPr>
          <w:p w14:paraId="4F89F1C9">
            <w:pPr>
              <w:keepLines/>
              <w:spacing w:line="300" w:lineRule="exact"/>
              <w:ind w:firstLine="0" w:firstLineChars="0"/>
              <w:jc w:val="left"/>
              <w:rPr>
                <w:rFonts w:ascii="Times New Roman" w:hAnsi="Times New Roman" w:eastAsia="宋体"/>
                <w:color w:val="auto"/>
                <w:sz w:val="21"/>
                <w:szCs w:val="21"/>
              </w:rPr>
            </w:pPr>
            <w:r>
              <w:rPr>
                <w:rFonts w:ascii="Times New Roman" w:hAnsi="Times New Roman" w:eastAsia="宋体"/>
                <w:bCs/>
                <w:color w:val="auto"/>
                <w:sz w:val="21"/>
                <w:szCs w:val="21"/>
              </w:rPr>
              <w:t>隐患上报不全，少一条扣0.5分，扣完为止</w:t>
            </w:r>
          </w:p>
        </w:tc>
        <w:tc>
          <w:tcPr>
            <w:tcW w:w="983" w:type="dxa"/>
            <w:gridSpan w:val="2"/>
            <w:vMerge w:val="continue"/>
            <w:noWrap w:val="0"/>
            <w:vAlign w:val="center"/>
          </w:tcPr>
          <w:p w14:paraId="33B168EF">
            <w:pPr>
              <w:keepLines/>
              <w:spacing w:line="300" w:lineRule="exact"/>
              <w:ind w:firstLine="0" w:firstLineChars="0"/>
              <w:jc w:val="center"/>
              <w:rPr>
                <w:rFonts w:ascii="Times New Roman" w:hAnsi="Times New Roman" w:eastAsia="宋体"/>
                <w:color w:val="auto"/>
                <w:kern w:val="0"/>
                <w:sz w:val="21"/>
                <w:szCs w:val="21"/>
              </w:rPr>
            </w:pPr>
          </w:p>
        </w:tc>
        <w:tc>
          <w:tcPr>
            <w:tcW w:w="817" w:type="dxa"/>
            <w:vMerge w:val="continue"/>
            <w:noWrap w:val="0"/>
            <w:vAlign w:val="center"/>
          </w:tcPr>
          <w:p w14:paraId="120A390F">
            <w:pPr>
              <w:keepLines/>
              <w:spacing w:line="300" w:lineRule="exact"/>
              <w:ind w:firstLine="0" w:firstLineChars="0"/>
              <w:jc w:val="center"/>
              <w:rPr>
                <w:rFonts w:ascii="Times New Roman" w:hAnsi="Times New Roman" w:eastAsia="宋体"/>
                <w:bCs/>
                <w:color w:val="auto"/>
                <w:kern w:val="0"/>
                <w:sz w:val="21"/>
                <w:szCs w:val="21"/>
              </w:rPr>
            </w:pPr>
          </w:p>
        </w:tc>
        <w:tc>
          <w:tcPr>
            <w:tcW w:w="5220" w:type="dxa"/>
            <w:vMerge w:val="continue"/>
            <w:noWrap w:val="0"/>
            <w:vAlign w:val="center"/>
          </w:tcPr>
          <w:p w14:paraId="5D2FFA2D">
            <w:pPr>
              <w:keepLines/>
              <w:spacing w:line="300" w:lineRule="exact"/>
              <w:ind w:firstLine="0" w:firstLineChars="0"/>
              <w:jc w:val="center"/>
              <w:rPr>
                <w:rFonts w:ascii="Times New Roman" w:hAnsi="Times New Roman" w:eastAsia="宋体"/>
                <w:color w:val="auto"/>
                <w:sz w:val="21"/>
                <w:szCs w:val="21"/>
              </w:rPr>
            </w:pPr>
          </w:p>
        </w:tc>
      </w:tr>
      <w:tr w14:paraId="05EA3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restart"/>
            <w:noWrap w:val="0"/>
            <w:vAlign w:val="center"/>
          </w:tcPr>
          <w:p w14:paraId="5F43FB84">
            <w:pPr>
              <w:spacing w:line="300" w:lineRule="exact"/>
              <w:ind w:firstLine="0" w:firstLineChars="0"/>
              <w:rPr>
                <w:rFonts w:ascii="Times New Roman" w:hAnsi="Times New Roman" w:eastAsia="宋体"/>
                <w:color w:val="auto"/>
                <w:kern w:val="0"/>
                <w:sz w:val="21"/>
                <w:szCs w:val="21"/>
              </w:rPr>
            </w:pPr>
            <w:r>
              <w:rPr>
                <w:rFonts w:ascii="Times New Roman" w:hAnsi="Times New Roman" w:eastAsia="宋体"/>
                <w:color w:val="auto"/>
                <w:kern w:val="0"/>
                <w:sz w:val="21"/>
                <w:szCs w:val="21"/>
              </w:rPr>
              <w:t>2.10</w:t>
            </w:r>
            <w:r>
              <w:rPr>
                <w:rFonts w:ascii="Times New Roman" w:hAnsi="Times New Roman" w:eastAsia="宋体"/>
                <w:color w:val="auto"/>
                <w:sz w:val="21"/>
                <w:szCs w:val="21"/>
              </w:rPr>
              <w:t>应急管理</w:t>
            </w:r>
          </w:p>
        </w:tc>
        <w:tc>
          <w:tcPr>
            <w:tcW w:w="6120" w:type="dxa"/>
            <w:noWrap w:val="0"/>
            <w:vAlign w:val="center"/>
          </w:tcPr>
          <w:p w14:paraId="3623D7D9">
            <w:pPr>
              <w:keepLines/>
              <w:spacing w:line="300" w:lineRule="exact"/>
              <w:ind w:firstLine="0" w:firstLineChars="0"/>
              <w:jc w:val="left"/>
              <w:rPr>
                <w:rFonts w:ascii="Times New Roman" w:hAnsi="Times New Roman" w:eastAsia="宋体"/>
                <w:bCs/>
                <w:color w:val="auto"/>
                <w:sz w:val="21"/>
                <w:szCs w:val="21"/>
              </w:rPr>
            </w:pPr>
            <w:r>
              <w:rPr>
                <w:rFonts w:ascii="Times New Roman" w:hAnsi="Times New Roman" w:eastAsia="宋体"/>
                <w:bCs/>
                <w:color w:val="auto"/>
                <w:kern w:val="0"/>
                <w:sz w:val="21"/>
                <w:szCs w:val="21"/>
              </w:rPr>
              <w:t>应急救援预案进行了备案，设有专职救援队伍，或与矿山职业救护队签订协议，并按规定进行应急演练，不扣分</w:t>
            </w:r>
          </w:p>
        </w:tc>
        <w:tc>
          <w:tcPr>
            <w:tcW w:w="983" w:type="dxa"/>
            <w:gridSpan w:val="2"/>
            <w:vMerge w:val="restart"/>
            <w:noWrap w:val="0"/>
            <w:vAlign w:val="center"/>
          </w:tcPr>
          <w:p w14:paraId="1535001E">
            <w:pPr>
              <w:keepLines/>
              <w:spacing w:line="300" w:lineRule="exact"/>
              <w:ind w:firstLine="0" w:firstLineChars="0"/>
              <w:jc w:val="center"/>
              <w:rPr>
                <w:rFonts w:ascii="Times New Roman" w:hAnsi="Times New Roman" w:eastAsia="宋体"/>
                <w:color w:val="auto"/>
                <w:kern w:val="0"/>
                <w:sz w:val="21"/>
                <w:szCs w:val="21"/>
              </w:rPr>
            </w:pPr>
            <w:r>
              <w:rPr>
                <w:rFonts w:ascii="Times New Roman" w:hAnsi="Times New Roman" w:eastAsia="宋体"/>
                <w:color w:val="auto"/>
                <w:kern w:val="0"/>
                <w:sz w:val="21"/>
                <w:szCs w:val="21"/>
              </w:rPr>
              <w:t>3</w:t>
            </w:r>
          </w:p>
        </w:tc>
        <w:tc>
          <w:tcPr>
            <w:tcW w:w="817" w:type="dxa"/>
            <w:vMerge w:val="restart"/>
            <w:noWrap w:val="0"/>
            <w:vAlign w:val="center"/>
          </w:tcPr>
          <w:p w14:paraId="44DAAF6B">
            <w:pPr>
              <w:keepLines/>
              <w:spacing w:line="300" w:lineRule="exact"/>
              <w:ind w:firstLine="0" w:firstLineChars="0"/>
              <w:jc w:val="center"/>
              <w:rPr>
                <w:rFonts w:hint="eastAsia" w:ascii="Times New Roman" w:hAnsi="Times New Roman" w:eastAsia="宋体"/>
                <w:bCs/>
                <w:color w:val="auto"/>
                <w:kern w:val="0"/>
                <w:sz w:val="21"/>
                <w:szCs w:val="21"/>
              </w:rPr>
            </w:pPr>
            <w:r>
              <w:rPr>
                <w:rFonts w:hint="eastAsia" w:ascii="Times New Roman" w:hAnsi="Times New Roman" w:eastAsia="宋体"/>
                <w:bCs/>
                <w:color w:val="auto"/>
                <w:kern w:val="0"/>
                <w:sz w:val="21"/>
                <w:szCs w:val="21"/>
              </w:rPr>
              <w:t>3</w:t>
            </w:r>
          </w:p>
        </w:tc>
        <w:tc>
          <w:tcPr>
            <w:tcW w:w="5220" w:type="dxa"/>
            <w:vMerge w:val="restart"/>
            <w:noWrap w:val="0"/>
            <w:vAlign w:val="center"/>
          </w:tcPr>
          <w:p w14:paraId="37BE6025">
            <w:pPr>
              <w:keepLines/>
              <w:spacing w:line="300" w:lineRule="exact"/>
              <w:ind w:firstLine="0" w:firstLineChars="0"/>
              <w:jc w:val="center"/>
              <w:rPr>
                <w:rFonts w:ascii="Times New Roman" w:hAnsi="Times New Roman" w:eastAsia="宋体"/>
                <w:color w:val="auto"/>
                <w:sz w:val="21"/>
                <w:szCs w:val="21"/>
              </w:rPr>
            </w:pPr>
          </w:p>
        </w:tc>
      </w:tr>
      <w:tr w14:paraId="24A8C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1BF0DDF1">
            <w:pPr>
              <w:keepLines/>
              <w:spacing w:line="300" w:lineRule="exact"/>
              <w:ind w:firstLine="0" w:firstLineChars="0"/>
              <w:jc w:val="left"/>
              <w:rPr>
                <w:rFonts w:ascii="Times New Roman" w:hAnsi="Times New Roman" w:eastAsia="宋体"/>
                <w:color w:val="auto"/>
                <w:kern w:val="0"/>
                <w:sz w:val="21"/>
                <w:szCs w:val="21"/>
              </w:rPr>
            </w:pPr>
          </w:p>
        </w:tc>
        <w:tc>
          <w:tcPr>
            <w:tcW w:w="6120" w:type="dxa"/>
            <w:noWrap w:val="0"/>
            <w:vAlign w:val="center"/>
          </w:tcPr>
          <w:p w14:paraId="53CEFF75">
            <w:pPr>
              <w:keepLines/>
              <w:spacing w:line="300" w:lineRule="exact"/>
              <w:ind w:firstLine="0" w:firstLineChars="0"/>
              <w:jc w:val="left"/>
              <w:rPr>
                <w:rFonts w:ascii="Times New Roman" w:hAnsi="Times New Roman" w:eastAsia="宋体"/>
                <w:bCs/>
                <w:color w:val="auto"/>
                <w:sz w:val="21"/>
                <w:szCs w:val="21"/>
              </w:rPr>
            </w:pPr>
            <w:r>
              <w:rPr>
                <w:rFonts w:ascii="Times New Roman" w:hAnsi="Times New Roman" w:eastAsia="宋体"/>
                <w:bCs/>
                <w:color w:val="auto"/>
                <w:kern w:val="0"/>
                <w:sz w:val="21"/>
                <w:szCs w:val="21"/>
              </w:rPr>
              <w:t>设有专职救援队伍，或与矿山职业救护队签订协议，1年内没有按规定进行应急演练的，扣1.5分</w:t>
            </w:r>
          </w:p>
        </w:tc>
        <w:tc>
          <w:tcPr>
            <w:tcW w:w="983" w:type="dxa"/>
            <w:gridSpan w:val="2"/>
            <w:vMerge w:val="continue"/>
            <w:noWrap w:val="0"/>
            <w:vAlign w:val="center"/>
          </w:tcPr>
          <w:p w14:paraId="1E89DC0C">
            <w:pPr>
              <w:keepLines/>
              <w:spacing w:line="300" w:lineRule="exact"/>
              <w:ind w:firstLine="0" w:firstLineChars="0"/>
              <w:jc w:val="center"/>
              <w:rPr>
                <w:rFonts w:ascii="Times New Roman" w:hAnsi="Times New Roman" w:eastAsia="宋体"/>
                <w:color w:val="auto"/>
                <w:kern w:val="0"/>
                <w:sz w:val="21"/>
                <w:szCs w:val="21"/>
              </w:rPr>
            </w:pPr>
          </w:p>
        </w:tc>
        <w:tc>
          <w:tcPr>
            <w:tcW w:w="817" w:type="dxa"/>
            <w:vMerge w:val="continue"/>
            <w:noWrap w:val="0"/>
            <w:vAlign w:val="center"/>
          </w:tcPr>
          <w:p w14:paraId="52315A05">
            <w:pPr>
              <w:keepLines/>
              <w:spacing w:line="300" w:lineRule="exact"/>
              <w:ind w:firstLine="0" w:firstLineChars="0"/>
              <w:jc w:val="center"/>
              <w:rPr>
                <w:rFonts w:ascii="Times New Roman" w:hAnsi="Times New Roman" w:eastAsia="宋体"/>
                <w:bCs/>
                <w:color w:val="auto"/>
                <w:kern w:val="0"/>
                <w:sz w:val="21"/>
                <w:szCs w:val="21"/>
              </w:rPr>
            </w:pPr>
          </w:p>
        </w:tc>
        <w:tc>
          <w:tcPr>
            <w:tcW w:w="5220" w:type="dxa"/>
            <w:vMerge w:val="continue"/>
            <w:noWrap w:val="0"/>
            <w:vAlign w:val="center"/>
          </w:tcPr>
          <w:p w14:paraId="648DB5A3">
            <w:pPr>
              <w:keepLines/>
              <w:spacing w:line="300" w:lineRule="exact"/>
              <w:ind w:firstLine="0" w:firstLineChars="0"/>
              <w:jc w:val="center"/>
              <w:rPr>
                <w:rFonts w:ascii="Times New Roman" w:hAnsi="Times New Roman" w:eastAsia="宋体"/>
                <w:color w:val="auto"/>
                <w:sz w:val="21"/>
                <w:szCs w:val="21"/>
              </w:rPr>
            </w:pPr>
          </w:p>
        </w:tc>
      </w:tr>
      <w:tr w14:paraId="23620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6678B442">
            <w:pPr>
              <w:keepLines/>
              <w:spacing w:line="300" w:lineRule="exact"/>
              <w:ind w:firstLine="0" w:firstLineChars="0"/>
              <w:jc w:val="left"/>
              <w:rPr>
                <w:rFonts w:ascii="Times New Roman" w:hAnsi="Times New Roman" w:eastAsia="宋体"/>
                <w:color w:val="auto"/>
                <w:kern w:val="0"/>
                <w:sz w:val="21"/>
                <w:szCs w:val="21"/>
              </w:rPr>
            </w:pPr>
          </w:p>
        </w:tc>
        <w:tc>
          <w:tcPr>
            <w:tcW w:w="6120" w:type="dxa"/>
            <w:noWrap w:val="0"/>
            <w:vAlign w:val="center"/>
          </w:tcPr>
          <w:p w14:paraId="77621AC3">
            <w:pPr>
              <w:keepLines/>
              <w:spacing w:line="300" w:lineRule="exact"/>
              <w:ind w:firstLine="0" w:firstLineChars="0"/>
              <w:jc w:val="left"/>
              <w:rPr>
                <w:rFonts w:ascii="Times New Roman" w:hAnsi="Times New Roman" w:eastAsia="宋体"/>
                <w:bCs/>
                <w:color w:val="auto"/>
                <w:kern w:val="0"/>
                <w:sz w:val="21"/>
                <w:szCs w:val="21"/>
              </w:rPr>
            </w:pPr>
            <w:r>
              <w:rPr>
                <w:rFonts w:ascii="Times New Roman" w:hAnsi="Times New Roman" w:eastAsia="宋体"/>
                <w:bCs/>
                <w:color w:val="auto"/>
                <w:kern w:val="0"/>
                <w:sz w:val="21"/>
                <w:szCs w:val="21"/>
              </w:rPr>
              <w:t>应急救援预案未进行备案的，扣1.5分</w:t>
            </w:r>
          </w:p>
        </w:tc>
        <w:tc>
          <w:tcPr>
            <w:tcW w:w="983" w:type="dxa"/>
            <w:gridSpan w:val="2"/>
            <w:vMerge w:val="continue"/>
            <w:noWrap w:val="0"/>
            <w:vAlign w:val="center"/>
          </w:tcPr>
          <w:p w14:paraId="63FC9D61">
            <w:pPr>
              <w:keepLines/>
              <w:spacing w:line="300" w:lineRule="exact"/>
              <w:ind w:firstLine="0" w:firstLineChars="0"/>
              <w:jc w:val="center"/>
              <w:rPr>
                <w:rFonts w:ascii="Times New Roman" w:hAnsi="Times New Roman" w:eastAsia="宋体"/>
                <w:color w:val="auto"/>
                <w:kern w:val="0"/>
                <w:sz w:val="21"/>
                <w:szCs w:val="21"/>
              </w:rPr>
            </w:pPr>
          </w:p>
        </w:tc>
        <w:tc>
          <w:tcPr>
            <w:tcW w:w="817" w:type="dxa"/>
            <w:vMerge w:val="continue"/>
            <w:noWrap w:val="0"/>
            <w:vAlign w:val="center"/>
          </w:tcPr>
          <w:p w14:paraId="62FA8E89">
            <w:pPr>
              <w:keepLines/>
              <w:spacing w:line="300" w:lineRule="exact"/>
              <w:ind w:firstLine="0" w:firstLineChars="0"/>
              <w:jc w:val="center"/>
              <w:rPr>
                <w:rFonts w:ascii="Times New Roman" w:hAnsi="Times New Roman" w:eastAsia="宋体"/>
                <w:bCs/>
                <w:color w:val="auto"/>
                <w:kern w:val="0"/>
                <w:sz w:val="21"/>
                <w:szCs w:val="21"/>
              </w:rPr>
            </w:pPr>
          </w:p>
        </w:tc>
        <w:tc>
          <w:tcPr>
            <w:tcW w:w="5220" w:type="dxa"/>
            <w:vMerge w:val="continue"/>
            <w:noWrap w:val="0"/>
            <w:vAlign w:val="center"/>
          </w:tcPr>
          <w:p w14:paraId="14585C38">
            <w:pPr>
              <w:keepLines/>
              <w:spacing w:line="300" w:lineRule="exact"/>
              <w:ind w:firstLine="0" w:firstLineChars="0"/>
              <w:jc w:val="center"/>
              <w:rPr>
                <w:rFonts w:ascii="Times New Roman" w:hAnsi="Times New Roman" w:eastAsia="宋体"/>
                <w:color w:val="auto"/>
                <w:sz w:val="21"/>
                <w:szCs w:val="21"/>
              </w:rPr>
            </w:pPr>
          </w:p>
        </w:tc>
      </w:tr>
      <w:tr w14:paraId="3DBA3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00C35F6E">
            <w:pPr>
              <w:keepLines/>
              <w:spacing w:line="300" w:lineRule="exact"/>
              <w:ind w:firstLine="0" w:firstLineChars="0"/>
              <w:jc w:val="left"/>
              <w:rPr>
                <w:rFonts w:ascii="Times New Roman" w:hAnsi="Times New Roman" w:eastAsia="宋体"/>
                <w:color w:val="auto"/>
                <w:kern w:val="0"/>
                <w:sz w:val="21"/>
                <w:szCs w:val="21"/>
              </w:rPr>
            </w:pPr>
          </w:p>
        </w:tc>
        <w:tc>
          <w:tcPr>
            <w:tcW w:w="6120" w:type="dxa"/>
            <w:noWrap w:val="0"/>
            <w:vAlign w:val="center"/>
          </w:tcPr>
          <w:p w14:paraId="6D4F0974">
            <w:pPr>
              <w:keepLines/>
              <w:spacing w:line="300" w:lineRule="exact"/>
              <w:ind w:firstLine="0" w:firstLineChars="0"/>
              <w:jc w:val="left"/>
              <w:rPr>
                <w:rFonts w:ascii="Times New Roman" w:hAnsi="Times New Roman" w:eastAsia="宋体"/>
                <w:bCs/>
                <w:color w:val="auto"/>
                <w:sz w:val="21"/>
                <w:szCs w:val="21"/>
              </w:rPr>
            </w:pPr>
            <w:r>
              <w:rPr>
                <w:rFonts w:ascii="Times New Roman" w:hAnsi="Times New Roman" w:eastAsia="宋体"/>
                <w:bCs/>
                <w:color w:val="auto"/>
                <w:kern w:val="0"/>
                <w:sz w:val="21"/>
                <w:szCs w:val="21"/>
              </w:rPr>
              <w:t>未设专职救援队伍，且未与矿山职业救护险签订协议的，扣3分</w:t>
            </w:r>
          </w:p>
        </w:tc>
        <w:tc>
          <w:tcPr>
            <w:tcW w:w="983" w:type="dxa"/>
            <w:gridSpan w:val="2"/>
            <w:vMerge w:val="continue"/>
            <w:noWrap w:val="0"/>
            <w:vAlign w:val="center"/>
          </w:tcPr>
          <w:p w14:paraId="1EBC05AC">
            <w:pPr>
              <w:keepLines/>
              <w:spacing w:line="300" w:lineRule="exact"/>
              <w:ind w:firstLine="0" w:firstLineChars="0"/>
              <w:jc w:val="center"/>
              <w:rPr>
                <w:rFonts w:ascii="Times New Roman" w:hAnsi="Times New Roman" w:eastAsia="宋体"/>
                <w:color w:val="auto"/>
                <w:kern w:val="0"/>
                <w:sz w:val="21"/>
                <w:szCs w:val="21"/>
              </w:rPr>
            </w:pPr>
          </w:p>
        </w:tc>
        <w:tc>
          <w:tcPr>
            <w:tcW w:w="817" w:type="dxa"/>
            <w:vMerge w:val="continue"/>
            <w:noWrap w:val="0"/>
            <w:vAlign w:val="center"/>
          </w:tcPr>
          <w:p w14:paraId="143C2D1C">
            <w:pPr>
              <w:keepLines/>
              <w:spacing w:line="300" w:lineRule="exact"/>
              <w:ind w:firstLine="0" w:firstLineChars="0"/>
              <w:jc w:val="center"/>
              <w:rPr>
                <w:rFonts w:ascii="Times New Roman" w:hAnsi="Times New Roman" w:eastAsia="宋体"/>
                <w:bCs/>
                <w:color w:val="auto"/>
                <w:kern w:val="0"/>
                <w:sz w:val="21"/>
                <w:szCs w:val="21"/>
              </w:rPr>
            </w:pPr>
          </w:p>
        </w:tc>
        <w:tc>
          <w:tcPr>
            <w:tcW w:w="5220" w:type="dxa"/>
            <w:vMerge w:val="continue"/>
            <w:noWrap w:val="0"/>
            <w:vAlign w:val="center"/>
          </w:tcPr>
          <w:p w14:paraId="79FBC5B8">
            <w:pPr>
              <w:keepLines/>
              <w:spacing w:line="300" w:lineRule="exact"/>
              <w:ind w:firstLine="0" w:firstLineChars="0"/>
              <w:jc w:val="center"/>
              <w:rPr>
                <w:rFonts w:ascii="Times New Roman" w:hAnsi="Times New Roman" w:eastAsia="宋体"/>
                <w:color w:val="auto"/>
                <w:sz w:val="21"/>
                <w:szCs w:val="21"/>
              </w:rPr>
            </w:pPr>
          </w:p>
        </w:tc>
      </w:tr>
      <w:tr w14:paraId="623CA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restart"/>
            <w:noWrap w:val="0"/>
            <w:vAlign w:val="center"/>
          </w:tcPr>
          <w:p w14:paraId="00407CEA">
            <w:pPr>
              <w:spacing w:line="300" w:lineRule="exact"/>
              <w:ind w:firstLine="0" w:firstLineChars="0"/>
              <w:rPr>
                <w:rFonts w:ascii="Times New Roman" w:hAnsi="Times New Roman" w:eastAsia="宋体"/>
                <w:color w:val="auto"/>
                <w:kern w:val="0"/>
                <w:sz w:val="21"/>
                <w:szCs w:val="21"/>
              </w:rPr>
            </w:pPr>
            <w:r>
              <w:rPr>
                <w:rFonts w:ascii="Times New Roman" w:hAnsi="Times New Roman" w:eastAsia="宋体"/>
                <w:color w:val="auto"/>
                <w:kern w:val="0"/>
                <w:sz w:val="21"/>
                <w:szCs w:val="21"/>
              </w:rPr>
              <w:t>2.11风险公告</w:t>
            </w:r>
          </w:p>
        </w:tc>
        <w:tc>
          <w:tcPr>
            <w:tcW w:w="6120" w:type="dxa"/>
            <w:noWrap w:val="0"/>
            <w:vAlign w:val="center"/>
          </w:tcPr>
          <w:p w14:paraId="24F887B0">
            <w:pPr>
              <w:keepLines/>
              <w:spacing w:line="300" w:lineRule="exact"/>
              <w:ind w:firstLine="0" w:firstLineChars="0"/>
              <w:jc w:val="left"/>
              <w:rPr>
                <w:rFonts w:ascii="Times New Roman" w:hAnsi="Times New Roman" w:eastAsia="宋体"/>
                <w:color w:val="auto"/>
                <w:sz w:val="21"/>
                <w:szCs w:val="21"/>
              </w:rPr>
            </w:pPr>
            <w:r>
              <w:rPr>
                <w:rFonts w:ascii="Times New Roman" w:hAnsi="Times New Roman" w:eastAsia="宋体"/>
                <w:color w:val="auto"/>
                <w:sz w:val="21"/>
                <w:szCs w:val="21"/>
              </w:rPr>
              <w:t>针对各工种、各岗位存在的安全风险按规定进行了公告，不扣分</w:t>
            </w:r>
          </w:p>
        </w:tc>
        <w:tc>
          <w:tcPr>
            <w:tcW w:w="983" w:type="dxa"/>
            <w:gridSpan w:val="2"/>
            <w:vMerge w:val="restart"/>
            <w:noWrap w:val="0"/>
            <w:vAlign w:val="center"/>
          </w:tcPr>
          <w:p w14:paraId="65A37B9E">
            <w:pPr>
              <w:keepLines/>
              <w:spacing w:line="300" w:lineRule="exact"/>
              <w:ind w:firstLine="0" w:firstLineChars="0"/>
              <w:jc w:val="center"/>
              <w:rPr>
                <w:rFonts w:ascii="Times New Roman" w:hAnsi="Times New Roman" w:eastAsia="宋体"/>
                <w:color w:val="auto"/>
                <w:kern w:val="0"/>
                <w:sz w:val="21"/>
                <w:szCs w:val="21"/>
              </w:rPr>
            </w:pPr>
            <w:r>
              <w:rPr>
                <w:rFonts w:ascii="Times New Roman" w:hAnsi="Times New Roman" w:eastAsia="宋体"/>
                <w:color w:val="auto"/>
                <w:kern w:val="0"/>
                <w:sz w:val="21"/>
                <w:szCs w:val="21"/>
              </w:rPr>
              <w:t>3</w:t>
            </w:r>
          </w:p>
        </w:tc>
        <w:tc>
          <w:tcPr>
            <w:tcW w:w="817" w:type="dxa"/>
            <w:vMerge w:val="restart"/>
            <w:noWrap w:val="0"/>
            <w:vAlign w:val="center"/>
          </w:tcPr>
          <w:p w14:paraId="5A1F2397">
            <w:pPr>
              <w:keepLines/>
              <w:spacing w:line="300" w:lineRule="exact"/>
              <w:ind w:firstLine="0" w:firstLineChars="0"/>
              <w:jc w:val="center"/>
              <w:rPr>
                <w:rFonts w:hint="eastAsia" w:ascii="Times New Roman" w:hAnsi="Times New Roman" w:eastAsia="宋体"/>
                <w:bCs/>
                <w:color w:val="auto"/>
                <w:kern w:val="0"/>
                <w:sz w:val="21"/>
                <w:szCs w:val="21"/>
              </w:rPr>
            </w:pPr>
            <w:r>
              <w:rPr>
                <w:rFonts w:hint="eastAsia" w:ascii="Times New Roman" w:hAnsi="Times New Roman" w:eastAsia="宋体"/>
                <w:bCs/>
                <w:color w:val="auto"/>
                <w:kern w:val="0"/>
                <w:sz w:val="21"/>
                <w:szCs w:val="21"/>
              </w:rPr>
              <w:t>3</w:t>
            </w:r>
          </w:p>
        </w:tc>
        <w:tc>
          <w:tcPr>
            <w:tcW w:w="5220" w:type="dxa"/>
            <w:vMerge w:val="restart"/>
            <w:noWrap w:val="0"/>
            <w:vAlign w:val="center"/>
          </w:tcPr>
          <w:p w14:paraId="4E1A2251">
            <w:pPr>
              <w:keepLines/>
              <w:spacing w:line="300" w:lineRule="exact"/>
              <w:ind w:firstLine="0" w:firstLineChars="0"/>
              <w:jc w:val="center"/>
              <w:rPr>
                <w:rFonts w:ascii="Times New Roman" w:hAnsi="Times New Roman" w:eastAsia="宋体"/>
                <w:color w:val="auto"/>
                <w:sz w:val="21"/>
                <w:szCs w:val="21"/>
              </w:rPr>
            </w:pPr>
          </w:p>
        </w:tc>
      </w:tr>
      <w:tr w14:paraId="1C5FB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2458ED74">
            <w:pPr>
              <w:spacing w:line="300" w:lineRule="exact"/>
              <w:ind w:firstLine="0" w:firstLineChars="0"/>
              <w:rPr>
                <w:rFonts w:ascii="Times New Roman" w:hAnsi="Times New Roman" w:eastAsia="宋体"/>
                <w:color w:val="auto"/>
                <w:kern w:val="0"/>
                <w:sz w:val="21"/>
                <w:szCs w:val="21"/>
              </w:rPr>
            </w:pPr>
          </w:p>
        </w:tc>
        <w:tc>
          <w:tcPr>
            <w:tcW w:w="6120" w:type="dxa"/>
            <w:noWrap w:val="0"/>
            <w:vAlign w:val="center"/>
          </w:tcPr>
          <w:p w14:paraId="4F40CD6B">
            <w:pPr>
              <w:keepLines/>
              <w:spacing w:line="300" w:lineRule="exact"/>
              <w:ind w:firstLine="0" w:firstLineChars="0"/>
              <w:jc w:val="left"/>
              <w:rPr>
                <w:rFonts w:ascii="Times New Roman" w:hAnsi="Times New Roman" w:eastAsia="宋体"/>
                <w:color w:val="auto"/>
                <w:sz w:val="21"/>
                <w:szCs w:val="21"/>
              </w:rPr>
            </w:pPr>
            <w:r>
              <w:rPr>
                <w:rFonts w:ascii="Times New Roman" w:hAnsi="Times New Roman" w:eastAsia="宋体"/>
                <w:color w:val="auto"/>
                <w:sz w:val="21"/>
                <w:szCs w:val="21"/>
              </w:rPr>
              <w:t>未对各工种、各岗位存在的安全风险进行公告，发现1起扣1分，扣完为止</w:t>
            </w:r>
          </w:p>
        </w:tc>
        <w:tc>
          <w:tcPr>
            <w:tcW w:w="983" w:type="dxa"/>
            <w:gridSpan w:val="2"/>
            <w:vMerge w:val="continue"/>
            <w:noWrap w:val="0"/>
            <w:vAlign w:val="center"/>
          </w:tcPr>
          <w:p w14:paraId="27847B01">
            <w:pPr>
              <w:keepLines/>
              <w:spacing w:line="300" w:lineRule="exact"/>
              <w:ind w:firstLine="0" w:firstLineChars="0"/>
              <w:jc w:val="center"/>
              <w:rPr>
                <w:rFonts w:ascii="Times New Roman" w:hAnsi="Times New Roman" w:eastAsia="宋体"/>
                <w:color w:val="auto"/>
                <w:kern w:val="0"/>
                <w:sz w:val="21"/>
                <w:szCs w:val="21"/>
              </w:rPr>
            </w:pPr>
          </w:p>
        </w:tc>
        <w:tc>
          <w:tcPr>
            <w:tcW w:w="817" w:type="dxa"/>
            <w:vMerge w:val="continue"/>
            <w:noWrap w:val="0"/>
            <w:vAlign w:val="center"/>
          </w:tcPr>
          <w:p w14:paraId="38201912">
            <w:pPr>
              <w:keepLines/>
              <w:spacing w:line="300" w:lineRule="exact"/>
              <w:ind w:firstLine="0" w:firstLineChars="0"/>
              <w:jc w:val="center"/>
              <w:rPr>
                <w:rFonts w:ascii="Times New Roman" w:hAnsi="Times New Roman" w:eastAsia="宋体"/>
                <w:color w:val="auto"/>
                <w:kern w:val="0"/>
                <w:sz w:val="21"/>
                <w:szCs w:val="21"/>
              </w:rPr>
            </w:pPr>
          </w:p>
        </w:tc>
        <w:tc>
          <w:tcPr>
            <w:tcW w:w="5220" w:type="dxa"/>
            <w:vMerge w:val="continue"/>
            <w:noWrap w:val="0"/>
            <w:vAlign w:val="center"/>
          </w:tcPr>
          <w:p w14:paraId="738CC6DF">
            <w:pPr>
              <w:keepLines/>
              <w:spacing w:line="300" w:lineRule="exact"/>
              <w:ind w:firstLine="0" w:firstLineChars="0"/>
              <w:jc w:val="center"/>
              <w:rPr>
                <w:rFonts w:ascii="Times New Roman" w:hAnsi="Times New Roman" w:eastAsia="宋体"/>
                <w:color w:val="auto"/>
                <w:sz w:val="21"/>
                <w:szCs w:val="21"/>
              </w:rPr>
            </w:pPr>
          </w:p>
        </w:tc>
      </w:tr>
      <w:tr w14:paraId="5263A4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restart"/>
            <w:noWrap w:val="0"/>
            <w:vAlign w:val="center"/>
          </w:tcPr>
          <w:p w14:paraId="1D01B44A">
            <w:pPr>
              <w:spacing w:line="300" w:lineRule="exact"/>
              <w:ind w:firstLine="0" w:firstLineChars="0"/>
              <w:rPr>
                <w:rFonts w:ascii="Times New Roman" w:hAnsi="Times New Roman" w:eastAsia="宋体"/>
                <w:color w:val="auto"/>
                <w:kern w:val="0"/>
                <w:sz w:val="21"/>
                <w:szCs w:val="21"/>
              </w:rPr>
            </w:pPr>
            <w:r>
              <w:rPr>
                <w:rFonts w:ascii="Times New Roman" w:hAnsi="Times New Roman" w:eastAsia="宋体"/>
                <w:color w:val="auto"/>
                <w:kern w:val="0"/>
                <w:sz w:val="21"/>
                <w:szCs w:val="21"/>
              </w:rPr>
              <w:t>2.12稳定性评价</w:t>
            </w:r>
          </w:p>
        </w:tc>
        <w:tc>
          <w:tcPr>
            <w:tcW w:w="6120" w:type="dxa"/>
            <w:noWrap w:val="0"/>
            <w:vAlign w:val="center"/>
          </w:tcPr>
          <w:p w14:paraId="34E09B7B">
            <w:pPr>
              <w:keepLines/>
              <w:spacing w:line="300" w:lineRule="exact"/>
              <w:ind w:firstLine="0" w:firstLineChars="0"/>
              <w:jc w:val="left"/>
              <w:rPr>
                <w:rFonts w:ascii="Times New Roman" w:hAnsi="Times New Roman" w:eastAsia="宋体"/>
                <w:color w:val="auto"/>
                <w:sz w:val="21"/>
                <w:szCs w:val="21"/>
              </w:rPr>
            </w:pPr>
            <w:r>
              <w:rPr>
                <w:rFonts w:ascii="Times New Roman" w:hAnsi="Times New Roman" w:eastAsia="宋体"/>
                <w:color w:val="auto"/>
                <w:sz w:val="21"/>
                <w:szCs w:val="21"/>
              </w:rPr>
              <w:t>按要求进行了工程勘察及稳定性评价，不扣分</w:t>
            </w:r>
          </w:p>
        </w:tc>
        <w:tc>
          <w:tcPr>
            <w:tcW w:w="983" w:type="dxa"/>
            <w:gridSpan w:val="2"/>
            <w:vMerge w:val="restart"/>
            <w:noWrap w:val="0"/>
            <w:vAlign w:val="center"/>
          </w:tcPr>
          <w:p w14:paraId="5EC6DC23">
            <w:pPr>
              <w:keepLines/>
              <w:spacing w:line="300" w:lineRule="exact"/>
              <w:ind w:firstLine="0" w:firstLineChars="0"/>
              <w:jc w:val="center"/>
              <w:rPr>
                <w:rFonts w:ascii="Times New Roman" w:hAnsi="Times New Roman" w:eastAsia="宋体"/>
                <w:color w:val="auto"/>
                <w:kern w:val="0"/>
                <w:sz w:val="21"/>
                <w:szCs w:val="21"/>
              </w:rPr>
            </w:pPr>
            <w:r>
              <w:rPr>
                <w:rFonts w:ascii="Times New Roman" w:hAnsi="Times New Roman" w:eastAsia="宋体"/>
                <w:color w:val="auto"/>
                <w:kern w:val="0"/>
                <w:sz w:val="21"/>
                <w:szCs w:val="21"/>
              </w:rPr>
              <w:t>3</w:t>
            </w:r>
          </w:p>
        </w:tc>
        <w:tc>
          <w:tcPr>
            <w:tcW w:w="817" w:type="dxa"/>
            <w:vMerge w:val="restart"/>
            <w:noWrap w:val="0"/>
            <w:vAlign w:val="center"/>
          </w:tcPr>
          <w:p w14:paraId="4DC44204">
            <w:pPr>
              <w:keepLines/>
              <w:spacing w:line="300" w:lineRule="exact"/>
              <w:ind w:firstLine="0" w:firstLineChars="0"/>
              <w:jc w:val="center"/>
              <w:rPr>
                <w:rFonts w:hint="eastAsia" w:ascii="Times New Roman" w:hAnsi="Times New Roman" w:eastAsia="宋体"/>
                <w:bCs/>
                <w:color w:val="auto"/>
                <w:kern w:val="0"/>
                <w:sz w:val="21"/>
                <w:szCs w:val="21"/>
              </w:rPr>
            </w:pPr>
            <w:r>
              <w:rPr>
                <w:rFonts w:hint="eastAsia" w:ascii="Times New Roman" w:hAnsi="Times New Roman" w:eastAsia="宋体"/>
                <w:bCs/>
                <w:color w:val="auto"/>
                <w:kern w:val="0"/>
                <w:sz w:val="21"/>
                <w:szCs w:val="21"/>
              </w:rPr>
              <w:t>3</w:t>
            </w:r>
          </w:p>
        </w:tc>
        <w:tc>
          <w:tcPr>
            <w:tcW w:w="5220" w:type="dxa"/>
            <w:vMerge w:val="restart"/>
            <w:noWrap w:val="0"/>
            <w:vAlign w:val="center"/>
          </w:tcPr>
          <w:p w14:paraId="2E8875A0">
            <w:pPr>
              <w:keepLines/>
              <w:spacing w:line="300" w:lineRule="exact"/>
              <w:ind w:firstLine="0" w:firstLineChars="0"/>
              <w:jc w:val="left"/>
              <w:rPr>
                <w:rFonts w:ascii="Times New Roman" w:hAnsi="Times New Roman" w:eastAsia="宋体"/>
                <w:color w:val="auto"/>
                <w:sz w:val="21"/>
                <w:szCs w:val="21"/>
              </w:rPr>
            </w:pPr>
          </w:p>
        </w:tc>
      </w:tr>
      <w:tr w14:paraId="0D772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33B0B290">
            <w:pPr>
              <w:keepLines/>
              <w:spacing w:line="300" w:lineRule="exact"/>
              <w:ind w:firstLine="0" w:firstLineChars="0"/>
              <w:jc w:val="left"/>
              <w:rPr>
                <w:rFonts w:ascii="Times New Roman" w:hAnsi="Times New Roman" w:eastAsia="宋体"/>
                <w:color w:val="auto"/>
                <w:kern w:val="0"/>
                <w:sz w:val="21"/>
                <w:szCs w:val="21"/>
              </w:rPr>
            </w:pPr>
          </w:p>
        </w:tc>
        <w:tc>
          <w:tcPr>
            <w:tcW w:w="6120" w:type="dxa"/>
            <w:noWrap w:val="0"/>
            <w:vAlign w:val="center"/>
          </w:tcPr>
          <w:p w14:paraId="39DEAF13">
            <w:pPr>
              <w:keepLines/>
              <w:spacing w:line="300" w:lineRule="exact"/>
              <w:ind w:firstLine="0" w:firstLineChars="0"/>
              <w:jc w:val="left"/>
              <w:rPr>
                <w:rFonts w:ascii="Times New Roman" w:hAnsi="Times New Roman" w:eastAsia="宋体"/>
                <w:color w:val="auto"/>
                <w:kern w:val="0"/>
                <w:sz w:val="21"/>
                <w:szCs w:val="21"/>
              </w:rPr>
            </w:pPr>
            <w:r>
              <w:rPr>
                <w:rFonts w:ascii="Times New Roman" w:hAnsi="Times New Roman" w:eastAsia="宋体"/>
                <w:color w:val="auto"/>
                <w:kern w:val="0"/>
                <w:sz w:val="21"/>
                <w:szCs w:val="21"/>
              </w:rPr>
              <w:t>上游式尾矿坝堆筑至1/2</w:t>
            </w:r>
            <w:r>
              <w:rPr>
                <w:rFonts w:hint="eastAsia" w:ascii="Times New Roman" w:hAnsi="Times New Roman" w:eastAsia="宋体"/>
                <w:color w:val="auto"/>
                <w:kern w:val="0"/>
                <w:sz w:val="21"/>
                <w:szCs w:val="21"/>
              </w:rPr>
              <w:t>～</w:t>
            </w:r>
            <w:r>
              <w:rPr>
                <w:rFonts w:ascii="Times New Roman" w:hAnsi="Times New Roman" w:eastAsia="宋体"/>
                <w:color w:val="auto"/>
                <w:kern w:val="0"/>
                <w:sz w:val="21"/>
                <w:szCs w:val="21"/>
              </w:rPr>
              <w:t>2/3最终设计坝高时，未按要求做工程勘察及稳定性专项评价，扣3分</w:t>
            </w:r>
          </w:p>
        </w:tc>
        <w:tc>
          <w:tcPr>
            <w:tcW w:w="983" w:type="dxa"/>
            <w:gridSpan w:val="2"/>
            <w:vMerge w:val="continue"/>
            <w:noWrap w:val="0"/>
            <w:vAlign w:val="center"/>
          </w:tcPr>
          <w:p w14:paraId="12D46740">
            <w:pPr>
              <w:keepLines/>
              <w:spacing w:line="300" w:lineRule="exact"/>
              <w:ind w:firstLine="0" w:firstLineChars="0"/>
              <w:jc w:val="center"/>
              <w:rPr>
                <w:rFonts w:ascii="Times New Roman" w:hAnsi="Times New Roman" w:eastAsia="宋体"/>
                <w:color w:val="auto"/>
                <w:kern w:val="0"/>
                <w:sz w:val="21"/>
                <w:szCs w:val="21"/>
              </w:rPr>
            </w:pPr>
          </w:p>
        </w:tc>
        <w:tc>
          <w:tcPr>
            <w:tcW w:w="817" w:type="dxa"/>
            <w:vMerge w:val="continue"/>
            <w:noWrap w:val="0"/>
            <w:vAlign w:val="center"/>
          </w:tcPr>
          <w:p w14:paraId="3080D512">
            <w:pPr>
              <w:keepLines/>
              <w:spacing w:line="300" w:lineRule="exact"/>
              <w:ind w:firstLine="0" w:firstLineChars="0"/>
              <w:jc w:val="center"/>
              <w:rPr>
                <w:rFonts w:ascii="Times New Roman" w:hAnsi="Times New Roman" w:eastAsia="宋体"/>
                <w:bCs/>
                <w:color w:val="auto"/>
                <w:kern w:val="0"/>
                <w:sz w:val="21"/>
                <w:szCs w:val="21"/>
              </w:rPr>
            </w:pPr>
          </w:p>
        </w:tc>
        <w:tc>
          <w:tcPr>
            <w:tcW w:w="5220" w:type="dxa"/>
            <w:vMerge w:val="continue"/>
            <w:noWrap w:val="0"/>
            <w:vAlign w:val="center"/>
          </w:tcPr>
          <w:p w14:paraId="3BA712ED">
            <w:pPr>
              <w:keepLines/>
              <w:spacing w:line="300" w:lineRule="exact"/>
              <w:ind w:firstLine="0" w:firstLineChars="0"/>
              <w:jc w:val="left"/>
              <w:rPr>
                <w:rFonts w:ascii="Times New Roman" w:hAnsi="Times New Roman" w:eastAsia="宋体"/>
                <w:color w:val="auto"/>
                <w:sz w:val="21"/>
                <w:szCs w:val="21"/>
              </w:rPr>
            </w:pPr>
          </w:p>
        </w:tc>
      </w:tr>
      <w:tr w14:paraId="0C3D2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noWrap w:val="0"/>
            <w:vAlign w:val="center"/>
          </w:tcPr>
          <w:p w14:paraId="33B656E2">
            <w:pPr>
              <w:keepLines/>
              <w:spacing w:line="300" w:lineRule="exact"/>
              <w:ind w:firstLine="0" w:firstLineChars="0"/>
              <w:jc w:val="left"/>
              <w:rPr>
                <w:rFonts w:ascii="Times New Roman" w:hAnsi="Times New Roman" w:eastAsia="宋体"/>
                <w:color w:val="auto"/>
                <w:kern w:val="0"/>
                <w:sz w:val="21"/>
                <w:szCs w:val="21"/>
              </w:rPr>
            </w:pPr>
            <w:r>
              <w:rPr>
                <w:rFonts w:ascii="Times New Roman" w:hAnsi="Times New Roman" w:eastAsia="宋体"/>
                <w:color w:val="auto"/>
                <w:kern w:val="0"/>
                <w:sz w:val="21"/>
                <w:szCs w:val="21"/>
              </w:rPr>
              <w:t>三、人员素质</w:t>
            </w:r>
          </w:p>
        </w:tc>
        <w:tc>
          <w:tcPr>
            <w:tcW w:w="6120" w:type="dxa"/>
            <w:noWrap w:val="0"/>
            <w:vAlign w:val="center"/>
          </w:tcPr>
          <w:p w14:paraId="3C3D1C93">
            <w:pPr>
              <w:keepLines/>
              <w:spacing w:line="300" w:lineRule="exact"/>
              <w:ind w:firstLine="0" w:firstLineChars="0"/>
              <w:jc w:val="left"/>
              <w:rPr>
                <w:rFonts w:ascii="Times New Roman" w:hAnsi="Times New Roman" w:eastAsia="宋体"/>
                <w:color w:val="auto"/>
                <w:kern w:val="0"/>
                <w:sz w:val="21"/>
                <w:szCs w:val="21"/>
              </w:rPr>
            </w:pPr>
          </w:p>
        </w:tc>
        <w:tc>
          <w:tcPr>
            <w:tcW w:w="983" w:type="dxa"/>
            <w:gridSpan w:val="2"/>
            <w:noWrap w:val="0"/>
            <w:vAlign w:val="center"/>
          </w:tcPr>
          <w:p w14:paraId="3D738A17">
            <w:pPr>
              <w:keepLines/>
              <w:spacing w:line="300" w:lineRule="exact"/>
              <w:ind w:firstLine="0" w:firstLineChars="0"/>
              <w:jc w:val="center"/>
              <w:rPr>
                <w:rFonts w:ascii="Times New Roman" w:hAnsi="Times New Roman" w:eastAsia="宋体"/>
                <w:color w:val="auto"/>
                <w:kern w:val="0"/>
                <w:sz w:val="21"/>
                <w:szCs w:val="21"/>
              </w:rPr>
            </w:pPr>
            <w:r>
              <w:rPr>
                <w:rFonts w:ascii="Times New Roman" w:hAnsi="Times New Roman" w:eastAsia="宋体"/>
                <w:color w:val="auto"/>
                <w:kern w:val="0"/>
                <w:sz w:val="21"/>
                <w:szCs w:val="21"/>
              </w:rPr>
              <w:t>6</w:t>
            </w:r>
          </w:p>
        </w:tc>
        <w:tc>
          <w:tcPr>
            <w:tcW w:w="817" w:type="dxa"/>
            <w:noWrap w:val="0"/>
            <w:vAlign w:val="center"/>
          </w:tcPr>
          <w:p w14:paraId="41F054D9">
            <w:pPr>
              <w:keepLines/>
              <w:spacing w:line="300" w:lineRule="exact"/>
              <w:ind w:firstLine="0" w:firstLineChars="0"/>
              <w:jc w:val="center"/>
              <w:rPr>
                <w:rFonts w:ascii="Times New Roman" w:hAnsi="Times New Roman" w:eastAsia="宋体"/>
                <w:bCs/>
                <w:color w:val="auto"/>
                <w:kern w:val="0"/>
                <w:sz w:val="21"/>
                <w:szCs w:val="21"/>
              </w:rPr>
            </w:pPr>
          </w:p>
        </w:tc>
        <w:tc>
          <w:tcPr>
            <w:tcW w:w="5220" w:type="dxa"/>
            <w:noWrap w:val="0"/>
            <w:vAlign w:val="center"/>
          </w:tcPr>
          <w:p w14:paraId="3F277ABA">
            <w:pPr>
              <w:keepLines/>
              <w:spacing w:line="300" w:lineRule="exact"/>
              <w:ind w:firstLine="0" w:firstLineChars="0"/>
              <w:jc w:val="center"/>
              <w:rPr>
                <w:rFonts w:ascii="Times New Roman" w:hAnsi="Times New Roman" w:eastAsia="宋体"/>
                <w:color w:val="auto"/>
                <w:sz w:val="21"/>
                <w:szCs w:val="21"/>
              </w:rPr>
            </w:pPr>
          </w:p>
        </w:tc>
      </w:tr>
      <w:tr w14:paraId="50B72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restart"/>
            <w:noWrap w:val="0"/>
            <w:vAlign w:val="center"/>
          </w:tcPr>
          <w:p w14:paraId="1F93F86A">
            <w:pPr>
              <w:spacing w:line="300" w:lineRule="exact"/>
              <w:ind w:firstLine="0" w:firstLineChars="0"/>
              <w:rPr>
                <w:rFonts w:ascii="Times New Roman" w:hAnsi="Times New Roman" w:eastAsia="宋体"/>
                <w:color w:val="auto"/>
                <w:kern w:val="0"/>
                <w:sz w:val="21"/>
                <w:szCs w:val="21"/>
              </w:rPr>
            </w:pPr>
            <w:r>
              <w:rPr>
                <w:rFonts w:ascii="Times New Roman" w:hAnsi="Times New Roman" w:eastAsia="宋体"/>
                <w:color w:val="auto"/>
                <w:kern w:val="0"/>
                <w:sz w:val="21"/>
                <w:szCs w:val="21"/>
              </w:rPr>
              <w:t>3.1工程技术人员</w:t>
            </w:r>
          </w:p>
        </w:tc>
        <w:tc>
          <w:tcPr>
            <w:tcW w:w="6120" w:type="dxa"/>
            <w:noWrap w:val="0"/>
            <w:vAlign w:val="center"/>
          </w:tcPr>
          <w:p w14:paraId="3AE652CB">
            <w:pPr>
              <w:keepLines/>
              <w:spacing w:line="300" w:lineRule="exact"/>
              <w:ind w:firstLine="0" w:firstLineChars="0"/>
              <w:jc w:val="left"/>
              <w:rPr>
                <w:rFonts w:ascii="Times New Roman" w:hAnsi="Times New Roman" w:eastAsia="宋体"/>
                <w:color w:val="auto"/>
                <w:sz w:val="21"/>
                <w:szCs w:val="21"/>
              </w:rPr>
            </w:pPr>
            <w:r>
              <w:rPr>
                <w:rFonts w:ascii="Times New Roman" w:hAnsi="Times New Roman" w:eastAsia="宋体"/>
                <w:color w:val="auto"/>
                <w:kern w:val="0"/>
                <w:sz w:val="21"/>
                <w:szCs w:val="21"/>
              </w:rPr>
              <w:t>水工、地质、选矿等专业工程技术人员配备齐全，不扣分；每缺少一类专业技术人员，扣1分</w:t>
            </w:r>
          </w:p>
        </w:tc>
        <w:tc>
          <w:tcPr>
            <w:tcW w:w="983" w:type="dxa"/>
            <w:gridSpan w:val="2"/>
            <w:vMerge w:val="restart"/>
            <w:noWrap w:val="0"/>
            <w:vAlign w:val="center"/>
          </w:tcPr>
          <w:p w14:paraId="563D652C">
            <w:pPr>
              <w:keepLines/>
              <w:spacing w:line="300" w:lineRule="exact"/>
              <w:ind w:firstLine="0" w:firstLineChars="0"/>
              <w:jc w:val="center"/>
              <w:rPr>
                <w:rFonts w:ascii="Times New Roman" w:hAnsi="Times New Roman" w:eastAsia="宋体"/>
                <w:color w:val="auto"/>
                <w:kern w:val="0"/>
                <w:sz w:val="21"/>
                <w:szCs w:val="21"/>
              </w:rPr>
            </w:pPr>
            <w:r>
              <w:rPr>
                <w:rFonts w:ascii="Times New Roman" w:hAnsi="Times New Roman" w:eastAsia="宋体"/>
                <w:color w:val="auto"/>
                <w:kern w:val="0"/>
                <w:sz w:val="21"/>
                <w:szCs w:val="21"/>
              </w:rPr>
              <w:t>3</w:t>
            </w:r>
          </w:p>
        </w:tc>
        <w:tc>
          <w:tcPr>
            <w:tcW w:w="817" w:type="dxa"/>
            <w:vMerge w:val="restart"/>
            <w:noWrap w:val="0"/>
            <w:vAlign w:val="center"/>
          </w:tcPr>
          <w:p w14:paraId="27CBD9CB">
            <w:pPr>
              <w:keepLines/>
              <w:spacing w:line="300" w:lineRule="exact"/>
              <w:ind w:firstLine="0" w:firstLineChars="0"/>
              <w:jc w:val="center"/>
              <w:rPr>
                <w:rFonts w:hint="eastAsia" w:ascii="Times New Roman" w:hAnsi="Times New Roman" w:eastAsia="宋体"/>
                <w:bCs/>
                <w:color w:val="auto"/>
                <w:kern w:val="0"/>
                <w:sz w:val="21"/>
                <w:szCs w:val="21"/>
              </w:rPr>
            </w:pPr>
            <w:r>
              <w:rPr>
                <w:rFonts w:hint="eastAsia" w:ascii="Times New Roman" w:hAnsi="Times New Roman" w:eastAsia="宋体"/>
                <w:bCs/>
                <w:color w:val="auto"/>
                <w:kern w:val="0"/>
                <w:sz w:val="21"/>
                <w:szCs w:val="21"/>
              </w:rPr>
              <w:t>2</w:t>
            </w:r>
          </w:p>
        </w:tc>
        <w:tc>
          <w:tcPr>
            <w:tcW w:w="5220" w:type="dxa"/>
            <w:vMerge w:val="restart"/>
            <w:noWrap w:val="0"/>
            <w:vAlign w:val="center"/>
          </w:tcPr>
          <w:p w14:paraId="721593B1">
            <w:pPr>
              <w:keepLines/>
              <w:spacing w:line="300" w:lineRule="exact"/>
              <w:ind w:firstLine="0" w:firstLineChars="0"/>
              <w:jc w:val="left"/>
              <w:rPr>
                <w:rFonts w:ascii="Times New Roman" w:hAnsi="Times New Roman" w:eastAsia="宋体"/>
                <w:color w:val="auto"/>
                <w:sz w:val="21"/>
                <w:szCs w:val="21"/>
              </w:rPr>
            </w:pPr>
            <w:r>
              <w:rPr>
                <w:rFonts w:ascii="Times New Roman" w:hAnsi="Times New Roman" w:eastAsia="宋体"/>
                <w:color w:val="auto"/>
                <w:kern w:val="0"/>
                <w:sz w:val="21"/>
                <w:szCs w:val="21"/>
              </w:rPr>
              <w:t>专业工程技术人员为取得相应专业工程技术职称，或相应专业中专以上学历</w:t>
            </w:r>
          </w:p>
        </w:tc>
      </w:tr>
      <w:tr w14:paraId="5339E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1761BD50">
            <w:pPr>
              <w:keepLines/>
              <w:spacing w:line="300" w:lineRule="exact"/>
              <w:ind w:firstLine="0" w:firstLineChars="0"/>
              <w:jc w:val="left"/>
              <w:rPr>
                <w:rFonts w:ascii="Times New Roman" w:hAnsi="Times New Roman" w:eastAsia="宋体"/>
                <w:color w:val="auto"/>
                <w:kern w:val="0"/>
                <w:sz w:val="21"/>
                <w:szCs w:val="21"/>
              </w:rPr>
            </w:pPr>
          </w:p>
        </w:tc>
        <w:tc>
          <w:tcPr>
            <w:tcW w:w="6120" w:type="dxa"/>
            <w:noWrap w:val="0"/>
            <w:vAlign w:val="center"/>
          </w:tcPr>
          <w:p w14:paraId="6E28264E">
            <w:pPr>
              <w:keepLines/>
              <w:spacing w:line="300" w:lineRule="exact"/>
              <w:ind w:firstLine="0" w:firstLineChars="0"/>
              <w:jc w:val="left"/>
              <w:rPr>
                <w:rFonts w:ascii="Times New Roman" w:hAnsi="Times New Roman" w:eastAsia="宋体"/>
                <w:color w:val="auto"/>
                <w:sz w:val="21"/>
                <w:szCs w:val="21"/>
              </w:rPr>
            </w:pPr>
            <w:r>
              <w:rPr>
                <w:rFonts w:ascii="Times New Roman" w:hAnsi="Times New Roman" w:eastAsia="宋体"/>
                <w:color w:val="auto"/>
                <w:kern w:val="0"/>
                <w:sz w:val="21"/>
                <w:szCs w:val="21"/>
              </w:rPr>
              <w:t>未配备专业技术人员，但与相关专业机构签订了专业技术服务协议，扣1分</w:t>
            </w:r>
          </w:p>
        </w:tc>
        <w:tc>
          <w:tcPr>
            <w:tcW w:w="983" w:type="dxa"/>
            <w:gridSpan w:val="2"/>
            <w:vMerge w:val="continue"/>
            <w:noWrap w:val="0"/>
            <w:vAlign w:val="center"/>
          </w:tcPr>
          <w:p w14:paraId="64FC211B">
            <w:pPr>
              <w:keepLines/>
              <w:spacing w:line="300" w:lineRule="exact"/>
              <w:ind w:firstLine="0" w:firstLineChars="0"/>
              <w:jc w:val="center"/>
              <w:rPr>
                <w:rFonts w:ascii="Times New Roman" w:hAnsi="Times New Roman" w:eastAsia="宋体"/>
                <w:color w:val="auto"/>
                <w:kern w:val="0"/>
                <w:sz w:val="21"/>
                <w:szCs w:val="21"/>
              </w:rPr>
            </w:pPr>
          </w:p>
        </w:tc>
        <w:tc>
          <w:tcPr>
            <w:tcW w:w="817" w:type="dxa"/>
            <w:vMerge w:val="continue"/>
            <w:noWrap w:val="0"/>
            <w:vAlign w:val="center"/>
          </w:tcPr>
          <w:p w14:paraId="06E24721">
            <w:pPr>
              <w:keepLines/>
              <w:spacing w:line="300" w:lineRule="exact"/>
              <w:ind w:firstLine="0" w:firstLineChars="0"/>
              <w:jc w:val="center"/>
              <w:rPr>
                <w:rFonts w:ascii="Times New Roman" w:hAnsi="Times New Roman" w:eastAsia="宋体"/>
                <w:color w:val="auto"/>
                <w:kern w:val="0"/>
                <w:sz w:val="21"/>
                <w:szCs w:val="21"/>
              </w:rPr>
            </w:pPr>
          </w:p>
        </w:tc>
        <w:tc>
          <w:tcPr>
            <w:tcW w:w="5220" w:type="dxa"/>
            <w:vMerge w:val="continue"/>
            <w:noWrap w:val="0"/>
            <w:vAlign w:val="center"/>
          </w:tcPr>
          <w:p w14:paraId="721BBCA1">
            <w:pPr>
              <w:keepLines/>
              <w:spacing w:line="300" w:lineRule="exact"/>
              <w:ind w:firstLine="0" w:firstLineChars="0"/>
              <w:jc w:val="center"/>
              <w:rPr>
                <w:rFonts w:ascii="Times New Roman" w:hAnsi="Times New Roman" w:eastAsia="宋体"/>
                <w:color w:val="auto"/>
                <w:kern w:val="0"/>
                <w:sz w:val="21"/>
                <w:szCs w:val="21"/>
              </w:rPr>
            </w:pPr>
          </w:p>
        </w:tc>
      </w:tr>
      <w:tr w14:paraId="6ED9F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7F269F0F">
            <w:pPr>
              <w:keepLines/>
              <w:spacing w:line="300" w:lineRule="exact"/>
              <w:ind w:firstLine="0" w:firstLineChars="0"/>
              <w:jc w:val="left"/>
              <w:rPr>
                <w:rFonts w:ascii="Times New Roman" w:hAnsi="Times New Roman" w:eastAsia="宋体"/>
                <w:color w:val="auto"/>
                <w:kern w:val="0"/>
                <w:sz w:val="21"/>
                <w:szCs w:val="21"/>
              </w:rPr>
            </w:pPr>
          </w:p>
        </w:tc>
        <w:tc>
          <w:tcPr>
            <w:tcW w:w="6120" w:type="dxa"/>
            <w:noWrap w:val="0"/>
            <w:vAlign w:val="center"/>
          </w:tcPr>
          <w:p w14:paraId="3BB0F162">
            <w:pPr>
              <w:keepLines/>
              <w:spacing w:line="300" w:lineRule="exact"/>
              <w:ind w:firstLine="0" w:firstLineChars="0"/>
              <w:jc w:val="left"/>
              <w:rPr>
                <w:rFonts w:ascii="Times New Roman" w:hAnsi="Times New Roman" w:eastAsia="宋体"/>
                <w:color w:val="auto"/>
                <w:sz w:val="21"/>
                <w:szCs w:val="21"/>
              </w:rPr>
            </w:pPr>
            <w:r>
              <w:rPr>
                <w:rFonts w:ascii="Times New Roman" w:hAnsi="Times New Roman" w:eastAsia="宋体"/>
                <w:color w:val="auto"/>
                <w:kern w:val="0"/>
                <w:sz w:val="21"/>
                <w:szCs w:val="21"/>
              </w:rPr>
              <w:t>未配备相关工程技术人员，且未与专业机构签订了专业技术服务协议，扣3分</w:t>
            </w:r>
          </w:p>
        </w:tc>
        <w:tc>
          <w:tcPr>
            <w:tcW w:w="983" w:type="dxa"/>
            <w:gridSpan w:val="2"/>
            <w:vMerge w:val="continue"/>
            <w:noWrap w:val="0"/>
            <w:vAlign w:val="center"/>
          </w:tcPr>
          <w:p w14:paraId="57667B61">
            <w:pPr>
              <w:keepLines/>
              <w:spacing w:line="300" w:lineRule="exact"/>
              <w:ind w:firstLine="0" w:firstLineChars="0"/>
              <w:jc w:val="center"/>
              <w:rPr>
                <w:rFonts w:ascii="Times New Roman" w:hAnsi="Times New Roman" w:eastAsia="宋体"/>
                <w:color w:val="auto"/>
                <w:kern w:val="0"/>
                <w:sz w:val="21"/>
                <w:szCs w:val="21"/>
              </w:rPr>
            </w:pPr>
          </w:p>
        </w:tc>
        <w:tc>
          <w:tcPr>
            <w:tcW w:w="817" w:type="dxa"/>
            <w:vMerge w:val="continue"/>
            <w:noWrap w:val="0"/>
            <w:vAlign w:val="center"/>
          </w:tcPr>
          <w:p w14:paraId="0EDDBD70">
            <w:pPr>
              <w:keepLines/>
              <w:spacing w:line="300" w:lineRule="exact"/>
              <w:ind w:firstLine="0" w:firstLineChars="0"/>
              <w:jc w:val="center"/>
              <w:rPr>
                <w:rFonts w:ascii="Times New Roman" w:hAnsi="Times New Roman" w:eastAsia="宋体"/>
                <w:color w:val="auto"/>
                <w:kern w:val="0"/>
                <w:sz w:val="21"/>
                <w:szCs w:val="21"/>
              </w:rPr>
            </w:pPr>
          </w:p>
        </w:tc>
        <w:tc>
          <w:tcPr>
            <w:tcW w:w="5220" w:type="dxa"/>
            <w:vMerge w:val="continue"/>
            <w:noWrap w:val="0"/>
            <w:vAlign w:val="center"/>
          </w:tcPr>
          <w:p w14:paraId="61D7A018">
            <w:pPr>
              <w:keepLines/>
              <w:spacing w:line="300" w:lineRule="exact"/>
              <w:ind w:firstLine="0" w:firstLineChars="0"/>
              <w:jc w:val="center"/>
              <w:rPr>
                <w:rFonts w:ascii="Times New Roman" w:hAnsi="Times New Roman" w:eastAsia="宋体"/>
                <w:color w:val="auto"/>
                <w:kern w:val="0"/>
                <w:sz w:val="21"/>
                <w:szCs w:val="21"/>
              </w:rPr>
            </w:pPr>
          </w:p>
        </w:tc>
      </w:tr>
      <w:tr w14:paraId="4688D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restart"/>
            <w:noWrap w:val="0"/>
            <w:vAlign w:val="center"/>
          </w:tcPr>
          <w:p w14:paraId="6C6CC84A">
            <w:pPr>
              <w:spacing w:line="300" w:lineRule="exact"/>
              <w:ind w:firstLine="0" w:firstLineChars="0"/>
              <w:rPr>
                <w:rFonts w:ascii="Times New Roman" w:hAnsi="Times New Roman" w:eastAsia="宋体"/>
                <w:color w:val="auto"/>
                <w:kern w:val="0"/>
                <w:sz w:val="21"/>
                <w:szCs w:val="21"/>
              </w:rPr>
            </w:pPr>
            <w:r>
              <w:rPr>
                <w:rFonts w:ascii="Times New Roman" w:hAnsi="Times New Roman" w:eastAsia="宋体"/>
                <w:color w:val="auto"/>
                <w:kern w:val="0"/>
                <w:sz w:val="21"/>
                <w:szCs w:val="21"/>
              </w:rPr>
              <w:t>3.2 安全培训</w:t>
            </w:r>
          </w:p>
        </w:tc>
        <w:tc>
          <w:tcPr>
            <w:tcW w:w="6120" w:type="dxa"/>
            <w:noWrap w:val="0"/>
            <w:vAlign w:val="center"/>
          </w:tcPr>
          <w:p w14:paraId="5AD2790B">
            <w:pPr>
              <w:keepLines/>
              <w:spacing w:line="300" w:lineRule="exact"/>
              <w:ind w:firstLine="0" w:firstLineChars="0"/>
              <w:jc w:val="left"/>
              <w:rPr>
                <w:rFonts w:ascii="Times New Roman" w:hAnsi="Times New Roman" w:eastAsia="宋体"/>
                <w:bCs/>
                <w:color w:val="auto"/>
                <w:kern w:val="0"/>
                <w:sz w:val="21"/>
                <w:szCs w:val="21"/>
              </w:rPr>
            </w:pPr>
            <w:r>
              <w:rPr>
                <w:rFonts w:ascii="Times New Roman" w:hAnsi="Times New Roman" w:eastAsia="宋体"/>
                <w:bCs/>
                <w:color w:val="auto"/>
                <w:kern w:val="0"/>
                <w:sz w:val="21"/>
                <w:szCs w:val="21"/>
              </w:rPr>
              <w:t>主要负责人、安全管理人员、特种作业人员均持证上岗，从业人员培训达到规定课时，有年度安全生产和职业卫生培训计划，不扣分</w:t>
            </w:r>
          </w:p>
        </w:tc>
        <w:tc>
          <w:tcPr>
            <w:tcW w:w="983" w:type="dxa"/>
            <w:gridSpan w:val="2"/>
            <w:vMerge w:val="restart"/>
            <w:noWrap w:val="0"/>
            <w:vAlign w:val="center"/>
          </w:tcPr>
          <w:p w14:paraId="3FA7BC19">
            <w:pPr>
              <w:keepLines/>
              <w:spacing w:line="300" w:lineRule="exact"/>
              <w:ind w:firstLine="0" w:firstLineChars="0"/>
              <w:jc w:val="center"/>
              <w:rPr>
                <w:rFonts w:ascii="Times New Roman" w:hAnsi="Times New Roman" w:eastAsia="宋体"/>
                <w:color w:val="auto"/>
                <w:kern w:val="0"/>
                <w:sz w:val="21"/>
                <w:szCs w:val="21"/>
              </w:rPr>
            </w:pPr>
            <w:r>
              <w:rPr>
                <w:rFonts w:ascii="Times New Roman" w:hAnsi="Times New Roman" w:eastAsia="宋体"/>
                <w:color w:val="auto"/>
                <w:kern w:val="0"/>
                <w:sz w:val="21"/>
                <w:szCs w:val="21"/>
              </w:rPr>
              <w:t>3</w:t>
            </w:r>
          </w:p>
        </w:tc>
        <w:tc>
          <w:tcPr>
            <w:tcW w:w="817" w:type="dxa"/>
            <w:vMerge w:val="restart"/>
            <w:noWrap w:val="0"/>
            <w:vAlign w:val="center"/>
          </w:tcPr>
          <w:p w14:paraId="37BFB2C6">
            <w:pPr>
              <w:keepLines/>
              <w:spacing w:line="300" w:lineRule="exact"/>
              <w:ind w:firstLine="0" w:firstLineChars="0"/>
              <w:jc w:val="center"/>
              <w:rPr>
                <w:rFonts w:hint="eastAsia" w:ascii="Times New Roman" w:hAnsi="Times New Roman" w:eastAsia="宋体"/>
                <w:color w:val="auto"/>
                <w:kern w:val="0"/>
                <w:sz w:val="21"/>
                <w:szCs w:val="21"/>
              </w:rPr>
            </w:pPr>
            <w:r>
              <w:rPr>
                <w:rFonts w:hint="eastAsia" w:ascii="Times New Roman" w:hAnsi="Times New Roman" w:eastAsia="宋体"/>
                <w:color w:val="auto"/>
                <w:kern w:val="0"/>
                <w:sz w:val="21"/>
                <w:szCs w:val="21"/>
              </w:rPr>
              <w:t>3</w:t>
            </w:r>
          </w:p>
        </w:tc>
        <w:tc>
          <w:tcPr>
            <w:tcW w:w="5220" w:type="dxa"/>
            <w:vMerge w:val="restart"/>
            <w:noWrap w:val="0"/>
            <w:vAlign w:val="center"/>
          </w:tcPr>
          <w:p w14:paraId="7214BAE6">
            <w:pPr>
              <w:keepLines/>
              <w:spacing w:line="300" w:lineRule="exact"/>
              <w:ind w:firstLine="0" w:firstLineChars="0"/>
              <w:jc w:val="center"/>
              <w:rPr>
                <w:rFonts w:ascii="Times New Roman" w:hAnsi="Times New Roman" w:eastAsia="宋体"/>
                <w:color w:val="auto"/>
                <w:kern w:val="0"/>
                <w:sz w:val="21"/>
                <w:szCs w:val="21"/>
              </w:rPr>
            </w:pPr>
          </w:p>
        </w:tc>
      </w:tr>
      <w:tr w14:paraId="57CB6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56167FA9">
            <w:pPr>
              <w:keepLines/>
              <w:spacing w:line="300" w:lineRule="exact"/>
              <w:ind w:firstLine="0" w:firstLineChars="0"/>
              <w:jc w:val="left"/>
              <w:rPr>
                <w:rFonts w:ascii="Times New Roman" w:hAnsi="Times New Roman" w:eastAsia="宋体"/>
                <w:color w:val="auto"/>
                <w:kern w:val="0"/>
                <w:sz w:val="21"/>
                <w:szCs w:val="21"/>
              </w:rPr>
            </w:pPr>
          </w:p>
        </w:tc>
        <w:tc>
          <w:tcPr>
            <w:tcW w:w="6120" w:type="dxa"/>
            <w:noWrap w:val="0"/>
            <w:vAlign w:val="center"/>
          </w:tcPr>
          <w:p w14:paraId="3F6176DA">
            <w:pPr>
              <w:keepLines/>
              <w:spacing w:line="300" w:lineRule="exact"/>
              <w:ind w:firstLine="0" w:firstLineChars="0"/>
              <w:jc w:val="left"/>
              <w:rPr>
                <w:rFonts w:ascii="Times New Roman" w:hAnsi="Times New Roman" w:eastAsia="宋体"/>
                <w:bCs/>
                <w:color w:val="auto"/>
                <w:kern w:val="0"/>
                <w:sz w:val="21"/>
                <w:szCs w:val="21"/>
              </w:rPr>
            </w:pPr>
            <w:r>
              <w:rPr>
                <w:rFonts w:ascii="Times New Roman" w:hAnsi="Times New Roman" w:eastAsia="宋体"/>
                <w:bCs/>
                <w:color w:val="auto"/>
                <w:kern w:val="0"/>
                <w:sz w:val="21"/>
                <w:szCs w:val="21"/>
              </w:rPr>
              <w:t>主要负责人、安全管理人员自任职之日起6个月内未经安全监管部门对其安全生产、职业卫生知识和管理能力考核合格，扣1分</w:t>
            </w:r>
          </w:p>
        </w:tc>
        <w:tc>
          <w:tcPr>
            <w:tcW w:w="983" w:type="dxa"/>
            <w:gridSpan w:val="2"/>
            <w:vMerge w:val="continue"/>
            <w:noWrap w:val="0"/>
            <w:vAlign w:val="center"/>
          </w:tcPr>
          <w:p w14:paraId="081CC14C">
            <w:pPr>
              <w:keepLines/>
              <w:spacing w:line="300" w:lineRule="exact"/>
              <w:ind w:firstLine="0" w:firstLineChars="0"/>
              <w:jc w:val="center"/>
              <w:rPr>
                <w:rFonts w:ascii="Times New Roman" w:hAnsi="Times New Roman" w:eastAsia="宋体"/>
                <w:color w:val="auto"/>
                <w:kern w:val="0"/>
                <w:sz w:val="21"/>
                <w:szCs w:val="21"/>
              </w:rPr>
            </w:pPr>
          </w:p>
        </w:tc>
        <w:tc>
          <w:tcPr>
            <w:tcW w:w="817" w:type="dxa"/>
            <w:vMerge w:val="continue"/>
            <w:noWrap w:val="0"/>
            <w:vAlign w:val="center"/>
          </w:tcPr>
          <w:p w14:paraId="4746A9D3">
            <w:pPr>
              <w:keepLines/>
              <w:spacing w:line="300" w:lineRule="exact"/>
              <w:ind w:firstLine="0" w:firstLineChars="0"/>
              <w:jc w:val="center"/>
              <w:rPr>
                <w:rFonts w:ascii="Times New Roman" w:hAnsi="Times New Roman" w:eastAsia="宋体"/>
                <w:color w:val="auto"/>
                <w:kern w:val="0"/>
                <w:sz w:val="21"/>
                <w:szCs w:val="21"/>
              </w:rPr>
            </w:pPr>
          </w:p>
        </w:tc>
        <w:tc>
          <w:tcPr>
            <w:tcW w:w="5220" w:type="dxa"/>
            <w:vMerge w:val="continue"/>
            <w:noWrap w:val="0"/>
            <w:vAlign w:val="center"/>
          </w:tcPr>
          <w:p w14:paraId="67979EDD">
            <w:pPr>
              <w:keepLines/>
              <w:spacing w:line="300" w:lineRule="exact"/>
              <w:ind w:firstLine="0" w:firstLineChars="0"/>
              <w:jc w:val="center"/>
              <w:rPr>
                <w:rFonts w:ascii="Times New Roman" w:hAnsi="Times New Roman" w:eastAsia="宋体"/>
                <w:color w:val="auto"/>
                <w:kern w:val="0"/>
                <w:sz w:val="21"/>
                <w:szCs w:val="21"/>
              </w:rPr>
            </w:pPr>
          </w:p>
        </w:tc>
      </w:tr>
      <w:tr w14:paraId="37119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2D66D725">
            <w:pPr>
              <w:keepLines/>
              <w:spacing w:line="300" w:lineRule="exact"/>
              <w:ind w:firstLine="0" w:firstLineChars="0"/>
              <w:jc w:val="left"/>
              <w:rPr>
                <w:rFonts w:ascii="Times New Roman" w:hAnsi="Times New Roman" w:eastAsia="宋体"/>
                <w:color w:val="auto"/>
                <w:kern w:val="0"/>
                <w:sz w:val="21"/>
                <w:szCs w:val="21"/>
              </w:rPr>
            </w:pPr>
          </w:p>
        </w:tc>
        <w:tc>
          <w:tcPr>
            <w:tcW w:w="6120" w:type="dxa"/>
            <w:noWrap w:val="0"/>
            <w:vAlign w:val="center"/>
          </w:tcPr>
          <w:p w14:paraId="27B2D69B">
            <w:pPr>
              <w:keepLines/>
              <w:spacing w:line="300" w:lineRule="exact"/>
              <w:ind w:firstLine="0" w:firstLineChars="0"/>
              <w:jc w:val="left"/>
              <w:rPr>
                <w:rFonts w:ascii="Times New Roman" w:hAnsi="Times New Roman" w:eastAsia="宋体"/>
                <w:bCs/>
                <w:color w:val="auto"/>
                <w:kern w:val="0"/>
                <w:sz w:val="21"/>
                <w:szCs w:val="21"/>
              </w:rPr>
            </w:pPr>
            <w:r>
              <w:rPr>
                <w:rFonts w:ascii="Times New Roman" w:hAnsi="Times New Roman" w:eastAsia="宋体"/>
                <w:bCs/>
                <w:color w:val="auto"/>
                <w:kern w:val="0"/>
                <w:sz w:val="21"/>
                <w:szCs w:val="21"/>
              </w:rPr>
              <w:t>未制定安全生产和职业卫生培训计划，扣1分</w:t>
            </w:r>
          </w:p>
        </w:tc>
        <w:tc>
          <w:tcPr>
            <w:tcW w:w="983" w:type="dxa"/>
            <w:gridSpan w:val="2"/>
            <w:vMerge w:val="continue"/>
            <w:noWrap w:val="0"/>
            <w:vAlign w:val="center"/>
          </w:tcPr>
          <w:p w14:paraId="3B70645C">
            <w:pPr>
              <w:keepLines/>
              <w:spacing w:line="300" w:lineRule="exact"/>
              <w:ind w:firstLine="0" w:firstLineChars="0"/>
              <w:jc w:val="center"/>
              <w:rPr>
                <w:rFonts w:ascii="Times New Roman" w:hAnsi="Times New Roman" w:eastAsia="宋体"/>
                <w:color w:val="auto"/>
                <w:kern w:val="0"/>
                <w:sz w:val="21"/>
                <w:szCs w:val="21"/>
              </w:rPr>
            </w:pPr>
          </w:p>
        </w:tc>
        <w:tc>
          <w:tcPr>
            <w:tcW w:w="817" w:type="dxa"/>
            <w:vMerge w:val="continue"/>
            <w:noWrap w:val="0"/>
            <w:vAlign w:val="center"/>
          </w:tcPr>
          <w:p w14:paraId="5ED1AF80">
            <w:pPr>
              <w:keepLines/>
              <w:spacing w:line="300" w:lineRule="exact"/>
              <w:ind w:firstLine="0" w:firstLineChars="0"/>
              <w:jc w:val="center"/>
              <w:rPr>
                <w:rFonts w:ascii="Times New Roman" w:hAnsi="Times New Roman" w:eastAsia="宋体"/>
                <w:color w:val="auto"/>
                <w:kern w:val="0"/>
                <w:sz w:val="21"/>
                <w:szCs w:val="21"/>
              </w:rPr>
            </w:pPr>
          </w:p>
        </w:tc>
        <w:tc>
          <w:tcPr>
            <w:tcW w:w="5220" w:type="dxa"/>
            <w:vMerge w:val="continue"/>
            <w:noWrap w:val="0"/>
            <w:vAlign w:val="center"/>
          </w:tcPr>
          <w:p w14:paraId="4A9809F2">
            <w:pPr>
              <w:keepLines/>
              <w:spacing w:line="300" w:lineRule="exact"/>
              <w:ind w:firstLine="0" w:firstLineChars="0"/>
              <w:jc w:val="center"/>
              <w:rPr>
                <w:rFonts w:ascii="Times New Roman" w:hAnsi="Times New Roman" w:eastAsia="宋体"/>
                <w:color w:val="auto"/>
                <w:kern w:val="0"/>
                <w:sz w:val="21"/>
                <w:szCs w:val="21"/>
              </w:rPr>
            </w:pPr>
          </w:p>
        </w:tc>
      </w:tr>
      <w:tr w14:paraId="4BF3D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201982DA">
            <w:pPr>
              <w:keepLines/>
              <w:spacing w:line="300" w:lineRule="exact"/>
              <w:ind w:firstLine="0" w:firstLineChars="0"/>
              <w:jc w:val="left"/>
              <w:rPr>
                <w:rFonts w:ascii="Times New Roman" w:hAnsi="Times New Roman" w:eastAsia="宋体"/>
                <w:color w:val="auto"/>
                <w:kern w:val="0"/>
                <w:sz w:val="21"/>
                <w:szCs w:val="21"/>
              </w:rPr>
            </w:pPr>
          </w:p>
        </w:tc>
        <w:tc>
          <w:tcPr>
            <w:tcW w:w="6120" w:type="dxa"/>
            <w:noWrap w:val="0"/>
            <w:vAlign w:val="center"/>
          </w:tcPr>
          <w:p w14:paraId="309990DD">
            <w:pPr>
              <w:keepLines/>
              <w:spacing w:line="300" w:lineRule="exact"/>
              <w:ind w:firstLine="0" w:firstLineChars="0"/>
              <w:jc w:val="left"/>
              <w:rPr>
                <w:rFonts w:ascii="Times New Roman" w:hAnsi="Times New Roman" w:eastAsia="宋体"/>
                <w:bCs/>
                <w:color w:val="auto"/>
                <w:kern w:val="0"/>
                <w:sz w:val="21"/>
                <w:szCs w:val="21"/>
              </w:rPr>
            </w:pPr>
            <w:r>
              <w:rPr>
                <w:rFonts w:ascii="Times New Roman" w:hAnsi="Times New Roman" w:eastAsia="宋体"/>
                <w:bCs/>
                <w:color w:val="auto"/>
                <w:kern w:val="0"/>
                <w:sz w:val="21"/>
                <w:szCs w:val="21"/>
              </w:rPr>
              <w:t>从业人员未经安全培训或安全培训未达到规定学时（新上岗72学时，今后每年20学时，含职业卫生），每发现1人，扣0.5分</w:t>
            </w:r>
            <w:r>
              <w:rPr>
                <w:rFonts w:ascii="Times New Roman" w:hAnsi="Times New Roman" w:eastAsia="宋体"/>
                <w:bCs/>
                <w:color w:val="auto"/>
                <w:sz w:val="21"/>
                <w:szCs w:val="21"/>
              </w:rPr>
              <w:t>，扣完为止</w:t>
            </w:r>
          </w:p>
        </w:tc>
        <w:tc>
          <w:tcPr>
            <w:tcW w:w="983" w:type="dxa"/>
            <w:gridSpan w:val="2"/>
            <w:vMerge w:val="continue"/>
            <w:noWrap w:val="0"/>
            <w:vAlign w:val="center"/>
          </w:tcPr>
          <w:p w14:paraId="07AFAE75">
            <w:pPr>
              <w:keepLines/>
              <w:spacing w:line="300" w:lineRule="exact"/>
              <w:ind w:firstLine="0" w:firstLineChars="0"/>
              <w:jc w:val="center"/>
              <w:rPr>
                <w:rFonts w:ascii="Times New Roman" w:hAnsi="Times New Roman" w:eastAsia="宋体"/>
                <w:color w:val="auto"/>
                <w:kern w:val="0"/>
                <w:sz w:val="21"/>
                <w:szCs w:val="21"/>
              </w:rPr>
            </w:pPr>
          </w:p>
        </w:tc>
        <w:tc>
          <w:tcPr>
            <w:tcW w:w="817" w:type="dxa"/>
            <w:vMerge w:val="continue"/>
            <w:noWrap w:val="0"/>
            <w:vAlign w:val="center"/>
          </w:tcPr>
          <w:p w14:paraId="2C104656">
            <w:pPr>
              <w:keepLines/>
              <w:spacing w:line="300" w:lineRule="exact"/>
              <w:ind w:firstLine="0" w:firstLineChars="0"/>
              <w:jc w:val="center"/>
              <w:rPr>
                <w:rFonts w:ascii="Times New Roman" w:hAnsi="Times New Roman" w:eastAsia="宋体"/>
                <w:color w:val="auto"/>
                <w:kern w:val="0"/>
                <w:sz w:val="21"/>
                <w:szCs w:val="21"/>
              </w:rPr>
            </w:pPr>
          </w:p>
        </w:tc>
        <w:tc>
          <w:tcPr>
            <w:tcW w:w="5220" w:type="dxa"/>
            <w:vMerge w:val="continue"/>
            <w:noWrap w:val="0"/>
            <w:vAlign w:val="center"/>
          </w:tcPr>
          <w:p w14:paraId="553C1C80">
            <w:pPr>
              <w:keepLines/>
              <w:spacing w:line="300" w:lineRule="exact"/>
              <w:ind w:firstLine="0" w:firstLineChars="0"/>
              <w:jc w:val="center"/>
              <w:rPr>
                <w:rFonts w:ascii="Times New Roman" w:hAnsi="Times New Roman" w:eastAsia="宋体"/>
                <w:color w:val="auto"/>
                <w:kern w:val="0"/>
                <w:sz w:val="21"/>
                <w:szCs w:val="21"/>
              </w:rPr>
            </w:pPr>
          </w:p>
        </w:tc>
      </w:tr>
      <w:tr w14:paraId="700AA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5A9D57A0">
            <w:pPr>
              <w:keepLines/>
              <w:spacing w:line="300" w:lineRule="exact"/>
              <w:ind w:firstLine="0" w:firstLineChars="0"/>
              <w:jc w:val="left"/>
              <w:rPr>
                <w:rFonts w:ascii="Times New Roman" w:hAnsi="Times New Roman" w:eastAsia="宋体"/>
                <w:color w:val="auto"/>
                <w:kern w:val="0"/>
                <w:sz w:val="21"/>
                <w:szCs w:val="21"/>
              </w:rPr>
            </w:pPr>
          </w:p>
        </w:tc>
        <w:tc>
          <w:tcPr>
            <w:tcW w:w="6120" w:type="dxa"/>
            <w:noWrap w:val="0"/>
            <w:vAlign w:val="center"/>
          </w:tcPr>
          <w:p w14:paraId="54FF06BD">
            <w:pPr>
              <w:keepLines/>
              <w:spacing w:line="300" w:lineRule="exact"/>
              <w:ind w:firstLine="0" w:firstLineChars="0"/>
              <w:jc w:val="left"/>
              <w:rPr>
                <w:rFonts w:ascii="Times New Roman" w:hAnsi="Times New Roman" w:eastAsia="宋体"/>
                <w:bCs/>
                <w:color w:val="auto"/>
                <w:kern w:val="0"/>
                <w:sz w:val="21"/>
                <w:szCs w:val="21"/>
              </w:rPr>
            </w:pPr>
            <w:r>
              <w:rPr>
                <w:rFonts w:ascii="Times New Roman" w:hAnsi="Times New Roman" w:eastAsia="宋体"/>
                <w:bCs/>
                <w:color w:val="auto"/>
                <w:sz w:val="21"/>
                <w:szCs w:val="21"/>
              </w:rPr>
              <w:t>特种作业人员无上岗资格证或未按期进行复审的，每发现1人，扣1分，扣完为止</w:t>
            </w:r>
          </w:p>
        </w:tc>
        <w:tc>
          <w:tcPr>
            <w:tcW w:w="983" w:type="dxa"/>
            <w:gridSpan w:val="2"/>
            <w:noWrap w:val="0"/>
            <w:vAlign w:val="center"/>
          </w:tcPr>
          <w:p w14:paraId="3D00397E">
            <w:pPr>
              <w:keepLines/>
              <w:spacing w:line="300" w:lineRule="exact"/>
              <w:ind w:firstLine="0" w:firstLineChars="0"/>
              <w:jc w:val="center"/>
              <w:rPr>
                <w:rFonts w:ascii="Times New Roman" w:hAnsi="Times New Roman" w:eastAsia="宋体"/>
                <w:color w:val="auto"/>
                <w:kern w:val="0"/>
                <w:sz w:val="21"/>
                <w:szCs w:val="21"/>
              </w:rPr>
            </w:pPr>
          </w:p>
        </w:tc>
        <w:tc>
          <w:tcPr>
            <w:tcW w:w="817" w:type="dxa"/>
            <w:vMerge w:val="continue"/>
            <w:noWrap w:val="0"/>
            <w:vAlign w:val="center"/>
          </w:tcPr>
          <w:p w14:paraId="616DB744">
            <w:pPr>
              <w:keepLines/>
              <w:spacing w:line="300" w:lineRule="exact"/>
              <w:ind w:firstLine="0" w:firstLineChars="0"/>
              <w:jc w:val="center"/>
              <w:rPr>
                <w:rFonts w:ascii="Times New Roman" w:hAnsi="Times New Roman" w:eastAsia="宋体"/>
                <w:color w:val="auto"/>
                <w:kern w:val="0"/>
                <w:sz w:val="21"/>
                <w:szCs w:val="21"/>
              </w:rPr>
            </w:pPr>
          </w:p>
        </w:tc>
        <w:tc>
          <w:tcPr>
            <w:tcW w:w="5220" w:type="dxa"/>
            <w:vMerge w:val="continue"/>
            <w:noWrap w:val="0"/>
            <w:vAlign w:val="center"/>
          </w:tcPr>
          <w:p w14:paraId="478A1920">
            <w:pPr>
              <w:keepLines/>
              <w:spacing w:line="300" w:lineRule="exact"/>
              <w:ind w:firstLine="0" w:firstLineChars="0"/>
              <w:jc w:val="center"/>
              <w:rPr>
                <w:rFonts w:ascii="Times New Roman" w:hAnsi="Times New Roman" w:eastAsia="宋体"/>
                <w:color w:val="auto"/>
                <w:kern w:val="0"/>
                <w:sz w:val="21"/>
                <w:szCs w:val="21"/>
              </w:rPr>
            </w:pPr>
          </w:p>
        </w:tc>
      </w:tr>
      <w:tr w14:paraId="2398B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noWrap w:val="0"/>
            <w:vAlign w:val="center"/>
          </w:tcPr>
          <w:p w14:paraId="7B2ACD91">
            <w:pPr>
              <w:keepLines/>
              <w:spacing w:line="300" w:lineRule="exact"/>
              <w:ind w:firstLine="0" w:firstLineChars="0"/>
              <w:jc w:val="left"/>
              <w:rPr>
                <w:rFonts w:ascii="Times New Roman" w:hAnsi="Times New Roman" w:eastAsia="宋体"/>
                <w:color w:val="auto"/>
                <w:kern w:val="0"/>
                <w:sz w:val="21"/>
                <w:szCs w:val="21"/>
              </w:rPr>
            </w:pPr>
            <w:r>
              <w:rPr>
                <w:rFonts w:ascii="Times New Roman" w:hAnsi="Times New Roman" w:eastAsia="宋体"/>
                <w:color w:val="auto"/>
                <w:kern w:val="0"/>
                <w:sz w:val="21"/>
                <w:szCs w:val="21"/>
              </w:rPr>
              <w:t>四、设备设施</w:t>
            </w:r>
          </w:p>
        </w:tc>
        <w:tc>
          <w:tcPr>
            <w:tcW w:w="6120" w:type="dxa"/>
            <w:noWrap w:val="0"/>
            <w:vAlign w:val="center"/>
          </w:tcPr>
          <w:p w14:paraId="55B2DB1C">
            <w:pPr>
              <w:keepLines/>
              <w:spacing w:line="300" w:lineRule="exact"/>
              <w:ind w:firstLine="0" w:firstLineChars="0"/>
              <w:jc w:val="left"/>
              <w:rPr>
                <w:rFonts w:ascii="Times New Roman" w:hAnsi="Times New Roman" w:eastAsia="宋体"/>
                <w:bCs/>
                <w:color w:val="auto"/>
                <w:kern w:val="0"/>
                <w:sz w:val="21"/>
                <w:szCs w:val="21"/>
              </w:rPr>
            </w:pPr>
          </w:p>
        </w:tc>
        <w:tc>
          <w:tcPr>
            <w:tcW w:w="983" w:type="dxa"/>
            <w:gridSpan w:val="2"/>
            <w:noWrap w:val="0"/>
            <w:vAlign w:val="center"/>
          </w:tcPr>
          <w:p w14:paraId="7785C3DD">
            <w:pPr>
              <w:keepLines/>
              <w:spacing w:line="300" w:lineRule="exact"/>
              <w:ind w:firstLine="0" w:firstLineChars="0"/>
              <w:jc w:val="center"/>
              <w:rPr>
                <w:rFonts w:ascii="Times New Roman" w:hAnsi="Times New Roman" w:eastAsia="宋体"/>
                <w:color w:val="auto"/>
                <w:kern w:val="0"/>
                <w:sz w:val="21"/>
                <w:szCs w:val="21"/>
              </w:rPr>
            </w:pPr>
            <w:r>
              <w:rPr>
                <w:rFonts w:ascii="Times New Roman" w:hAnsi="Times New Roman" w:eastAsia="宋体"/>
                <w:color w:val="auto"/>
                <w:kern w:val="0"/>
                <w:sz w:val="21"/>
                <w:szCs w:val="21"/>
              </w:rPr>
              <w:t>32</w:t>
            </w:r>
          </w:p>
        </w:tc>
        <w:tc>
          <w:tcPr>
            <w:tcW w:w="817" w:type="dxa"/>
            <w:noWrap w:val="0"/>
            <w:vAlign w:val="center"/>
          </w:tcPr>
          <w:p w14:paraId="61B15EA3">
            <w:pPr>
              <w:keepLines/>
              <w:spacing w:line="300" w:lineRule="exact"/>
              <w:ind w:firstLine="0" w:firstLineChars="0"/>
              <w:jc w:val="center"/>
              <w:rPr>
                <w:rFonts w:ascii="Times New Roman" w:hAnsi="Times New Roman" w:eastAsia="宋体"/>
                <w:bCs/>
                <w:color w:val="auto"/>
                <w:kern w:val="0"/>
                <w:sz w:val="21"/>
                <w:szCs w:val="21"/>
              </w:rPr>
            </w:pPr>
          </w:p>
        </w:tc>
        <w:tc>
          <w:tcPr>
            <w:tcW w:w="5220" w:type="dxa"/>
            <w:noWrap w:val="0"/>
            <w:vAlign w:val="center"/>
          </w:tcPr>
          <w:p w14:paraId="2513F93F">
            <w:pPr>
              <w:keepLines/>
              <w:spacing w:line="300" w:lineRule="exact"/>
              <w:ind w:firstLine="0" w:firstLineChars="0"/>
              <w:jc w:val="center"/>
              <w:rPr>
                <w:rFonts w:ascii="Times New Roman" w:hAnsi="Times New Roman" w:eastAsia="宋体"/>
                <w:color w:val="auto"/>
                <w:sz w:val="21"/>
                <w:szCs w:val="21"/>
              </w:rPr>
            </w:pPr>
          </w:p>
        </w:tc>
      </w:tr>
      <w:tr w14:paraId="7B9D3F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restart"/>
            <w:noWrap w:val="0"/>
            <w:vAlign w:val="center"/>
          </w:tcPr>
          <w:p w14:paraId="0EE5534F">
            <w:pPr>
              <w:spacing w:line="300" w:lineRule="exact"/>
              <w:ind w:firstLine="0" w:firstLineChars="0"/>
              <w:rPr>
                <w:rFonts w:ascii="Times New Roman" w:hAnsi="Times New Roman" w:eastAsia="宋体"/>
                <w:color w:val="auto"/>
                <w:sz w:val="21"/>
                <w:szCs w:val="21"/>
              </w:rPr>
            </w:pPr>
            <w:r>
              <w:rPr>
                <w:rFonts w:ascii="Times New Roman" w:hAnsi="Times New Roman" w:eastAsia="宋体"/>
                <w:color w:val="auto"/>
                <w:sz w:val="21"/>
                <w:szCs w:val="21"/>
              </w:rPr>
              <w:t>4.1坝面设施</w:t>
            </w:r>
          </w:p>
        </w:tc>
        <w:tc>
          <w:tcPr>
            <w:tcW w:w="6120" w:type="dxa"/>
            <w:noWrap w:val="0"/>
            <w:vAlign w:val="center"/>
          </w:tcPr>
          <w:p w14:paraId="51F88739">
            <w:pPr>
              <w:keepLines/>
              <w:spacing w:line="300" w:lineRule="exact"/>
              <w:ind w:firstLine="0" w:firstLineChars="0"/>
              <w:jc w:val="left"/>
              <w:rPr>
                <w:rFonts w:ascii="Times New Roman" w:hAnsi="Times New Roman" w:eastAsia="宋体"/>
                <w:bCs/>
                <w:color w:val="auto"/>
                <w:kern w:val="0"/>
                <w:sz w:val="21"/>
                <w:szCs w:val="21"/>
              </w:rPr>
            </w:pPr>
            <w:r>
              <w:rPr>
                <w:rFonts w:ascii="Times New Roman" w:hAnsi="Times New Roman" w:eastAsia="宋体"/>
                <w:color w:val="auto"/>
                <w:kern w:val="0"/>
                <w:sz w:val="21"/>
                <w:szCs w:val="21"/>
              </w:rPr>
              <w:t>坝体的坝面设施是否符合设计要求，符合不扣分；是否存在拉沟、滑坡现象，是否有灌木，发现一处扣1分，扣完为止</w:t>
            </w:r>
          </w:p>
        </w:tc>
        <w:tc>
          <w:tcPr>
            <w:tcW w:w="983" w:type="dxa"/>
            <w:gridSpan w:val="2"/>
            <w:vMerge w:val="restart"/>
            <w:noWrap w:val="0"/>
            <w:vAlign w:val="center"/>
          </w:tcPr>
          <w:p w14:paraId="16DC60FB">
            <w:pPr>
              <w:keepLines/>
              <w:spacing w:line="300" w:lineRule="exact"/>
              <w:ind w:firstLine="0" w:firstLineChars="0"/>
              <w:jc w:val="center"/>
              <w:rPr>
                <w:rFonts w:ascii="Times New Roman" w:hAnsi="Times New Roman" w:eastAsia="宋体"/>
                <w:color w:val="auto"/>
                <w:kern w:val="0"/>
                <w:sz w:val="21"/>
                <w:szCs w:val="21"/>
              </w:rPr>
            </w:pPr>
            <w:r>
              <w:rPr>
                <w:rFonts w:ascii="Times New Roman" w:hAnsi="Times New Roman" w:eastAsia="宋体"/>
                <w:color w:val="auto"/>
                <w:kern w:val="0"/>
                <w:sz w:val="21"/>
                <w:szCs w:val="21"/>
              </w:rPr>
              <w:t>3</w:t>
            </w:r>
          </w:p>
        </w:tc>
        <w:tc>
          <w:tcPr>
            <w:tcW w:w="817" w:type="dxa"/>
            <w:vMerge w:val="restart"/>
            <w:noWrap w:val="0"/>
            <w:vAlign w:val="center"/>
          </w:tcPr>
          <w:p w14:paraId="57A45B8E">
            <w:pPr>
              <w:keepLines/>
              <w:spacing w:line="300" w:lineRule="exact"/>
              <w:ind w:firstLine="0" w:firstLineChars="0"/>
              <w:jc w:val="center"/>
              <w:rPr>
                <w:rFonts w:hint="eastAsia" w:ascii="Times New Roman" w:hAnsi="Times New Roman" w:eastAsia="宋体"/>
                <w:bCs/>
                <w:color w:val="auto"/>
                <w:kern w:val="0"/>
                <w:sz w:val="21"/>
                <w:szCs w:val="21"/>
              </w:rPr>
            </w:pPr>
            <w:r>
              <w:rPr>
                <w:rFonts w:hint="eastAsia" w:ascii="Times New Roman" w:hAnsi="Times New Roman" w:eastAsia="宋体"/>
                <w:bCs/>
                <w:color w:val="auto"/>
                <w:kern w:val="0"/>
                <w:sz w:val="21"/>
                <w:szCs w:val="21"/>
              </w:rPr>
              <w:t>3</w:t>
            </w:r>
          </w:p>
        </w:tc>
        <w:tc>
          <w:tcPr>
            <w:tcW w:w="5220" w:type="dxa"/>
            <w:vMerge w:val="restart"/>
            <w:noWrap w:val="0"/>
            <w:vAlign w:val="center"/>
          </w:tcPr>
          <w:p w14:paraId="05CEB826">
            <w:pPr>
              <w:keepLines/>
              <w:spacing w:line="300" w:lineRule="exact"/>
              <w:ind w:firstLine="0" w:firstLineChars="0"/>
              <w:jc w:val="center"/>
              <w:rPr>
                <w:rFonts w:ascii="Times New Roman" w:hAnsi="Times New Roman" w:eastAsia="宋体"/>
                <w:color w:val="auto"/>
                <w:sz w:val="21"/>
                <w:szCs w:val="21"/>
              </w:rPr>
            </w:pPr>
          </w:p>
        </w:tc>
      </w:tr>
      <w:tr w14:paraId="5921F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46807BCD">
            <w:pPr>
              <w:spacing w:line="300" w:lineRule="exact"/>
              <w:ind w:firstLine="0" w:firstLineChars="0"/>
              <w:rPr>
                <w:rFonts w:ascii="Times New Roman" w:hAnsi="Times New Roman" w:eastAsia="宋体"/>
                <w:color w:val="auto"/>
                <w:sz w:val="21"/>
                <w:szCs w:val="21"/>
              </w:rPr>
            </w:pPr>
          </w:p>
        </w:tc>
        <w:tc>
          <w:tcPr>
            <w:tcW w:w="6120" w:type="dxa"/>
            <w:noWrap w:val="0"/>
            <w:vAlign w:val="center"/>
          </w:tcPr>
          <w:p w14:paraId="62554914">
            <w:pPr>
              <w:keepLines/>
              <w:spacing w:line="300" w:lineRule="exact"/>
              <w:ind w:firstLine="0" w:firstLineChars="0"/>
              <w:jc w:val="left"/>
              <w:rPr>
                <w:rFonts w:ascii="Times New Roman" w:hAnsi="Times New Roman" w:eastAsia="宋体"/>
                <w:bCs/>
                <w:color w:val="auto"/>
                <w:kern w:val="0"/>
                <w:sz w:val="21"/>
                <w:szCs w:val="21"/>
              </w:rPr>
            </w:pPr>
            <w:r>
              <w:rPr>
                <w:rFonts w:ascii="Times New Roman" w:hAnsi="Times New Roman" w:eastAsia="宋体"/>
                <w:color w:val="auto"/>
                <w:kern w:val="0"/>
                <w:sz w:val="21"/>
                <w:szCs w:val="21"/>
              </w:rPr>
              <w:t>坝体的坝面设施是否符合设计要求，不符合扣3分</w:t>
            </w:r>
          </w:p>
        </w:tc>
        <w:tc>
          <w:tcPr>
            <w:tcW w:w="983" w:type="dxa"/>
            <w:gridSpan w:val="2"/>
            <w:vMerge w:val="continue"/>
            <w:noWrap w:val="0"/>
            <w:vAlign w:val="center"/>
          </w:tcPr>
          <w:p w14:paraId="65A75D8C">
            <w:pPr>
              <w:keepLines/>
              <w:spacing w:line="300" w:lineRule="exact"/>
              <w:ind w:firstLine="0" w:firstLineChars="0"/>
              <w:jc w:val="center"/>
              <w:rPr>
                <w:rFonts w:ascii="Times New Roman" w:hAnsi="Times New Roman" w:eastAsia="宋体"/>
                <w:color w:val="auto"/>
                <w:kern w:val="0"/>
                <w:sz w:val="21"/>
                <w:szCs w:val="21"/>
              </w:rPr>
            </w:pPr>
          </w:p>
        </w:tc>
        <w:tc>
          <w:tcPr>
            <w:tcW w:w="817" w:type="dxa"/>
            <w:vMerge w:val="continue"/>
            <w:noWrap w:val="0"/>
            <w:vAlign w:val="center"/>
          </w:tcPr>
          <w:p w14:paraId="1775C807">
            <w:pPr>
              <w:keepLines/>
              <w:spacing w:line="300" w:lineRule="exact"/>
              <w:ind w:firstLine="0" w:firstLineChars="0"/>
              <w:jc w:val="center"/>
              <w:rPr>
                <w:rFonts w:ascii="Times New Roman" w:hAnsi="Times New Roman" w:eastAsia="宋体"/>
                <w:bCs/>
                <w:color w:val="auto"/>
                <w:kern w:val="0"/>
                <w:sz w:val="21"/>
                <w:szCs w:val="21"/>
              </w:rPr>
            </w:pPr>
          </w:p>
        </w:tc>
        <w:tc>
          <w:tcPr>
            <w:tcW w:w="5220" w:type="dxa"/>
            <w:vMerge w:val="continue"/>
            <w:noWrap w:val="0"/>
            <w:vAlign w:val="center"/>
          </w:tcPr>
          <w:p w14:paraId="55BA7234">
            <w:pPr>
              <w:keepLines/>
              <w:spacing w:line="300" w:lineRule="exact"/>
              <w:ind w:firstLine="0" w:firstLineChars="0"/>
              <w:jc w:val="center"/>
              <w:rPr>
                <w:rFonts w:ascii="Times New Roman" w:hAnsi="Times New Roman" w:eastAsia="宋体"/>
                <w:color w:val="auto"/>
                <w:sz w:val="21"/>
                <w:szCs w:val="21"/>
              </w:rPr>
            </w:pPr>
          </w:p>
        </w:tc>
      </w:tr>
      <w:tr w14:paraId="62AE8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restart"/>
            <w:noWrap w:val="0"/>
            <w:vAlign w:val="center"/>
          </w:tcPr>
          <w:p w14:paraId="1BDD8083">
            <w:pPr>
              <w:spacing w:line="300" w:lineRule="exact"/>
              <w:ind w:firstLine="0" w:firstLineChars="0"/>
              <w:rPr>
                <w:rFonts w:ascii="Times New Roman" w:hAnsi="Times New Roman" w:eastAsia="宋体"/>
                <w:color w:val="auto"/>
                <w:kern w:val="0"/>
                <w:sz w:val="21"/>
                <w:szCs w:val="21"/>
              </w:rPr>
            </w:pPr>
            <w:r>
              <w:rPr>
                <w:rFonts w:ascii="Times New Roman" w:hAnsi="Times New Roman" w:eastAsia="宋体"/>
                <w:color w:val="auto"/>
                <w:kern w:val="0"/>
                <w:sz w:val="21"/>
                <w:szCs w:val="21"/>
              </w:rPr>
              <w:t>4.2在线监测</w:t>
            </w:r>
          </w:p>
        </w:tc>
        <w:tc>
          <w:tcPr>
            <w:tcW w:w="6120" w:type="dxa"/>
            <w:noWrap w:val="0"/>
            <w:vAlign w:val="center"/>
          </w:tcPr>
          <w:p w14:paraId="498C6C34">
            <w:pPr>
              <w:keepLines/>
              <w:spacing w:line="300" w:lineRule="exact"/>
              <w:ind w:firstLine="0" w:firstLineChars="0"/>
              <w:jc w:val="left"/>
              <w:rPr>
                <w:rFonts w:ascii="Times New Roman" w:hAnsi="Times New Roman" w:eastAsia="宋体"/>
                <w:bCs/>
                <w:color w:val="auto"/>
                <w:kern w:val="0"/>
                <w:sz w:val="21"/>
                <w:szCs w:val="21"/>
              </w:rPr>
            </w:pPr>
            <w:r>
              <w:rPr>
                <w:rFonts w:ascii="Times New Roman" w:hAnsi="Times New Roman" w:eastAsia="宋体"/>
                <w:color w:val="auto"/>
                <w:kern w:val="0"/>
                <w:sz w:val="21"/>
                <w:szCs w:val="21"/>
              </w:rPr>
              <w:t>三等及三等以上尾矿库安装有在线监测系统，且运行正常，不扣分</w:t>
            </w:r>
          </w:p>
        </w:tc>
        <w:tc>
          <w:tcPr>
            <w:tcW w:w="983" w:type="dxa"/>
            <w:gridSpan w:val="2"/>
            <w:vMerge w:val="restart"/>
            <w:noWrap w:val="0"/>
            <w:vAlign w:val="center"/>
          </w:tcPr>
          <w:p w14:paraId="400344AA">
            <w:pPr>
              <w:keepLines/>
              <w:spacing w:line="300" w:lineRule="exact"/>
              <w:ind w:firstLine="0" w:firstLineChars="0"/>
              <w:jc w:val="center"/>
              <w:rPr>
                <w:rFonts w:ascii="Times New Roman" w:hAnsi="Times New Roman" w:eastAsia="宋体"/>
                <w:color w:val="auto"/>
                <w:kern w:val="0"/>
                <w:sz w:val="21"/>
                <w:szCs w:val="21"/>
              </w:rPr>
            </w:pPr>
            <w:r>
              <w:rPr>
                <w:rFonts w:ascii="Times New Roman" w:hAnsi="Times New Roman" w:eastAsia="宋体"/>
                <w:color w:val="auto"/>
                <w:kern w:val="0"/>
                <w:sz w:val="21"/>
                <w:szCs w:val="21"/>
              </w:rPr>
              <w:t>3</w:t>
            </w:r>
          </w:p>
        </w:tc>
        <w:tc>
          <w:tcPr>
            <w:tcW w:w="817" w:type="dxa"/>
            <w:vMerge w:val="restart"/>
            <w:noWrap w:val="0"/>
            <w:vAlign w:val="center"/>
          </w:tcPr>
          <w:p w14:paraId="3177648E">
            <w:pPr>
              <w:keepLines/>
              <w:spacing w:line="300" w:lineRule="exact"/>
              <w:ind w:firstLine="0" w:firstLineChars="0"/>
              <w:jc w:val="center"/>
              <w:rPr>
                <w:rFonts w:hint="eastAsia" w:ascii="Times New Roman" w:hAnsi="Times New Roman" w:eastAsia="宋体"/>
                <w:bCs/>
                <w:color w:val="auto"/>
                <w:kern w:val="0"/>
                <w:sz w:val="21"/>
                <w:szCs w:val="21"/>
              </w:rPr>
            </w:pPr>
            <w:r>
              <w:rPr>
                <w:rFonts w:hint="eastAsia" w:ascii="Times New Roman" w:hAnsi="Times New Roman" w:eastAsia="宋体"/>
                <w:bCs/>
                <w:color w:val="auto"/>
                <w:kern w:val="0"/>
                <w:sz w:val="21"/>
                <w:szCs w:val="21"/>
              </w:rPr>
              <w:t>3</w:t>
            </w:r>
          </w:p>
        </w:tc>
        <w:tc>
          <w:tcPr>
            <w:tcW w:w="5220" w:type="dxa"/>
            <w:vMerge w:val="restart"/>
            <w:noWrap w:val="0"/>
            <w:vAlign w:val="center"/>
          </w:tcPr>
          <w:p w14:paraId="02E5EB22">
            <w:pPr>
              <w:keepLines/>
              <w:spacing w:line="300" w:lineRule="exact"/>
              <w:ind w:firstLine="0" w:firstLineChars="0"/>
              <w:jc w:val="left"/>
              <w:rPr>
                <w:rFonts w:ascii="Times New Roman" w:hAnsi="Times New Roman" w:eastAsia="宋体"/>
                <w:color w:val="auto"/>
                <w:sz w:val="21"/>
                <w:szCs w:val="21"/>
              </w:rPr>
            </w:pPr>
            <w:r>
              <w:rPr>
                <w:rFonts w:ascii="Times New Roman" w:hAnsi="Times New Roman" w:eastAsia="宋体"/>
                <w:color w:val="auto"/>
                <w:kern w:val="0"/>
                <w:sz w:val="21"/>
                <w:szCs w:val="21"/>
              </w:rPr>
              <w:t>三等及三等以上尾矿库未安装在线监测系统，以二级起评，本项不另扣分</w:t>
            </w:r>
          </w:p>
        </w:tc>
      </w:tr>
      <w:tr w14:paraId="33FFE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6D473D24">
            <w:pPr>
              <w:spacing w:line="300" w:lineRule="exact"/>
              <w:ind w:firstLine="0" w:firstLineChars="0"/>
              <w:rPr>
                <w:rFonts w:ascii="Times New Roman" w:hAnsi="Times New Roman" w:eastAsia="宋体"/>
                <w:color w:val="auto"/>
                <w:kern w:val="0"/>
                <w:sz w:val="21"/>
                <w:szCs w:val="21"/>
              </w:rPr>
            </w:pPr>
          </w:p>
        </w:tc>
        <w:tc>
          <w:tcPr>
            <w:tcW w:w="6120" w:type="dxa"/>
            <w:noWrap w:val="0"/>
            <w:vAlign w:val="center"/>
          </w:tcPr>
          <w:p w14:paraId="2B207C15">
            <w:pPr>
              <w:keepLines/>
              <w:spacing w:line="300" w:lineRule="exact"/>
              <w:ind w:firstLine="0" w:firstLineChars="0"/>
              <w:jc w:val="left"/>
              <w:rPr>
                <w:rFonts w:ascii="Times New Roman" w:hAnsi="Times New Roman" w:eastAsia="宋体"/>
                <w:bCs/>
                <w:color w:val="auto"/>
                <w:kern w:val="0"/>
                <w:sz w:val="21"/>
                <w:szCs w:val="21"/>
              </w:rPr>
            </w:pPr>
            <w:r>
              <w:rPr>
                <w:rFonts w:ascii="Times New Roman" w:hAnsi="Times New Roman" w:eastAsia="宋体"/>
                <w:color w:val="auto"/>
                <w:kern w:val="0"/>
                <w:sz w:val="21"/>
                <w:szCs w:val="21"/>
              </w:rPr>
              <w:t>三等及三等以上尾矿库在线监测系统，运行不正常，扣3分</w:t>
            </w:r>
          </w:p>
        </w:tc>
        <w:tc>
          <w:tcPr>
            <w:tcW w:w="983" w:type="dxa"/>
            <w:gridSpan w:val="2"/>
            <w:vMerge w:val="continue"/>
            <w:noWrap w:val="0"/>
            <w:vAlign w:val="center"/>
          </w:tcPr>
          <w:p w14:paraId="4FA8BE12">
            <w:pPr>
              <w:keepLines/>
              <w:spacing w:line="300" w:lineRule="exact"/>
              <w:ind w:firstLine="0" w:firstLineChars="0"/>
              <w:jc w:val="center"/>
              <w:rPr>
                <w:rFonts w:ascii="Times New Roman" w:hAnsi="Times New Roman" w:eastAsia="宋体"/>
                <w:color w:val="auto"/>
                <w:kern w:val="0"/>
                <w:sz w:val="21"/>
                <w:szCs w:val="21"/>
              </w:rPr>
            </w:pPr>
          </w:p>
        </w:tc>
        <w:tc>
          <w:tcPr>
            <w:tcW w:w="817" w:type="dxa"/>
            <w:vMerge w:val="continue"/>
            <w:noWrap w:val="0"/>
            <w:vAlign w:val="center"/>
          </w:tcPr>
          <w:p w14:paraId="4F49F84D">
            <w:pPr>
              <w:keepLines/>
              <w:spacing w:line="300" w:lineRule="exact"/>
              <w:ind w:firstLine="0" w:firstLineChars="0"/>
              <w:jc w:val="center"/>
              <w:rPr>
                <w:rFonts w:ascii="Times New Roman" w:hAnsi="Times New Roman" w:eastAsia="宋体"/>
                <w:bCs/>
                <w:color w:val="auto"/>
                <w:kern w:val="0"/>
                <w:sz w:val="21"/>
                <w:szCs w:val="21"/>
              </w:rPr>
            </w:pPr>
          </w:p>
        </w:tc>
        <w:tc>
          <w:tcPr>
            <w:tcW w:w="5220" w:type="dxa"/>
            <w:vMerge w:val="continue"/>
            <w:noWrap w:val="0"/>
            <w:vAlign w:val="center"/>
          </w:tcPr>
          <w:p w14:paraId="20111BEF">
            <w:pPr>
              <w:keepLines/>
              <w:spacing w:line="300" w:lineRule="exact"/>
              <w:ind w:firstLine="0" w:firstLineChars="0"/>
              <w:jc w:val="center"/>
              <w:rPr>
                <w:rFonts w:ascii="Times New Roman" w:hAnsi="Times New Roman" w:eastAsia="宋体"/>
                <w:color w:val="auto"/>
                <w:sz w:val="21"/>
                <w:szCs w:val="21"/>
              </w:rPr>
            </w:pPr>
          </w:p>
        </w:tc>
      </w:tr>
      <w:tr w14:paraId="42439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restart"/>
            <w:noWrap w:val="0"/>
            <w:vAlign w:val="center"/>
          </w:tcPr>
          <w:p w14:paraId="040AB302">
            <w:pPr>
              <w:spacing w:line="300" w:lineRule="exact"/>
              <w:ind w:firstLine="0" w:firstLineChars="0"/>
              <w:rPr>
                <w:rFonts w:ascii="Times New Roman" w:hAnsi="Times New Roman" w:eastAsia="宋体"/>
                <w:color w:val="auto"/>
                <w:kern w:val="0"/>
                <w:sz w:val="21"/>
                <w:szCs w:val="21"/>
              </w:rPr>
            </w:pPr>
            <w:r>
              <w:rPr>
                <w:rFonts w:ascii="Times New Roman" w:hAnsi="Times New Roman" w:eastAsia="宋体"/>
                <w:color w:val="auto"/>
                <w:kern w:val="0"/>
                <w:sz w:val="21"/>
                <w:szCs w:val="21"/>
              </w:rPr>
              <w:t>4.3观测设施</w:t>
            </w:r>
          </w:p>
        </w:tc>
        <w:tc>
          <w:tcPr>
            <w:tcW w:w="6120" w:type="dxa"/>
            <w:noWrap w:val="0"/>
            <w:vAlign w:val="center"/>
          </w:tcPr>
          <w:p w14:paraId="315AEFFB">
            <w:pPr>
              <w:keepLines/>
              <w:spacing w:line="300" w:lineRule="exact"/>
              <w:ind w:firstLine="0" w:firstLineChars="0"/>
              <w:jc w:val="left"/>
              <w:rPr>
                <w:rFonts w:ascii="Times New Roman" w:hAnsi="Times New Roman" w:eastAsia="宋体"/>
                <w:bCs/>
                <w:color w:val="auto"/>
                <w:kern w:val="0"/>
                <w:sz w:val="21"/>
                <w:szCs w:val="21"/>
              </w:rPr>
            </w:pPr>
            <w:r>
              <w:rPr>
                <w:rFonts w:ascii="Times New Roman" w:hAnsi="Times New Roman" w:eastAsia="宋体"/>
                <w:color w:val="auto"/>
                <w:kern w:val="0"/>
                <w:sz w:val="21"/>
                <w:szCs w:val="21"/>
              </w:rPr>
              <w:t>四等及四等以上尾矿库设置有坝体位移和浸润线观测设施，且运行正常，不扣分</w:t>
            </w:r>
          </w:p>
        </w:tc>
        <w:tc>
          <w:tcPr>
            <w:tcW w:w="983" w:type="dxa"/>
            <w:gridSpan w:val="2"/>
            <w:vMerge w:val="restart"/>
            <w:noWrap w:val="0"/>
            <w:vAlign w:val="center"/>
          </w:tcPr>
          <w:p w14:paraId="3B969D8C">
            <w:pPr>
              <w:keepLines/>
              <w:spacing w:line="300" w:lineRule="exact"/>
              <w:ind w:firstLine="0" w:firstLineChars="0"/>
              <w:jc w:val="center"/>
              <w:rPr>
                <w:rFonts w:ascii="Times New Roman" w:hAnsi="Times New Roman" w:eastAsia="宋体"/>
                <w:color w:val="auto"/>
                <w:kern w:val="0"/>
                <w:sz w:val="21"/>
                <w:szCs w:val="21"/>
              </w:rPr>
            </w:pPr>
            <w:r>
              <w:rPr>
                <w:rFonts w:ascii="Times New Roman" w:hAnsi="Times New Roman" w:eastAsia="宋体"/>
                <w:color w:val="auto"/>
                <w:kern w:val="0"/>
                <w:sz w:val="21"/>
                <w:szCs w:val="21"/>
              </w:rPr>
              <w:t>3</w:t>
            </w:r>
          </w:p>
        </w:tc>
        <w:tc>
          <w:tcPr>
            <w:tcW w:w="817" w:type="dxa"/>
            <w:vMerge w:val="restart"/>
            <w:noWrap w:val="0"/>
            <w:vAlign w:val="center"/>
          </w:tcPr>
          <w:p w14:paraId="43C61F8F">
            <w:pPr>
              <w:keepLines/>
              <w:spacing w:line="300" w:lineRule="exact"/>
              <w:ind w:firstLine="0" w:firstLineChars="0"/>
              <w:jc w:val="center"/>
              <w:rPr>
                <w:rFonts w:hint="eastAsia" w:ascii="Times New Roman" w:hAnsi="Times New Roman" w:eastAsia="宋体"/>
                <w:bCs/>
                <w:color w:val="auto"/>
                <w:kern w:val="0"/>
                <w:sz w:val="21"/>
                <w:szCs w:val="21"/>
              </w:rPr>
            </w:pPr>
            <w:r>
              <w:rPr>
                <w:rFonts w:hint="eastAsia" w:ascii="Times New Roman" w:hAnsi="Times New Roman" w:eastAsia="宋体"/>
                <w:bCs/>
                <w:color w:val="auto"/>
                <w:kern w:val="0"/>
                <w:sz w:val="21"/>
                <w:szCs w:val="21"/>
              </w:rPr>
              <w:t>3</w:t>
            </w:r>
          </w:p>
        </w:tc>
        <w:tc>
          <w:tcPr>
            <w:tcW w:w="5220" w:type="dxa"/>
            <w:vMerge w:val="restart"/>
            <w:noWrap w:val="0"/>
            <w:vAlign w:val="center"/>
          </w:tcPr>
          <w:p w14:paraId="6AF70FDE">
            <w:pPr>
              <w:keepLines/>
              <w:spacing w:line="300" w:lineRule="exact"/>
              <w:ind w:firstLine="0" w:firstLineChars="0"/>
              <w:jc w:val="left"/>
              <w:rPr>
                <w:rFonts w:ascii="Times New Roman" w:hAnsi="Times New Roman" w:eastAsia="宋体"/>
                <w:color w:val="auto"/>
                <w:sz w:val="21"/>
                <w:szCs w:val="21"/>
              </w:rPr>
            </w:pPr>
            <w:r>
              <w:rPr>
                <w:rFonts w:ascii="Times New Roman" w:hAnsi="Times New Roman" w:eastAsia="宋体"/>
                <w:color w:val="auto"/>
                <w:kern w:val="0"/>
                <w:sz w:val="21"/>
                <w:szCs w:val="21"/>
              </w:rPr>
              <w:t>四等及四等以上尾矿库未设置坝体位移和浸润线观测设施，以二级起评，本项不另扣分</w:t>
            </w:r>
          </w:p>
        </w:tc>
      </w:tr>
      <w:tr w14:paraId="01297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28D7DF4E">
            <w:pPr>
              <w:spacing w:line="300" w:lineRule="exact"/>
              <w:ind w:firstLine="0" w:firstLineChars="0"/>
              <w:rPr>
                <w:rFonts w:ascii="Times New Roman" w:hAnsi="Times New Roman" w:eastAsia="宋体"/>
                <w:color w:val="auto"/>
                <w:kern w:val="0"/>
                <w:sz w:val="21"/>
                <w:szCs w:val="21"/>
              </w:rPr>
            </w:pPr>
          </w:p>
        </w:tc>
        <w:tc>
          <w:tcPr>
            <w:tcW w:w="6120" w:type="dxa"/>
            <w:noWrap w:val="0"/>
            <w:vAlign w:val="center"/>
          </w:tcPr>
          <w:p w14:paraId="42F61EDB">
            <w:pPr>
              <w:keepLines/>
              <w:spacing w:line="300" w:lineRule="exact"/>
              <w:ind w:firstLine="0" w:firstLineChars="0"/>
              <w:jc w:val="left"/>
              <w:rPr>
                <w:rFonts w:ascii="Times New Roman" w:hAnsi="Times New Roman" w:eastAsia="宋体"/>
                <w:bCs/>
                <w:color w:val="auto"/>
                <w:kern w:val="0"/>
                <w:sz w:val="21"/>
                <w:szCs w:val="21"/>
              </w:rPr>
            </w:pPr>
            <w:r>
              <w:rPr>
                <w:rFonts w:ascii="Times New Roman" w:hAnsi="Times New Roman" w:eastAsia="宋体"/>
                <w:color w:val="auto"/>
                <w:kern w:val="0"/>
                <w:sz w:val="21"/>
                <w:szCs w:val="21"/>
              </w:rPr>
              <w:t>四等及四等以上尾矿库设置的坝体位移和浸润线观测设施，运行不正常，扣3分</w:t>
            </w:r>
          </w:p>
        </w:tc>
        <w:tc>
          <w:tcPr>
            <w:tcW w:w="983" w:type="dxa"/>
            <w:gridSpan w:val="2"/>
            <w:vMerge w:val="continue"/>
            <w:noWrap w:val="0"/>
            <w:vAlign w:val="center"/>
          </w:tcPr>
          <w:p w14:paraId="7728B65B">
            <w:pPr>
              <w:keepLines/>
              <w:spacing w:line="300" w:lineRule="exact"/>
              <w:ind w:firstLine="0" w:firstLineChars="0"/>
              <w:jc w:val="center"/>
              <w:rPr>
                <w:rFonts w:ascii="Times New Roman" w:hAnsi="Times New Roman" w:eastAsia="宋体"/>
                <w:color w:val="auto"/>
                <w:kern w:val="0"/>
                <w:sz w:val="21"/>
                <w:szCs w:val="21"/>
              </w:rPr>
            </w:pPr>
          </w:p>
        </w:tc>
        <w:tc>
          <w:tcPr>
            <w:tcW w:w="817" w:type="dxa"/>
            <w:vMerge w:val="continue"/>
            <w:noWrap w:val="0"/>
            <w:vAlign w:val="center"/>
          </w:tcPr>
          <w:p w14:paraId="18AE0554">
            <w:pPr>
              <w:keepLines/>
              <w:spacing w:line="300" w:lineRule="exact"/>
              <w:ind w:firstLine="0" w:firstLineChars="0"/>
              <w:jc w:val="center"/>
              <w:rPr>
                <w:rFonts w:ascii="Times New Roman" w:hAnsi="Times New Roman" w:eastAsia="宋体"/>
                <w:bCs/>
                <w:color w:val="auto"/>
                <w:kern w:val="0"/>
                <w:sz w:val="21"/>
                <w:szCs w:val="21"/>
              </w:rPr>
            </w:pPr>
          </w:p>
        </w:tc>
        <w:tc>
          <w:tcPr>
            <w:tcW w:w="5220" w:type="dxa"/>
            <w:vMerge w:val="continue"/>
            <w:noWrap w:val="0"/>
            <w:vAlign w:val="center"/>
          </w:tcPr>
          <w:p w14:paraId="5F3E192D">
            <w:pPr>
              <w:keepLines/>
              <w:spacing w:line="300" w:lineRule="exact"/>
              <w:ind w:firstLine="0" w:firstLineChars="0"/>
              <w:jc w:val="center"/>
              <w:rPr>
                <w:rFonts w:ascii="Times New Roman" w:hAnsi="Times New Roman" w:eastAsia="宋体"/>
                <w:color w:val="auto"/>
                <w:sz w:val="21"/>
                <w:szCs w:val="21"/>
              </w:rPr>
            </w:pPr>
          </w:p>
        </w:tc>
      </w:tr>
      <w:tr w14:paraId="11068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restart"/>
            <w:noWrap w:val="0"/>
            <w:vAlign w:val="center"/>
          </w:tcPr>
          <w:p w14:paraId="02AA7746">
            <w:pPr>
              <w:spacing w:line="300" w:lineRule="exact"/>
              <w:ind w:firstLine="0" w:firstLineChars="0"/>
              <w:rPr>
                <w:rFonts w:ascii="Times New Roman" w:hAnsi="Times New Roman" w:eastAsia="宋体"/>
                <w:color w:val="auto"/>
                <w:kern w:val="0"/>
                <w:sz w:val="21"/>
                <w:szCs w:val="21"/>
              </w:rPr>
            </w:pPr>
            <w:r>
              <w:rPr>
                <w:rFonts w:ascii="Times New Roman" w:hAnsi="Times New Roman" w:eastAsia="宋体"/>
                <w:color w:val="auto"/>
                <w:kern w:val="0"/>
                <w:sz w:val="21"/>
                <w:szCs w:val="21"/>
              </w:rPr>
              <w:t>4.4坝体浸润线</w:t>
            </w:r>
          </w:p>
        </w:tc>
        <w:tc>
          <w:tcPr>
            <w:tcW w:w="6120" w:type="dxa"/>
            <w:noWrap w:val="0"/>
            <w:vAlign w:val="center"/>
          </w:tcPr>
          <w:p w14:paraId="330AB7E4">
            <w:pPr>
              <w:keepLines/>
              <w:spacing w:line="300" w:lineRule="exact"/>
              <w:ind w:firstLine="0" w:firstLineChars="0"/>
              <w:jc w:val="left"/>
              <w:rPr>
                <w:rFonts w:ascii="Times New Roman" w:hAnsi="Times New Roman" w:eastAsia="宋体"/>
                <w:color w:val="auto"/>
                <w:kern w:val="0"/>
                <w:sz w:val="21"/>
                <w:szCs w:val="21"/>
              </w:rPr>
            </w:pPr>
            <w:r>
              <w:rPr>
                <w:rFonts w:ascii="Times New Roman" w:hAnsi="Times New Roman" w:eastAsia="宋体"/>
                <w:color w:val="auto"/>
                <w:kern w:val="0"/>
                <w:sz w:val="21"/>
                <w:szCs w:val="21"/>
              </w:rPr>
              <w:t>坝体浸润线符合设计要求，不扣分</w:t>
            </w:r>
          </w:p>
        </w:tc>
        <w:tc>
          <w:tcPr>
            <w:tcW w:w="983" w:type="dxa"/>
            <w:gridSpan w:val="2"/>
            <w:vMerge w:val="restart"/>
            <w:noWrap w:val="0"/>
            <w:vAlign w:val="center"/>
          </w:tcPr>
          <w:p w14:paraId="256D1C09">
            <w:pPr>
              <w:keepLines/>
              <w:spacing w:line="300" w:lineRule="exact"/>
              <w:ind w:firstLine="0" w:firstLineChars="0"/>
              <w:jc w:val="center"/>
              <w:rPr>
                <w:rFonts w:ascii="Times New Roman" w:hAnsi="Times New Roman" w:eastAsia="宋体"/>
                <w:color w:val="auto"/>
                <w:kern w:val="0"/>
                <w:sz w:val="21"/>
                <w:szCs w:val="21"/>
              </w:rPr>
            </w:pPr>
            <w:r>
              <w:rPr>
                <w:rFonts w:ascii="Times New Roman" w:hAnsi="Times New Roman" w:eastAsia="宋体"/>
                <w:color w:val="auto"/>
                <w:kern w:val="0"/>
                <w:sz w:val="21"/>
                <w:szCs w:val="21"/>
              </w:rPr>
              <w:t>4</w:t>
            </w:r>
          </w:p>
        </w:tc>
        <w:tc>
          <w:tcPr>
            <w:tcW w:w="817" w:type="dxa"/>
            <w:vMerge w:val="restart"/>
            <w:noWrap w:val="0"/>
            <w:vAlign w:val="center"/>
          </w:tcPr>
          <w:p w14:paraId="1A647308">
            <w:pPr>
              <w:keepLines/>
              <w:spacing w:line="300" w:lineRule="exact"/>
              <w:ind w:firstLine="0" w:firstLineChars="0"/>
              <w:jc w:val="center"/>
              <w:rPr>
                <w:rFonts w:hint="eastAsia" w:ascii="Times New Roman" w:hAnsi="Times New Roman" w:eastAsia="宋体"/>
                <w:bCs/>
                <w:color w:val="auto"/>
                <w:kern w:val="0"/>
                <w:sz w:val="21"/>
                <w:szCs w:val="21"/>
              </w:rPr>
            </w:pPr>
            <w:r>
              <w:rPr>
                <w:rFonts w:hint="eastAsia" w:ascii="Times New Roman" w:hAnsi="Times New Roman" w:eastAsia="宋体"/>
                <w:bCs/>
                <w:color w:val="auto"/>
                <w:kern w:val="0"/>
                <w:sz w:val="21"/>
                <w:szCs w:val="21"/>
              </w:rPr>
              <w:t>4</w:t>
            </w:r>
          </w:p>
        </w:tc>
        <w:tc>
          <w:tcPr>
            <w:tcW w:w="5220" w:type="dxa"/>
            <w:vMerge w:val="restart"/>
            <w:noWrap w:val="0"/>
            <w:vAlign w:val="center"/>
          </w:tcPr>
          <w:p w14:paraId="273C4640">
            <w:pPr>
              <w:keepLines/>
              <w:spacing w:line="300" w:lineRule="exact"/>
              <w:ind w:firstLine="0" w:firstLineChars="0"/>
              <w:jc w:val="center"/>
              <w:rPr>
                <w:rFonts w:ascii="Times New Roman" w:hAnsi="Times New Roman" w:eastAsia="宋体"/>
                <w:color w:val="auto"/>
                <w:sz w:val="21"/>
                <w:szCs w:val="21"/>
              </w:rPr>
            </w:pPr>
          </w:p>
        </w:tc>
      </w:tr>
      <w:tr w14:paraId="624E8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34BAFFE8">
            <w:pPr>
              <w:keepLines/>
              <w:spacing w:line="300" w:lineRule="exact"/>
              <w:ind w:firstLine="0" w:firstLineChars="0"/>
              <w:jc w:val="left"/>
              <w:rPr>
                <w:rFonts w:ascii="Times New Roman" w:hAnsi="Times New Roman" w:eastAsia="宋体"/>
                <w:color w:val="auto"/>
                <w:kern w:val="0"/>
                <w:sz w:val="21"/>
                <w:szCs w:val="21"/>
              </w:rPr>
            </w:pPr>
          </w:p>
        </w:tc>
        <w:tc>
          <w:tcPr>
            <w:tcW w:w="6120" w:type="dxa"/>
            <w:noWrap w:val="0"/>
            <w:vAlign w:val="center"/>
          </w:tcPr>
          <w:p w14:paraId="1079F405">
            <w:pPr>
              <w:keepLines/>
              <w:spacing w:line="300" w:lineRule="exact"/>
              <w:ind w:firstLine="0" w:firstLineChars="0"/>
              <w:jc w:val="left"/>
              <w:rPr>
                <w:rFonts w:ascii="Times New Roman" w:hAnsi="Times New Roman" w:eastAsia="宋体"/>
                <w:color w:val="auto"/>
                <w:sz w:val="21"/>
                <w:szCs w:val="21"/>
              </w:rPr>
            </w:pPr>
            <w:r>
              <w:rPr>
                <w:rFonts w:ascii="Times New Roman" w:hAnsi="Times New Roman" w:eastAsia="宋体"/>
                <w:color w:val="auto"/>
                <w:sz w:val="21"/>
                <w:szCs w:val="21"/>
              </w:rPr>
              <w:t>未</w:t>
            </w:r>
            <w:r>
              <w:rPr>
                <w:rFonts w:ascii="Times New Roman" w:hAnsi="Times New Roman" w:eastAsia="宋体"/>
                <w:color w:val="auto"/>
                <w:kern w:val="0"/>
                <w:sz w:val="21"/>
                <w:szCs w:val="21"/>
              </w:rPr>
              <w:t>查明坝面浸润线溢出点位置、范围和形态，扣4分</w:t>
            </w:r>
          </w:p>
        </w:tc>
        <w:tc>
          <w:tcPr>
            <w:tcW w:w="983" w:type="dxa"/>
            <w:gridSpan w:val="2"/>
            <w:vMerge w:val="continue"/>
            <w:noWrap w:val="0"/>
            <w:vAlign w:val="center"/>
          </w:tcPr>
          <w:p w14:paraId="566345E0">
            <w:pPr>
              <w:keepLines/>
              <w:spacing w:line="300" w:lineRule="exact"/>
              <w:ind w:firstLine="0" w:firstLineChars="0"/>
              <w:jc w:val="center"/>
              <w:rPr>
                <w:rFonts w:ascii="Times New Roman" w:hAnsi="Times New Roman" w:eastAsia="宋体"/>
                <w:color w:val="auto"/>
                <w:kern w:val="0"/>
                <w:sz w:val="21"/>
                <w:szCs w:val="21"/>
              </w:rPr>
            </w:pPr>
          </w:p>
        </w:tc>
        <w:tc>
          <w:tcPr>
            <w:tcW w:w="817" w:type="dxa"/>
            <w:vMerge w:val="continue"/>
            <w:noWrap w:val="0"/>
            <w:vAlign w:val="center"/>
          </w:tcPr>
          <w:p w14:paraId="186D1A55">
            <w:pPr>
              <w:keepLines/>
              <w:spacing w:line="300" w:lineRule="exact"/>
              <w:ind w:firstLine="0" w:firstLineChars="0"/>
              <w:jc w:val="center"/>
              <w:rPr>
                <w:rFonts w:ascii="Times New Roman" w:hAnsi="Times New Roman" w:eastAsia="宋体"/>
                <w:bCs/>
                <w:color w:val="auto"/>
                <w:kern w:val="0"/>
                <w:sz w:val="21"/>
                <w:szCs w:val="21"/>
              </w:rPr>
            </w:pPr>
          </w:p>
        </w:tc>
        <w:tc>
          <w:tcPr>
            <w:tcW w:w="5220" w:type="dxa"/>
            <w:vMerge w:val="continue"/>
            <w:noWrap w:val="0"/>
            <w:vAlign w:val="center"/>
          </w:tcPr>
          <w:p w14:paraId="32ED4946">
            <w:pPr>
              <w:keepLines/>
              <w:spacing w:line="300" w:lineRule="exact"/>
              <w:ind w:firstLine="0" w:firstLineChars="0"/>
              <w:jc w:val="center"/>
              <w:rPr>
                <w:rFonts w:ascii="Times New Roman" w:hAnsi="Times New Roman" w:eastAsia="宋体"/>
                <w:color w:val="auto"/>
                <w:sz w:val="21"/>
                <w:szCs w:val="21"/>
              </w:rPr>
            </w:pPr>
          </w:p>
        </w:tc>
      </w:tr>
      <w:tr w14:paraId="4B0F9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1440" w:type="dxa"/>
            <w:vMerge w:val="continue"/>
            <w:noWrap w:val="0"/>
            <w:vAlign w:val="center"/>
          </w:tcPr>
          <w:p w14:paraId="40C28D74">
            <w:pPr>
              <w:keepLines/>
              <w:spacing w:line="300" w:lineRule="exact"/>
              <w:ind w:firstLine="0" w:firstLineChars="0"/>
              <w:jc w:val="left"/>
              <w:rPr>
                <w:rFonts w:ascii="Times New Roman" w:hAnsi="Times New Roman" w:eastAsia="宋体"/>
                <w:color w:val="auto"/>
                <w:kern w:val="0"/>
                <w:sz w:val="21"/>
                <w:szCs w:val="21"/>
              </w:rPr>
            </w:pPr>
          </w:p>
        </w:tc>
        <w:tc>
          <w:tcPr>
            <w:tcW w:w="6120" w:type="dxa"/>
            <w:noWrap w:val="0"/>
            <w:vAlign w:val="center"/>
          </w:tcPr>
          <w:p w14:paraId="18E23291">
            <w:pPr>
              <w:keepLines/>
              <w:spacing w:line="300" w:lineRule="exact"/>
              <w:ind w:firstLine="0" w:firstLineChars="0"/>
              <w:jc w:val="left"/>
              <w:rPr>
                <w:rFonts w:ascii="Times New Roman" w:hAnsi="Times New Roman" w:eastAsia="宋体"/>
                <w:color w:val="auto"/>
                <w:kern w:val="0"/>
                <w:sz w:val="21"/>
                <w:szCs w:val="21"/>
              </w:rPr>
            </w:pPr>
            <w:r>
              <w:rPr>
                <w:rFonts w:ascii="Times New Roman" w:hAnsi="Times New Roman" w:eastAsia="宋体"/>
                <w:color w:val="auto"/>
                <w:kern w:val="0"/>
                <w:sz w:val="21"/>
                <w:szCs w:val="21"/>
              </w:rPr>
              <w:t>在尾矿库运行过程中，坝体浸润线超过控制线，采取措施后得到有效控制的，扣2分；未采取有效措施或未得到有效控制的，扣4分</w:t>
            </w:r>
          </w:p>
        </w:tc>
        <w:tc>
          <w:tcPr>
            <w:tcW w:w="983" w:type="dxa"/>
            <w:gridSpan w:val="2"/>
            <w:vMerge w:val="continue"/>
            <w:noWrap w:val="0"/>
            <w:vAlign w:val="center"/>
          </w:tcPr>
          <w:p w14:paraId="50D32B3B">
            <w:pPr>
              <w:keepLines/>
              <w:spacing w:line="300" w:lineRule="exact"/>
              <w:ind w:firstLine="0" w:firstLineChars="0"/>
              <w:jc w:val="center"/>
              <w:rPr>
                <w:rFonts w:ascii="Times New Roman" w:hAnsi="Times New Roman" w:eastAsia="宋体"/>
                <w:color w:val="auto"/>
                <w:kern w:val="0"/>
                <w:sz w:val="21"/>
                <w:szCs w:val="21"/>
              </w:rPr>
            </w:pPr>
          </w:p>
        </w:tc>
        <w:tc>
          <w:tcPr>
            <w:tcW w:w="817" w:type="dxa"/>
            <w:vMerge w:val="continue"/>
            <w:noWrap w:val="0"/>
            <w:vAlign w:val="center"/>
          </w:tcPr>
          <w:p w14:paraId="760EDEC7">
            <w:pPr>
              <w:keepLines/>
              <w:spacing w:line="300" w:lineRule="exact"/>
              <w:ind w:firstLine="0" w:firstLineChars="0"/>
              <w:jc w:val="center"/>
              <w:rPr>
                <w:rFonts w:ascii="Times New Roman" w:hAnsi="Times New Roman" w:eastAsia="宋体"/>
                <w:color w:val="auto"/>
                <w:kern w:val="0"/>
                <w:sz w:val="21"/>
                <w:szCs w:val="21"/>
              </w:rPr>
            </w:pPr>
          </w:p>
        </w:tc>
        <w:tc>
          <w:tcPr>
            <w:tcW w:w="5220" w:type="dxa"/>
            <w:vMerge w:val="continue"/>
            <w:noWrap w:val="0"/>
            <w:vAlign w:val="center"/>
          </w:tcPr>
          <w:p w14:paraId="2D4DC1F8">
            <w:pPr>
              <w:keepLines/>
              <w:spacing w:line="300" w:lineRule="exact"/>
              <w:ind w:firstLine="0" w:firstLineChars="0"/>
              <w:jc w:val="center"/>
              <w:rPr>
                <w:rFonts w:ascii="Times New Roman" w:hAnsi="Times New Roman" w:eastAsia="宋体"/>
                <w:color w:val="auto"/>
                <w:sz w:val="21"/>
                <w:szCs w:val="21"/>
              </w:rPr>
            </w:pPr>
          </w:p>
        </w:tc>
      </w:tr>
      <w:tr w14:paraId="42A19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restart"/>
            <w:noWrap w:val="0"/>
            <w:vAlign w:val="center"/>
          </w:tcPr>
          <w:p w14:paraId="0631D1C0">
            <w:pPr>
              <w:spacing w:line="300" w:lineRule="exact"/>
              <w:ind w:firstLine="0" w:firstLineChars="0"/>
              <w:rPr>
                <w:rFonts w:ascii="Times New Roman" w:hAnsi="Times New Roman" w:eastAsia="宋体"/>
                <w:color w:val="auto"/>
                <w:kern w:val="0"/>
                <w:sz w:val="21"/>
                <w:szCs w:val="21"/>
              </w:rPr>
            </w:pPr>
            <w:r>
              <w:rPr>
                <w:rFonts w:ascii="Times New Roman" w:hAnsi="Times New Roman" w:eastAsia="宋体"/>
                <w:color w:val="auto"/>
                <w:sz w:val="21"/>
                <w:szCs w:val="21"/>
              </w:rPr>
              <w:t>4.5排</w:t>
            </w:r>
            <w:r>
              <w:rPr>
                <w:rFonts w:ascii="Times New Roman" w:hAnsi="Times New Roman" w:eastAsia="宋体"/>
                <w:color w:val="auto"/>
                <w:kern w:val="0"/>
                <w:sz w:val="21"/>
                <w:szCs w:val="21"/>
              </w:rPr>
              <w:t>洪设施</w:t>
            </w:r>
          </w:p>
        </w:tc>
        <w:tc>
          <w:tcPr>
            <w:tcW w:w="6120" w:type="dxa"/>
            <w:noWrap w:val="0"/>
            <w:vAlign w:val="center"/>
          </w:tcPr>
          <w:p w14:paraId="155E3D8F">
            <w:pPr>
              <w:keepLines/>
              <w:spacing w:line="300" w:lineRule="exact"/>
              <w:ind w:firstLine="0" w:firstLineChars="0"/>
              <w:jc w:val="left"/>
              <w:rPr>
                <w:rFonts w:ascii="Times New Roman" w:hAnsi="Times New Roman" w:eastAsia="宋体"/>
                <w:color w:val="auto"/>
                <w:kern w:val="0"/>
                <w:sz w:val="21"/>
                <w:szCs w:val="21"/>
              </w:rPr>
            </w:pPr>
            <w:r>
              <w:rPr>
                <w:rFonts w:ascii="Times New Roman" w:hAnsi="Times New Roman" w:eastAsia="宋体"/>
                <w:color w:val="auto"/>
                <w:kern w:val="0"/>
                <w:sz w:val="21"/>
                <w:szCs w:val="21"/>
              </w:rPr>
              <w:t>按设计要求设置有排洪设施，并能满足防洪要求，不扣分</w:t>
            </w:r>
          </w:p>
        </w:tc>
        <w:tc>
          <w:tcPr>
            <w:tcW w:w="983" w:type="dxa"/>
            <w:gridSpan w:val="2"/>
            <w:vMerge w:val="restart"/>
            <w:noWrap w:val="0"/>
            <w:vAlign w:val="center"/>
          </w:tcPr>
          <w:p w14:paraId="7199AA53">
            <w:pPr>
              <w:keepLines/>
              <w:spacing w:line="300" w:lineRule="exact"/>
              <w:ind w:firstLine="0" w:firstLineChars="0"/>
              <w:jc w:val="center"/>
              <w:rPr>
                <w:rFonts w:ascii="Times New Roman" w:hAnsi="Times New Roman" w:eastAsia="宋体"/>
                <w:color w:val="auto"/>
                <w:kern w:val="0"/>
                <w:sz w:val="21"/>
                <w:szCs w:val="21"/>
              </w:rPr>
            </w:pPr>
            <w:r>
              <w:rPr>
                <w:rFonts w:ascii="Times New Roman" w:hAnsi="Times New Roman" w:eastAsia="宋体"/>
                <w:color w:val="auto"/>
                <w:kern w:val="0"/>
                <w:sz w:val="21"/>
                <w:szCs w:val="21"/>
              </w:rPr>
              <w:t>4</w:t>
            </w:r>
          </w:p>
        </w:tc>
        <w:tc>
          <w:tcPr>
            <w:tcW w:w="817" w:type="dxa"/>
            <w:vMerge w:val="restart"/>
            <w:noWrap w:val="0"/>
            <w:vAlign w:val="center"/>
          </w:tcPr>
          <w:p w14:paraId="1790B93A">
            <w:pPr>
              <w:keepLines/>
              <w:spacing w:line="300" w:lineRule="exact"/>
              <w:ind w:firstLine="0" w:firstLineChars="0"/>
              <w:jc w:val="center"/>
              <w:rPr>
                <w:rFonts w:hint="eastAsia" w:ascii="Times New Roman" w:hAnsi="Times New Roman" w:eastAsia="宋体"/>
                <w:color w:val="auto"/>
                <w:kern w:val="0"/>
                <w:sz w:val="21"/>
                <w:szCs w:val="21"/>
              </w:rPr>
            </w:pPr>
            <w:r>
              <w:rPr>
                <w:rFonts w:hint="eastAsia" w:ascii="Times New Roman" w:hAnsi="Times New Roman" w:eastAsia="宋体"/>
                <w:color w:val="auto"/>
                <w:kern w:val="0"/>
                <w:sz w:val="21"/>
                <w:szCs w:val="21"/>
              </w:rPr>
              <w:t>4</w:t>
            </w:r>
          </w:p>
        </w:tc>
        <w:tc>
          <w:tcPr>
            <w:tcW w:w="5220" w:type="dxa"/>
            <w:vMerge w:val="restart"/>
            <w:noWrap w:val="0"/>
            <w:vAlign w:val="center"/>
          </w:tcPr>
          <w:p w14:paraId="4FB4A45B">
            <w:pPr>
              <w:keepLines/>
              <w:spacing w:line="300" w:lineRule="exact"/>
              <w:ind w:firstLine="0" w:firstLineChars="0"/>
              <w:jc w:val="left"/>
              <w:rPr>
                <w:rFonts w:ascii="Times New Roman" w:hAnsi="Times New Roman" w:eastAsia="宋体"/>
                <w:color w:val="auto"/>
                <w:sz w:val="21"/>
                <w:szCs w:val="21"/>
              </w:rPr>
            </w:pPr>
            <w:r>
              <w:rPr>
                <w:rFonts w:ascii="Times New Roman" w:hAnsi="Times New Roman" w:eastAsia="宋体"/>
                <w:color w:val="auto"/>
                <w:sz w:val="21"/>
                <w:szCs w:val="21"/>
              </w:rPr>
              <w:t>排洪设施完全失效，不能满足防洪要求，直接定为一级风险</w:t>
            </w:r>
          </w:p>
        </w:tc>
      </w:tr>
      <w:tr w14:paraId="315BA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3C0564AA">
            <w:pPr>
              <w:keepLines/>
              <w:spacing w:line="300" w:lineRule="exact"/>
              <w:ind w:firstLine="0" w:firstLineChars="0"/>
              <w:jc w:val="left"/>
              <w:rPr>
                <w:rFonts w:ascii="Times New Roman" w:hAnsi="Times New Roman" w:eastAsia="宋体"/>
                <w:color w:val="auto"/>
                <w:kern w:val="0"/>
                <w:sz w:val="21"/>
                <w:szCs w:val="21"/>
              </w:rPr>
            </w:pPr>
          </w:p>
        </w:tc>
        <w:tc>
          <w:tcPr>
            <w:tcW w:w="6120" w:type="dxa"/>
            <w:noWrap w:val="0"/>
            <w:vAlign w:val="center"/>
          </w:tcPr>
          <w:p w14:paraId="39B27CD2">
            <w:pPr>
              <w:keepLines/>
              <w:spacing w:line="300" w:lineRule="exact"/>
              <w:ind w:firstLine="0" w:firstLineChars="0"/>
              <w:jc w:val="left"/>
              <w:rPr>
                <w:rFonts w:ascii="Times New Roman" w:hAnsi="Times New Roman" w:eastAsia="宋体"/>
                <w:color w:val="auto"/>
                <w:kern w:val="0"/>
                <w:sz w:val="21"/>
                <w:szCs w:val="21"/>
              </w:rPr>
            </w:pPr>
            <w:r>
              <w:rPr>
                <w:rFonts w:ascii="Times New Roman" w:hAnsi="Times New Roman" w:eastAsia="宋体"/>
                <w:color w:val="auto"/>
                <w:kern w:val="0"/>
                <w:sz w:val="21"/>
                <w:szCs w:val="21"/>
              </w:rPr>
              <w:t>按设计要求设置有排洪设施，但不甚畅通，扣4分</w:t>
            </w:r>
          </w:p>
        </w:tc>
        <w:tc>
          <w:tcPr>
            <w:tcW w:w="983" w:type="dxa"/>
            <w:gridSpan w:val="2"/>
            <w:vMerge w:val="continue"/>
            <w:noWrap w:val="0"/>
            <w:vAlign w:val="center"/>
          </w:tcPr>
          <w:p w14:paraId="26E8E4C0">
            <w:pPr>
              <w:keepLines/>
              <w:spacing w:line="300" w:lineRule="exact"/>
              <w:ind w:firstLine="0" w:firstLineChars="0"/>
              <w:jc w:val="center"/>
              <w:rPr>
                <w:rFonts w:ascii="Times New Roman" w:hAnsi="Times New Roman" w:eastAsia="宋体"/>
                <w:color w:val="auto"/>
                <w:kern w:val="0"/>
                <w:sz w:val="21"/>
                <w:szCs w:val="21"/>
              </w:rPr>
            </w:pPr>
          </w:p>
        </w:tc>
        <w:tc>
          <w:tcPr>
            <w:tcW w:w="817" w:type="dxa"/>
            <w:vMerge w:val="continue"/>
            <w:noWrap w:val="0"/>
            <w:vAlign w:val="center"/>
          </w:tcPr>
          <w:p w14:paraId="035F1BE8">
            <w:pPr>
              <w:keepLines/>
              <w:spacing w:line="300" w:lineRule="exact"/>
              <w:ind w:firstLine="0" w:firstLineChars="0"/>
              <w:jc w:val="center"/>
              <w:rPr>
                <w:rFonts w:ascii="Times New Roman" w:hAnsi="Times New Roman" w:eastAsia="宋体"/>
                <w:color w:val="auto"/>
                <w:kern w:val="0"/>
                <w:sz w:val="21"/>
                <w:szCs w:val="21"/>
              </w:rPr>
            </w:pPr>
          </w:p>
        </w:tc>
        <w:tc>
          <w:tcPr>
            <w:tcW w:w="5220" w:type="dxa"/>
            <w:vMerge w:val="continue"/>
            <w:noWrap w:val="0"/>
            <w:vAlign w:val="center"/>
          </w:tcPr>
          <w:p w14:paraId="0FBEB0A8">
            <w:pPr>
              <w:keepLines/>
              <w:spacing w:line="300" w:lineRule="exact"/>
              <w:ind w:firstLine="0" w:firstLineChars="0"/>
              <w:jc w:val="center"/>
              <w:rPr>
                <w:rFonts w:ascii="Times New Roman" w:hAnsi="Times New Roman" w:eastAsia="宋体"/>
                <w:color w:val="auto"/>
                <w:sz w:val="21"/>
                <w:szCs w:val="21"/>
              </w:rPr>
            </w:pPr>
          </w:p>
        </w:tc>
      </w:tr>
      <w:tr w14:paraId="60505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restart"/>
            <w:noWrap w:val="0"/>
            <w:vAlign w:val="center"/>
          </w:tcPr>
          <w:p w14:paraId="20D5916D">
            <w:pPr>
              <w:spacing w:line="300" w:lineRule="exact"/>
              <w:ind w:firstLine="0" w:firstLineChars="0"/>
              <w:rPr>
                <w:rFonts w:ascii="Times New Roman" w:hAnsi="Times New Roman" w:eastAsia="宋体"/>
                <w:color w:val="auto"/>
                <w:kern w:val="0"/>
                <w:sz w:val="21"/>
                <w:szCs w:val="21"/>
              </w:rPr>
            </w:pPr>
            <w:r>
              <w:rPr>
                <w:rFonts w:ascii="Times New Roman" w:hAnsi="Times New Roman" w:eastAsia="宋体"/>
                <w:color w:val="auto"/>
                <w:kern w:val="0"/>
                <w:sz w:val="21"/>
                <w:szCs w:val="21"/>
              </w:rPr>
              <w:t>4.6尾矿输送与排放</w:t>
            </w:r>
          </w:p>
        </w:tc>
        <w:tc>
          <w:tcPr>
            <w:tcW w:w="6120" w:type="dxa"/>
            <w:noWrap w:val="0"/>
            <w:vAlign w:val="center"/>
          </w:tcPr>
          <w:p w14:paraId="134B822D">
            <w:pPr>
              <w:keepLines/>
              <w:spacing w:line="300" w:lineRule="exact"/>
              <w:ind w:firstLine="0" w:firstLineChars="0"/>
              <w:jc w:val="left"/>
              <w:rPr>
                <w:rFonts w:ascii="Times New Roman" w:hAnsi="Times New Roman" w:eastAsia="宋体"/>
                <w:color w:val="auto"/>
                <w:kern w:val="0"/>
                <w:sz w:val="21"/>
                <w:szCs w:val="21"/>
              </w:rPr>
            </w:pPr>
            <w:r>
              <w:rPr>
                <w:rFonts w:ascii="Times New Roman" w:hAnsi="Times New Roman" w:eastAsia="宋体"/>
                <w:color w:val="auto"/>
                <w:kern w:val="0"/>
                <w:sz w:val="21"/>
                <w:szCs w:val="21"/>
              </w:rPr>
              <w:t>尾矿输送与排放符合设计要求，不扣分</w:t>
            </w:r>
          </w:p>
        </w:tc>
        <w:tc>
          <w:tcPr>
            <w:tcW w:w="983" w:type="dxa"/>
            <w:gridSpan w:val="2"/>
            <w:vMerge w:val="restart"/>
            <w:noWrap w:val="0"/>
            <w:vAlign w:val="center"/>
          </w:tcPr>
          <w:p w14:paraId="2FB1910B">
            <w:pPr>
              <w:keepLines/>
              <w:spacing w:line="300" w:lineRule="exact"/>
              <w:ind w:firstLine="0" w:firstLineChars="0"/>
              <w:jc w:val="center"/>
              <w:rPr>
                <w:rFonts w:ascii="Times New Roman" w:hAnsi="Times New Roman" w:eastAsia="宋体"/>
                <w:color w:val="auto"/>
                <w:kern w:val="0"/>
                <w:sz w:val="21"/>
                <w:szCs w:val="21"/>
              </w:rPr>
            </w:pPr>
            <w:r>
              <w:rPr>
                <w:rFonts w:ascii="Times New Roman" w:hAnsi="Times New Roman" w:eastAsia="宋体"/>
                <w:color w:val="auto"/>
                <w:kern w:val="0"/>
                <w:sz w:val="21"/>
                <w:szCs w:val="21"/>
              </w:rPr>
              <w:t>4</w:t>
            </w:r>
          </w:p>
        </w:tc>
        <w:tc>
          <w:tcPr>
            <w:tcW w:w="817" w:type="dxa"/>
            <w:vMerge w:val="restart"/>
            <w:noWrap w:val="0"/>
            <w:vAlign w:val="center"/>
          </w:tcPr>
          <w:p w14:paraId="2EB92729">
            <w:pPr>
              <w:keepLines/>
              <w:spacing w:line="300" w:lineRule="exact"/>
              <w:ind w:firstLine="0" w:firstLineChars="0"/>
              <w:jc w:val="center"/>
              <w:rPr>
                <w:rFonts w:hint="eastAsia" w:ascii="Times New Roman" w:hAnsi="Times New Roman" w:eastAsia="宋体"/>
                <w:bCs/>
                <w:color w:val="auto"/>
                <w:kern w:val="0"/>
                <w:sz w:val="21"/>
                <w:szCs w:val="21"/>
              </w:rPr>
            </w:pPr>
            <w:r>
              <w:rPr>
                <w:rFonts w:hint="eastAsia" w:ascii="Times New Roman" w:hAnsi="Times New Roman" w:eastAsia="宋体"/>
                <w:bCs/>
                <w:color w:val="auto"/>
                <w:kern w:val="0"/>
                <w:sz w:val="21"/>
                <w:szCs w:val="21"/>
              </w:rPr>
              <w:t>4</w:t>
            </w:r>
          </w:p>
        </w:tc>
        <w:tc>
          <w:tcPr>
            <w:tcW w:w="5220" w:type="dxa"/>
            <w:vMerge w:val="restart"/>
            <w:noWrap w:val="0"/>
            <w:vAlign w:val="center"/>
          </w:tcPr>
          <w:p w14:paraId="34349161">
            <w:pPr>
              <w:keepLines/>
              <w:spacing w:line="300" w:lineRule="exact"/>
              <w:ind w:firstLine="0" w:firstLineChars="0"/>
              <w:jc w:val="center"/>
              <w:rPr>
                <w:rFonts w:ascii="Times New Roman" w:hAnsi="Times New Roman" w:eastAsia="宋体"/>
                <w:color w:val="auto"/>
                <w:sz w:val="21"/>
                <w:szCs w:val="21"/>
              </w:rPr>
            </w:pPr>
          </w:p>
        </w:tc>
      </w:tr>
      <w:tr w14:paraId="4BB7B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59D6848A">
            <w:pPr>
              <w:spacing w:line="300" w:lineRule="exact"/>
              <w:ind w:firstLine="0" w:firstLineChars="0"/>
              <w:rPr>
                <w:rFonts w:ascii="Times New Roman" w:hAnsi="Times New Roman" w:eastAsia="宋体"/>
                <w:color w:val="auto"/>
                <w:kern w:val="0"/>
                <w:sz w:val="21"/>
                <w:szCs w:val="21"/>
              </w:rPr>
            </w:pPr>
          </w:p>
        </w:tc>
        <w:tc>
          <w:tcPr>
            <w:tcW w:w="6120" w:type="dxa"/>
            <w:noWrap w:val="0"/>
            <w:vAlign w:val="center"/>
          </w:tcPr>
          <w:p w14:paraId="70B0DE65">
            <w:pPr>
              <w:keepLines/>
              <w:spacing w:line="300" w:lineRule="exact"/>
              <w:ind w:firstLine="0" w:firstLineChars="0"/>
              <w:jc w:val="left"/>
              <w:rPr>
                <w:rFonts w:ascii="Times New Roman" w:hAnsi="Times New Roman" w:eastAsia="宋体"/>
                <w:color w:val="auto"/>
                <w:kern w:val="0"/>
                <w:sz w:val="21"/>
                <w:szCs w:val="21"/>
              </w:rPr>
            </w:pPr>
            <w:r>
              <w:rPr>
                <w:rFonts w:ascii="Times New Roman" w:hAnsi="Times New Roman" w:eastAsia="宋体"/>
                <w:color w:val="auto"/>
                <w:kern w:val="0"/>
                <w:sz w:val="21"/>
                <w:szCs w:val="21"/>
              </w:rPr>
              <w:t>尾矿输送管槽线路不符合设计要求，扣2分</w:t>
            </w:r>
          </w:p>
        </w:tc>
        <w:tc>
          <w:tcPr>
            <w:tcW w:w="983" w:type="dxa"/>
            <w:gridSpan w:val="2"/>
            <w:vMerge w:val="continue"/>
            <w:noWrap w:val="0"/>
            <w:vAlign w:val="center"/>
          </w:tcPr>
          <w:p w14:paraId="6E0620C9">
            <w:pPr>
              <w:keepLines/>
              <w:spacing w:line="300" w:lineRule="exact"/>
              <w:ind w:firstLine="0" w:firstLineChars="0"/>
              <w:jc w:val="center"/>
              <w:rPr>
                <w:rFonts w:ascii="Times New Roman" w:hAnsi="Times New Roman" w:eastAsia="宋体"/>
                <w:color w:val="auto"/>
                <w:kern w:val="0"/>
                <w:sz w:val="21"/>
                <w:szCs w:val="21"/>
              </w:rPr>
            </w:pPr>
          </w:p>
        </w:tc>
        <w:tc>
          <w:tcPr>
            <w:tcW w:w="817" w:type="dxa"/>
            <w:vMerge w:val="continue"/>
            <w:noWrap w:val="0"/>
            <w:vAlign w:val="center"/>
          </w:tcPr>
          <w:p w14:paraId="1C2FEC71">
            <w:pPr>
              <w:keepLines/>
              <w:spacing w:line="300" w:lineRule="exact"/>
              <w:ind w:firstLine="0" w:firstLineChars="0"/>
              <w:jc w:val="center"/>
              <w:rPr>
                <w:rFonts w:ascii="Times New Roman" w:hAnsi="Times New Roman" w:eastAsia="宋体"/>
                <w:bCs/>
                <w:color w:val="auto"/>
                <w:kern w:val="0"/>
                <w:sz w:val="21"/>
                <w:szCs w:val="21"/>
              </w:rPr>
            </w:pPr>
          </w:p>
        </w:tc>
        <w:tc>
          <w:tcPr>
            <w:tcW w:w="5220" w:type="dxa"/>
            <w:vMerge w:val="continue"/>
            <w:noWrap w:val="0"/>
            <w:vAlign w:val="center"/>
          </w:tcPr>
          <w:p w14:paraId="4E9D3718">
            <w:pPr>
              <w:keepLines/>
              <w:spacing w:line="300" w:lineRule="exact"/>
              <w:ind w:firstLine="0" w:firstLineChars="0"/>
              <w:jc w:val="center"/>
              <w:rPr>
                <w:rFonts w:ascii="Times New Roman" w:hAnsi="Times New Roman" w:eastAsia="宋体"/>
                <w:color w:val="auto"/>
                <w:sz w:val="21"/>
                <w:szCs w:val="21"/>
              </w:rPr>
            </w:pPr>
          </w:p>
        </w:tc>
      </w:tr>
      <w:tr w14:paraId="73A8F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2DA20C28">
            <w:pPr>
              <w:spacing w:line="300" w:lineRule="exact"/>
              <w:ind w:firstLine="0" w:firstLineChars="0"/>
              <w:rPr>
                <w:rFonts w:ascii="Times New Roman" w:hAnsi="Times New Roman" w:eastAsia="宋体"/>
                <w:color w:val="auto"/>
                <w:kern w:val="0"/>
                <w:sz w:val="21"/>
                <w:szCs w:val="21"/>
              </w:rPr>
            </w:pPr>
          </w:p>
        </w:tc>
        <w:tc>
          <w:tcPr>
            <w:tcW w:w="6120" w:type="dxa"/>
            <w:noWrap w:val="0"/>
            <w:vAlign w:val="center"/>
          </w:tcPr>
          <w:p w14:paraId="5011C87E">
            <w:pPr>
              <w:keepLines/>
              <w:spacing w:line="300" w:lineRule="exact"/>
              <w:ind w:firstLine="0" w:firstLineChars="0"/>
              <w:jc w:val="left"/>
              <w:rPr>
                <w:rFonts w:ascii="Times New Roman" w:hAnsi="Times New Roman" w:eastAsia="宋体"/>
                <w:color w:val="auto"/>
                <w:kern w:val="0"/>
                <w:sz w:val="21"/>
                <w:szCs w:val="21"/>
              </w:rPr>
            </w:pPr>
            <w:r>
              <w:rPr>
                <w:rFonts w:ascii="Times New Roman" w:hAnsi="Times New Roman" w:eastAsia="宋体"/>
                <w:color w:val="auto"/>
                <w:kern w:val="0"/>
                <w:sz w:val="21"/>
                <w:szCs w:val="21"/>
              </w:rPr>
              <w:t>尾矿输送管槽穿过居民住宅区、铁路及公路、不良地址区和洪水淹没区、陷落和爆破危险及废石堆放区，发现1处扣1分，扣完为止</w:t>
            </w:r>
          </w:p>
        </w:tc>
        <w:tc>
          <w:tcPr>
            <w:tcW w:w="983" w:type="dxa"/>
            <w:gridSpan w:val="2"/>
            <w:vMerge w:val="continue"/>
            <w:noWrap w:val="0"/>
            <w:vAlign w:val="center"/>
          </w:tcPr>
          <w:p w14:paraId="08D3C143">
            <w:pPr>
              <w:keepLines/>
              <w:spacing w:line="300" w:lineRule="exact"/>
              <w:ind w:firstLine="0" w:firstLineChars="0"/>
              <w:jc w:val="center"/>
              <w:rPr>
                <w:rFonts w:ascii="Times New Roman" w:hAnsi="Times New Roman" w:eastAsia="宋体"/>
                <w:color w:val="auto"/>
                <w:kern w:val="0"/>
                <w:sz w:val="21"/>
                <w:szCs w:val="21"/>
              </w:rPr>
            </w:pPr>
          </w:p>
        </w:tc>
        <w:tc>
          <w:tcPr>
            <w:tcW w:w="817" w:type="dxa"/>
            <w:vMerge w:val="continue"/>
            <w:noWrap w:val="0"/>
            <w:vAlign w:val="center"/>
          </w:tcPr>
          <w:p w14:paraId="57350888">
            <w:pPr>
              <w:keepLines/>
              <w:spacing w:line="300" w:lineRule="exact"/>
              <w:ind w:firstLine="0" w:firstLineChars="0"/>
              <w:jc w:val="center"/>
              <w:rPr>
                <w:rFonts w:ascii="Times New Roman" w:hAnsi="Times New Roman" w:eastAsia="宋体"/>
                <w:bCs/>
                <w:color w:val="auto"/>
                <w:kern w:val="0"/>
                <w:sz w:val="21"/>
                <w:szCs w:val="21"/>
              </w:rPr>
            </w:pPr>
          </w:p>
        </w:tc>
        <w:tc>
          <w:tcPr>
            <w:tcW w:w="5220" w:type="dxa"/>
            <w:vMerge w:val="continue"/>
            <w:noWrap w:val="0"/>
            <w:vAlign w:val="center"/>
          </w:tcPr>
          <w:p w14:paraId="0B6D6992">
            <w:pPr>
              <w:keepLines/>
              <w:spacing w:line="300" w:lineRule="exact"/>
              <w:ind w:firstLine="0" w:firstLineChars="0"/>
              <w:jc w:val="center"/>
              <w:rPr>
                <w:rFonts w:ascii="Times New Roman" w:hAnsi="Times New Roman" w:eastAsia="宋体"/>
                <w:color w:val="auto"/>
                <w:sz w:val="21"/>
                <w:szCs w:val="21"/>
              </w:rPr>
            </w:pPr>
          </w:p>
        </w:tc>
      </w:tr>
      <w:tr w14:paraId="3DEC3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63C50292">
            <w:pPr>
              <w:spacing w:line="300" w:lineRule="exact"/>
              <w:ind w:firstLine="0" w:firstLineChars="0"/>
              <w:rPr>
                <w:rFonts w:ascii="Times New Roman" w:hAnsi="Times New Roman" w:eastAsia="宋体"/>
                <w:color w:val="auto"/>
                <w:kern w:val="0"/>
                <w:sz w:val="21"/>
                <w:szCs w:val="21"/>
              </w:rPr>
            </w:pPr>
          </w:p>
        </w:tc>
        <w:tc>
          <w:tcPr>
            <w:tcW w:w="6120" w:type="dxa"/>
            <w:noWrap w:val="0"/>
            <w:vAlign w:val="center"/>
          </w:tcPr>
          <w:p w14:paraId="7128CD68">
            <w:pPr>
              <w:keepLines/>
              <w:spacing w:line="300" w:lineRule="exact"/>
              <w:ind w:firstLine="0" w:firstLineChars="0"/>
              <w:jc w:val="left"/>
              <w:rPr>
                <w:rFonts w:ascii="Times New Roman" w:hAnsi="Times New Roman" w:eastAsia="宋体"/>
                <w:color w:val="auto"/>
                <w:kern w:val="0"/>
                <w:sz w:val="21"/>
                <w:szCs w:val="21"/>
              </w:rPr>
            </w:pPr>
            <w:r>
              <w:rPr>
                <w:rFonts w:ascii="Times New Roman" w:hAnsi="Times New Roman" w:eastAsia="宋体"/>
                <w:color w:val="auto"/>
                <w:kern w:val="0"/>
                <w:sz w:val="21"/>
                <w:szCs w:val="21"/>
              </w:rPr>
              <w:t>排水设备及管道出现堵塞、渗漏、开裂等损坏，发现1处扣1分，扣完为止</w:t>
            </w:r>
          </w:p>
        </w:tc>
        <w:tc>
          <w:tcPr>
            <w:tcW w:w="983" w:type="dxa"/>
            <w:gridSpan w:val="2"/>
            <w:vMerge w:val="continue"/>
            <w:noWrap w:val="0"/>
            <w:vAlign w:val="center"/>
          </w:tcPr>
          <w:p w14:paraId="7403A6E6">
            <w:pPr>
              <w:keepLines/>
              <w:spacing w:line="300" w:lineRule="exact"/>
              <w:ind w:firstLine="0" w:firstLineChars="0"/>
              <w:jc w:val="center"/>
              <w:rPr>
                <w:rFonts w:ascii="Times New Roman" w:hAnsi="Times New Roman" w:eastAsia="宋体"/>
                <w:color w:val="auto"/>
                <w:kern w:val="0"/>
                <w:sz w:val="21"/>
                <w:szCs w:val="21"/>
              </w:rPr>
            </w:pPr>
          </w:p>
        </w:tc>
        <w:tc>
          <w:tcPr>
            <w:tcW w:w="817" w:type="dxa"/>
            <w:vMerge w:val="continue"/>
            <w:noWrap w:val="0"/>
            <w:vAlign w:val="center"/>
          </w:tcPr>
          <w:p w14:paraId="454FEBA8">
            <w:pPr>
              <w:keepLines/>
              <w:spacing w:line="300" w:lineRule="exact"/>
              <w:ind w:firstLine="0" w:firstLineChars="0"/>
              <w:jc w:val="center"/>
              <w:rPr>
                <w:rFonts w:ascii="Times New Roman" w:hAnsi="Times New Roman" w:eastAsia="宋体"/>
                <w:color w:val="auto"/>
                <w:kern w:val="0"/>
                <w:sz w:val="21"/>
                <w:szCs w:val="21"/>
              </w:rPr>
            </w:pPr>
          </w:p>
        </w:tc>
        <w:tc>
          <w:tcPr>
            <w:tcW w:w="5220" w:type="dxa"/>
            <w:vMerge w:val="continue"/>
            <w:noWrap w:val="0"/>
            <w:vAlign w:val="center"/>
          </w:tcPr>
          <w:p w14:paraId="7E09BF90">
            <w:pPr>
              <w:keepLines/>
              <w:spacing w:line="300" w:lineRule="exact"/>
              <w:ind w:firstLine="0" w:firstLineChars="0"/>
              <w:jc w:val="center"/>
              <w:rPr>
                <w:rFonts w:ascii="Times New Roman" w:hAnsi="Times New Roman" w:eastAsia="宋体"/>
                <w:color w:val="auto"/>
                <w:sz w:val="21"/>
                <w:szCs w:val="21"/>
              </w:rPr>
            </w:pPr>
          </w:p>
        </w:tc>
      </w:tr>
      <w:tr w14:paraId="4CAE6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0F4347D6">
            <w:pPr>
              <w:spacing w:line="300" w:lineRule="exact"/>
              <w:ind w:firstLine="0" w:firstLineChars="0"/>
              <w:rPr>
                <w:rFonts w:ascii="Times New Roman" w:hAnsi="Times New Roman" w:eastAsia="宋体"/>
                <w:color w:val="auto"/>
                <w:kern w:val="0"/>
                <w:sz w:val="21"/>
                <w:szCs w:val="21"/>
              </w:rPr>
            </w:pPr>
          </w:p>
        </w:tc>
        <w:tc>
          <w:tcPr>
            <w:tcW w:w="6120" w:type="dxa"/>
            <w:noWrap w:val="0"/>
            <w:vAlign w:val="center"/>
          </w:tcPr>
          <w:p w14:paraId="365292F0">
            <w:pPr>
              <w:keepLines/>
              <w:spacing w:line="300" w:lineRule="exact"/>
              <w:ind w:firstLine="0" w:firstLineChars="0"/>
              <w:jc w:val="left"/>
              <w:rPr>
                <w:rFonts w:ascii="Times New Roman" w:hAnsi="Times New Roman" w:eastAsia="宋体"/>
                <w:color w:val="auto"/>
                <w:kern w:val="0"/>
                <w:sz w:val="21"/>
                <w:szCs w:val="21"/>
              </w:rPr>
            </w:pPr>
            <w:r>
              <w:rPr>
                <w:rFonts w:ascii="Times New Roman" w:hAnsi="Times New Roman" w:eastAsia="宋体"/>
                <w:color w:val="auto"/>
                <w:kern w:val="0"/>
                <w:sz w:val="21"/>
                <w:szCs w:val="21"/>
              </w:rPr>
              <w:t>不均匀排放，形成干滩的，发现1处扣1分，扣完为止</w:t>
            </w:r>
          </w:p>
        </w:tc>
        <w:tc>
          <w:tcPr>
            <w:tcW w:w="983" w:type="dxa"/>
            <w:gridSpan w:val="2"/>
            <w:vMerge w:val="continue"/>
            <w:noWrap w:val="0"/>
            <w:vAlign w:val="center"/>
          </w:tcPr>
          <w:p w14:paraId="5759C685">
            <w:pPr>
              <w:keepLines/>
              <w:spacing w:line="300" w:lineRule="exact"/>
              <w:ind w:firstLine="0" w:firstLineChars="0"/>
              <w:jc w:val="center"/>
              <w:rPr>
                <w:rFonts w:ascii="Times New Roman" w:hAnsi="Times New Roman" w:eastAsia="宋体"/>
                <w:color w:val="auto"/>
                <w:kern w:val="0"/>
                <w:sz w:val="21"/>
                <w:szCs w:val="21"/>
              </w:rPr>
            </w:pPr>
          </w:p>
        </w:tc>
        <w:tc>
          <w:tcPr>
            <w:tcW w:w="817" w:type="dxa"/>
            <w:vMerge w:val="continue"/>
            <w:noWrap w:val="0"/>
            <w:vAlign w:val="center"/>
          </w:tcPr>
          <w:p w14:paraId="625220AF">
            <w:pPr>
              <w:keepLines/>
              <w:spacing w:line="300" w:lineRule="exact"/>
              <w:ind w:firstLine="0" w:firstLineChars="0"/>
              <w:jc w:val="center"/>
              <w:rPr>
                <w:rFonts w:ascii="Times New Roman" w:hAnsi="Times New Roman" w:eastAsia="宋体"/>
                <w:color w:val="auto"/>
                <w:kern w:val="0"/>
                <w:sz w:val="21"/>
                <w:szCs w:val="21"/>
              </w:rPr>
            </w:pPr>
          </w:p>
        </w:tc>
        <w:tc>
          <w:tcPr>
            <w:tcW w:w="5220" w:type="dxa"/>
            <w:vMerge w:val="continue"/>
            <w:noWrap w:val="0"/>
            <w:vAlign w:val="center"/>
          </w:tcPr>
          <w:p w14:paraId="5062CED7">
            <w:pPr>
              <w:keepLines/>
              <w:spacing w:line="300" w:lineRule="exact"/>
              <w:ind w:firstLine="0" w:firstLineChars="0"/>
              <w:jc w:val="center"/>
              <w:rPr>
                <w:rFonts w:ascii="Times New Roman" w:hAnsi="Times New Roman" w:eastAsia="宋体"/>
                <w:color w:val="auto"/>
                <w:sz w:val="21"/>
                <w:szCs w:val="21"/>
              </w:rPr>
            </w:pPr>
          </w:p>
        </w:tc>
      </w:tr>
      <w:tr w14:paraId="3B853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restart"/>
            <w:noWrap w:val="0"/>
            <w:vAlign w:val="center"/>
          </w:tcPr>
          <w:p w14:paraId="42F98070">
            <w:pPr>
              <w:spacing w:line="300" w:lineRule="exact"/>
              <w:ind w:firstLine="0" w:firstLineChars="0"/>
              <w:rPr>
                <w:rFonts w:ascii="Times New Roman" w:hAnsi="Times New Roman" w:eastAsia="宋体"/>
                <w:color w:val="auto"/>
                <w:kern w:val="0"/>
                <w:sz w:val="21"/>
                <w:szCs w:val="21"/>
              </w:rPr>
            </w:pPr>
            <w:r>
              <w:rPr>
                <w:rFonts w:ascii="Times New Roman" w:hAnsi="Times New Roman" w:eastAsia="宋体"/>
                <w:color w:val="auto"/>
                <w:kern w:val="0"/>
                <w:sz w:val="21"/>
                <w:szCs w:val="21"/>
              </w:rPr>
              <w:t>4.7尾矿回水</w:t>
            </w:r>
          </w:p>
        </w:tc>
        <w:tc>
          <w:tcPr>
            <w:tcW w:w="6120" w:type="dxa"/>
            <w:noWrap w:val="0"/>
            <w:vAlign w:val="center"/>
          </w:tcPr>
          <w:p w14:paraId="48D3CC1D">
            <w:pPr>
              <w:keepLines/>
              <w:spacing w:line="300" w:lineRule="exact"/>
              <w:ind w:firstLine="0" w:firstLineChars="0"/>
              <w:jc w:val="left"/>
              <w:rPr>
                <w:rFonts w:ascii="Times New Roman" w:hAnsi="Times New Roman" w:eastAsia="宋体"/>
                <w:color w:val="auto"/>
                <w:kern w:val="0"/>
                <w:sz w:val="21"/>
                <w:szCs w:val="21"/>
              </w:rPr>
            </w:pPr>
            <w:r>
              <w:rPr>
                <w:rFonts w:ascii="Times New Roman" w:hAnsi="Times New Roman" w:eastAsia="宋体"/>
                <w:color w:val="auto"/>
                <w:kern w:val="0"/>
                <w:sz w:val="21"/>
                <w:szCs w:val="21"/>
              </w:rPr>
              <w:t>尾矿回水符合设计要求，不扣分</w:t>
            </w:r>
          </w:p>
        </w:tc>
        <w:tc>
          <w:tcPr>
            <w:tcW w:w="983" w:type="dxa"/>
            <w:gridSpan w:val="2"/>
            <w:vMerge w:val="restart"/>
            <w:noWrap w:val="0"/>
            <w:vAlign w:val="center"/>
          </w:tcPr>
          <w:p w14:paraId="62C7F6AD">
            <w:pPr>
              <w:keepLines/>
              <w:spacing w:line="300" w:lineRule="exact"/>
              <w:ind w:firstLine="0" w:firstLineChars="0"/>
              <w:jc w:val="center"/>
              <w:rPr>
                <w:rFonts w:ascii="Times New Roman" w:hAnsi="Times New Roman" w:eastAsia="宋体"/>
                <w:color w:val="auto"/>
                <w:kern w:val="0"/>
                <w:sz w:val="21"/>
                <w:szCs w:val="21"/>
              </w:rPr>
            </w:pPr>
            <w:r>
              <w:rPr>
                <w:rFonts w:ascii="Times New Roman" w:hAnsi="Times New Roman" w:eastAsia="宋体"/>
                <w:color w:val="auto"/>
                <w:kern w:val="0"/>
                <w:sz w:val="21"/>
                <w:szCs w:val="21"/>
              </w:rPr>
              <w:t>2</w:t>
            </w:r>
          </w:p>
        </w:tc>
        <w:tc>
          <w:tcPr>
            <w:tcW w:w="817" w:type="dxa"/>
            <w:vMerge w:val="restart"/>
            <w:noWrap w:val="0"/>
            <w:vAlign w:val="center"/>
          </w:tcPr>
          <w:p w14:paraId="2AE3244D">
            <w:pPr>
              <w:keepLines/>
              <w:spacing w:line="300" w:lineRule="exact"/>
              <w:ind w:firstLine="0" w:firstLineChars="0"/>
              <w:jc w:val="center"/>
              <w:rPr>
                <w:rFonts w:hint="eastAsia" w:ascii="Times New Roman" w:hAnsi="Times New Roman" w:eastAsia="宋体"/>
                <w:bCs/>
                <w:color w:val="auto"/>
                <w:kern w:val="0"/>
                <w:sz w:val="21"/>
                <w:szCs w:val="21"/>
              </w:rPr>
            </w:pPr>
            <w:r>
              <w:rPr>
                <w:rFonts w:hint="eastAsia" w:ascii="Times New Roman" w:hAnsi="Times New Roman" w:eastAsia="宋体"/>
                <w:bCs/>
                <w:color w:val="auto"/>
                <w:kern w:val="0"/>
                <w:sz w:val="21"/>
                <w:szCs w:val="21"/>
              </w:rPr>
              <w:t>2</w:t>
            </w:r>
          </w:p>
        </w:tc>
        <w:tc>
          <w:tcPr>
            <w:tcW w:w="5220" w:type="dxa"/>
            <w:vMerge w:val="restart"/>
            <w:noWrap w:val="0"/>
            <w:vAlign w:val="center"/>
          </w:tcPr>
          <w:p w14:paraId="228E9926">
            <w:pPr>
              <w:keepLines/>
              <w:spacing w:line="300" w:lineRule="exact"/>
              <w:ind w:firstLine="0" w:firstLineChars="0"/>
              <w:jc w:val="center"/>
              <w:rPr>
                <w:rFonts w:ascii="Times New Roman" w:hAnsi="Times New Roman" w:eastAsia="宋体"/>
                <w:color w:val="auto"/>
                <w:sz w:val="21"/>
                <w:szCs w:val="21"/>
              </w:rPr>
            </w:pPr>
          </w:p>
        </w:tc>
      </w:tr>
      <w:tr w14:paraId="61A0A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297C0271">
            <w:pPr>
              <w:spacing w:line="300" w:lineRule="exact"/>
              <w:ind w:firstLine="0" w:firstLineChars="0"/>
              <w:rPr>
                <w:rFonts w:ascii="Times New Roman" w:hAnsi="Times New Roman" w:eastAsia="宋体"/>
                <w:color w:val="auto"/>
                <w:kern w:val="0"/>
                <w:sz w:val="21"/>
                <w:szCs w:val="21"/>
              </w:rPr>
            </w:pPr>
          </w:p>
        </w:tc>
        <w:tc>
          <w:tcPr>
            <w:tcW w:w="6120" w:type="dxa"/>
            <w:noWrap w:val="0"/>
            <w:vAlign w:val="center"/>
          </w:tcPr>
          <w:p w14:paraId="452FB18D">
            <w:pPr>
              <w:keepLines/>
              <w:spacing w:line="300" w:lineRule="exact"/>
              <w:ind w:firstLine="0" w:firstLineChars="0"/>
              <w:jc w:val="left"/>
              <w:rPr>
                <w:rFonts w:ascii="Times New Roman" w:hAnsi="Times New Roman" w:eastAsia="宋体"/>
                <w:color w:val="auto"/>
                <w:kern w:val="0"/>
                <w:sz w:val="21"/>
                <w:szCs w:val="21"/>
              </w:rPr>
            </w:pPr>
            <w:r>
              <w:rPr>
                <w:rFonts w:ascii="Times New Roman" w:hAnsi="Times New Roman" w:eastAsia="宋体"/>
                <w:color w:val="auto"/>
                <w:kern w:val="0"/>
                <w:sz w:val="21"/>
                <w:szCs w:val="21"/>
              </w:rPr>
              <w:t>尾矿库内回水取水点距沉积滩水边距离，未能满足尾矿澄清距离要求，扣1分</w:t>
            </w:r>
          </w:p>
        </w:tc>
        <w:tc>
          <w:tcPr>
            <w:tcW w:w="983" w:type="dxa"/>
            <w:gridSpan w:val="2"/>
            <w:vMerge w:val="continue"/>
            <w:noWrap w:val="0"/>
            <w:vAlign w:val="center"/>
          </w:tcPr>
          <w:p w14:paraId="63BAA032">
            <w:pPr>
              <w:keepLines/>
              <w:spacing w:line="300" w:lineRule="exact"/>
              <w:ind w:firstLine="0" w:firstLineChars="0"/>
              <w:jc w:val="center"/>
              <w:rPr>
                <w:rFonts w:ascii="Times New Roman" w:hAnsi="Times New Roman" w:eastAsia="宋体"/>
                <w:color w:val="auto"/>
                <w:kern w:val="0"/>
                <w:sz w:val="21"/>
                <w:szCs w:val="21"/>
              </w:rPr>
            </w:pPr>
          </w:p>
        </w:tc>
        <w:tc>
          <w:tcPr>
            <w:tcW w:w="817" w:type="dxa"/>
            <w:vMerge w:val="continue"/>
            <w:noWrap w:val="0"/>
            <w:vAlign w:val="center"/>
          </w:tcPr>
          <w:p w14:paraId="188B4E5A">
            <w:pPr>
              <w:keepLines/>
              <w:spacing w:line="300" w:lineRule="exact"/>
              <w:ind w:firstLine="0" w:firstLineChars="0"/>
              <w:jc w:val="center"/>
              <w:rPr>
                <w:rFonts w:ascii="Times New Roman" w:hAnsi="Times New Roman" w:eastAsia="宋体"/>
                <w:bCs/>
                <w:color w:val="auto"/>
                <w:kern w:val="0"/>
                <w:sz w:val="21"/>
                <w:szCs w:val="21"/>
              </w:rPr>
            </w:pPr>
          </w:p>
        </w:tc>
        <w:tc>
          <w:tcPr>
            <w:tcW w:w="5220" w:type="dxa"/>
            <w:vMerge w:val="continue"/>
            <w:noWrap w:val="0"/>
            <w:vAlign w:val="center"/>
          </w:tcPr>
          <w:p w14:paraId="04F2002F">
            <w:pPr>
              <w:keepLines/>
              <w:spacing w:line="300" w:lineRule="exact"/>
              <w:ind w:firstLine="0" w:firstLineChars="0"/>
              <w:jc w:val="center"/>
              <w:rPr>
                <w:rFonts w:ascii="Times New Roman" w:hAnsi="Times New Roman" w:eastAsia="宋体"/>
                <w:color w:val="auto"/>
                <w:sz w:val="21"/>
                <w:szCs w:val="21"/>
              </w:rPr>
            </w:pPr>
          </w:p>
        </w:tc>
      </w:tr>
      <w:tr w14:paraId="1C1FA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40" w:type="dxa"/>
            <w:vMerge w:val="continue"/>
            <w:noWrap w:val="0"/>
            <w:vAlign w:val="center"/>
          </w:tcPr>
          <w:p w14:paraId="2E547C9F">
            <w:pPr>
              <w:spacing w:line="300" w:lineRule="exact"/>
              <w:ind w:firstLine="0" w:firstLineChars="0"/>
              <w:rPr>
                <w:rFonts w:ascii="Times New Roman" w:hAnsi="Times New Roman" w:eastAsia="宋体"/>
                <w:color w:val="auto"/>
                <w:kern w:val="0"/>
                <w:sz w:val="21"/>
                <w:szCs w:val="21"/>
              </w:rPr>
            </w:pPr>
          </w:p>
        </w:tc>
        <w:tc>
          <w:tcPr>
            <w:tcW w:w="6120" w:type="dxa"/>
            <w:noWrap w:val="0"/>
            <w:vAlign w:val="center"/>
          </w:tcPr>
          <w:p w14:paraId="09AB144E">
            <w:pPr>
              <w:keepLines/>
              <w:spacing w:line="300" w:lineRule="exact"/>
              <w:ind w:firstLine="0" w:firstLineChars="0"/>
              <w:jc w:val="left"/>
              <w:rPr>
                <w:rFonts w:ascii="Times New Roman" w:hAnsi="Times New Roman" w:eastAsia="宋体"/>
                <w:color w:val="auto"/>
                <w:kern w:val="0"/>
                <w:sz w:val="21"/>
                <w:szCs w:val="21"/>
              </w:rPr>
            </w:pPr>
            <w:r>
              <w:rPr>
                <w:rFonts w:ascii="Times New Roman" w:hAnsi="Times New Roman" w:eastAsia="宋体"/>
                <w:color w:val="auto"/>
                <w:kern w:val="0"/>
                <w:sz w:val="21"/>
                <w:szCs w:val="21"/>
              </w:rPr>
              <w:t>排水设备未保持良好状况，水泵旋转部位未有防护设施，发现一处扣1分，扣完为止</w:t>
            </w:r>
          </w:p>
        </w:tc>
        <w:tc>
          <w:tcPr>
            <w:tcW w:w="983" w:type="dxa"/>
            <w:gridSpan w:val="2"/>
            <w:vMerge w:val="continue"/>
            <w:noWrap w:val="0"/>
            <w:vAlign w:val="center"/>
          </w:tcPr>
          <w:p w14:paraId="46F578DF">
            <w:pPr>
              <w:keepLines/>
              <w:spacing w:line="300" w:lineRule="exact"/>
              <w:ind w:firstLine="0" w:firstLineChars="0"/>
              <w:jc w:val="center"/>
              <w:rPr>
                <w:rFonts w:ascii="Times New Roman" w:hAnsi="Times New Roman" w:eastAsia="宋体"/>
                <w:color w:val="auto"/>
                <w:kern w:val="0"/>
                <w:sz w:val="21"/>
                <w:szCs w:val="21"/>
              </w:rPr>
            </w:pPr>
          </w:p>
        </w:tc>
        <w:tc>
          <w:tcPr>
            <w:tcW w:w="817" w:type="dxa"/>
            <w:vMerge w:val="continue"/>
            <w:noWrap w:val="0"/>
            <w:vAlign w:val="center"/>
          </w:tcPr>
          <w:p w14:paraId="6BE8AED3">
            <w:pPr>
              <w:keepLines/>
              <w:spacing w:line="300" w:lineRule="exact"/>
              <w:ind w:firstLine="0" w:firstLineChars="0"/>
              <w:jc w:val="center"/>
              <w:rPr>
                <w:rFonts w:ascii="Times New Roman" w:hAnsi="Times New Roman" w:eastAsia="宋体"/>
                <w:color w:val="auto"/>
                <w:kern w:val="0"/>
                <w:sz w:val="21"/>
                <w:szCs w:val="21"/>
              </w:rPr>
            </w:pPr>
          </w:p>
        </w:tc>
        <w:tc>
          <w:tcPr>
            <w:tcW w:w="5220" w:type="dxa"/>
            <w:vMerge w:val="continue"/>
            <w:noWrap w:val="0"/>
            <w:vAlign w:val="center"/>
          </w:tcPr>
          <w:p w14:paraId="612E76CF">
            <w:pPr>
              <w:keepLines/>
              <w:spacing w:line="300" w:lineRule="exact"/>
              <w:ind w:firstLine="0" w:firstLineChars="0"/>
              <w:jc w:val="center"/>
              <w:rPr>
                <w:rFonts w:ascii="Times New Roman" w:hAnsi="Times New Roman" w:eastAsia="宋体"/>
                <w:color w:val="auto"/>
                <w:sz w:val="21"/>
                <w:szCs w:val="21"/>
              </w:rPr>
            </w:pPr>
          </w:p>
        </w:tc>
      </w:tr>
      <w:tr w14:paraId="19823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restart"/>
            <w:noWrap w:val="0"/>
            <w:vAlign w:val="center"/>
          </w:tcPr>
          <w:p w14:paraId="39DED912">
            <w:pPr>
              <w:spacing w:line="300" w:lineRule="exact"/>
              <w:ind w:firstLine="0" w:firstLineChars="0"/>
              <w:rPr>
                <w:rFonts w:ascii="Times New Roman" w:hAnsi="Times New Roman" w:eastAsia="宋体"/>
                <w:color w:val="auto"/>
                <w:kern w:val="0"/>
                <w:sz w:val="21"/>
                <w:szCs w:val="21"/>
              </w:rPr>
            </w:pPr>
            <w:r>
              <w:rPr>
                <w:rFonts w:ascii="Times New Roman" w:hAnsi="Times New Roman" w:eastAsia="宋体"/>
                <w:color w:val="auto"/>
                <w:sz w:val="21"/>
                <w:szCs w:val="21"/>
              </w:rPr>
              <w:t>4.8</w:t>
            </w:r>
            <w:r>
              <w:rPr>
                <w:rFonts w:ascii="Times New Roman" w:hAnsi="Times New Roman" w:eastAsia="宋体"/>
                <w:color w:val="auto"/>
                <w:kern w:val="0"/>
                <w:sz w:val="21"/>
                <w:szCs w:val="21"/>
              </w:rPr>
              <w:t>照明设施</w:t>
            </w:r>
          </w:p>
        </w:tc>
        <w:tc>
          <w:tcPr>
            <w:tcW w:w="6120" w:type="dxa"/>
            <w:noWrap w:val="0"/>
            <w:vAlign w:val="center"/>
          </w:tcPr>
          <w:p w14:paraId="5190523D">
            <w:pPr>
              <w:keepLines/>
              <w:spacing w:line="300" w:lineRule="exact"/>
              <w:ind w:firstLine="0" w:firstLineChars="0"/>
              <w:jc w:val="left"/>
              <w:rPr>
                <w:rFonts w:ascii="Times New Roman" w:hAnsi="Times New Roman" w:eastAsia="宋体"/>
                <w:color w:val="auto"/>
                <w:kern w:val="0"/>
                <w:sz w:val="21"/>
                <w:szCs w:val="21"/>
              </w:rPr>
            </w:pPr>
            <w:r>
              <w:rPr>
                <w:rFonts w:ascii="Times New Roman" w:hAnsi="Times New Roman" w:eastAsia="宋体"/>
                <w:color w:val="auto"/>
                <w:kern w:val="0"/>
                <w:sz w:val="21"/>
                <w:szCs w:val="21"/>
              </w:rPr>
              <w:t>照明设施符合设计要求，不扣分</w:t>
            </w:r>
          </w:p>
        </w:tc>
        <w:tc>
          <w:tcPr>
            <w:tcW w:w="983" w:type="dxa"/>
            <w:gridSpan w:val="2"/>
            <w:vMerge w:val="restart"/>
            <w:noWrap w:val="0"/>
            <w:vAlign w:val="center"/>
          </w:tcPr>
          <w:p w14:paraId="5C37D678">
            <w:pPr>
              <w:keepLines/>
              <w:spacing w:line="300" w:lineRule="exact"/>
              <w:ind w:firstLine="0" w:firstLineChars="0"/>
              <w:jc w:val="center"/>
              <w:rPr>
                <w:rFonts w:ascii="Times New Roman" w:hAnsi="Times New Roman" w:eastAsia="宋体"/>
                <w:color w:val="auto"/>
                <w:kern w:val="0"/>
                <w:sz w:val="21"/>
                <w:szCs w:val="21"/>
              </w:rPr>
            </w:pPr>
            <w:r>
              <w:rPr>
                <w:rFonts w:ascii="Times New Roman" w:hAnsi="Times New Roman" w:eastAsia="宋体"/>
                <w:color w:val="auto"/>
                <w:kern w:val="0"/>
                <w:sz w:val="21"/>
                <w:szCs w:val="21"/>
              </w:rPr>
              <w:t>2</w:t>
            </w:r>
          </w:p>
        </w:tc>
        <w:tc>
          <w:tcPr>
            <w:tcW w:w="817" w:type="dxa"/>
            <w:vMerge w:val="restart"/>
            <w:noWrap w:val="0"/>
            <w:vAlign w:val="center"/>
          </w:tcPr>
          <w:p w14:paraId="7C0B4666">
            <w:pPr>
              <w:keepLines/>
              <w:spacing w:line="300" w:lineRule="exact"/>
              <w:ind w:firstLine="0" w:firstLineChars="0"/>
              <w:jc w:val="center"/>
              <w:rPr>
                <w:rFonts w:hint="eastAsia" w:ascii="Times New Roman" w:hAnsi="Times New Roman" w:eastAsia="宋体"/>
                <w:bCs/>
                <w:color w:val="auto"/>
                <w:kern w:val="0"/>
                <w:sz w:val="21"/>
                <w:szCs w:val="21"/>
              </w:rPr>
            </w:pPr>
            <w:r>
              <w:rPr>
                <w:rFonts w:hint="eastAsia" w:ascii="Times New Roman" w:hAnsi="Times New Roman" w:eastAsia="宋体"/>
                <w:bCs/>
                <w:color w:val="auto"/>
                <w:kern w:val="0"/>
                <w:sz w:val="21"/>
                <w:szCs w:val="21"/>
              </w:rPr>
              <w:t>2</w:t>
            </w:r>
          </w:p>
        </w:tc>
        <w:tc>
          <w:tcPr>
            <w:tcW w:w="5220" w:type="dxa"/>
            <w:vMerge w:val="restart"/>
            <w:noWrap w:val="0"/>
            <w:vAlign w:val="center"/>
          </w:tcPr>
          <w:p w14:paraId="3BD6FEEF">
            <w:pPr>
              <w:keepLines/>
              <w:spacing w:line="300" w:lineRule="exact"/>
              <w:ind w:firstLine="0" w:firstLineChars="0"/>
              <w:jc w:val="center"/>
              <w:rPr>
                <w:rFonts w:ascii="Times New Roman" w:hAnsi="Times New Roman" w:eastAsia="宋体"/>
                <w:color w:val="auto"/>
                <w:sz w:val="21"/>
                <w:szCs w:val="21"/>
              </w:rPr>
            </w:pPr>
          </w:p>
        </w:tc>
      </w:tr>
      <w:tr w14:paraId="032AD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259D7C6C">
            <w:pPr>
              <w:spacing w:line="300" w:lineRule="exact"/>
              <w:ind w:firstLine="0" w:firstLineChars="0"/>
              <w:rPr>
                <w:rFonts w:ascii="Times New Roman" w:hAnsi="Times New Roman" w:eastAsia="宋体"/>
                <w:color w:val="auto"/>
                <w:sz w:val="21"/>
                <w:szCs w:val="21"/>
              </w:rPr>
            </w:pPr>
          </w:p>
        </w:tc>
        <w:tc>
          <w:tcPr>
            <w:tcW w:w="6120" w:type="dxa"/>
            <w:noWrap w:val="0"/>
            <w:vAlign w:val="center"/>
          </w:tcPr>
          <w:p w14:paraId="0D51CA03">
            <w:pPr>
              <w:keepLines/>
              <w:spacing w:line="300" w:lineRule="exact"/>
              <w:ind w:firstLine="0" w:firstLineChars="0"/>
              <w:jc w:val="left"/>
              <w:rPr>
                <w:rFonts w:ascii="Times New Roman" w:hAnsi="Times New Roman" w:eastAsia="宋体"/>
                <w:color w:val="auto"/>
                <w:kern w:val="0"/>
                <w:sz w:val="21"/>
                <w:szCs w:val="21"/>
              </w:rPr>
            </w:pPr>
            <w:r>
              <w:rPr>
                <w:rFonts w:ascii="Times New Roman" w:hAnsi="Times New Roman" w:eastAsia="宋体"/>
                <w:color w:val="auto"/>
                <w:kern w:val="0"/>
                <w:sz w:val="21"/>
                <w:szCs w:val="21"/>
              </w:rPr>
              <w:t>库区内的所有电力线路，未按安全规程要求敷设整齐，扣1分</w:t>
            </w:r>
          </w:p>
        </w:tc>
        <w:tc>
          <w:tcPr>
            <w:tcW w:w="983" w:type="dxa"/>
            <w:gridSpan w:val="2"/>
            <w:vMerge w:val="continue"/>
            <w:noWrap w:val="0"/>
            <w:vAlign w:val="center"/>
          </w:tcPr>
          <w:p w14:paraId="14410E72">
            <w:pPr>
              <w:keepLines/>
              <w:spacing w:line="300" w:lineRule="exact"/>
              <w:ind w:firstLine="0" w:firstLineChars="0"/>
              <w:jc w:val="center"/>
              <w:rPr>
                <w:rFonts w:ascii="Times New Roman" w:hAnsi="Times New Roman" w:eastAsia="宋体"/>
                <w:color w:val="auto"/>
                <w:kern w:val="0"/>
                <w:sz w:val="21"/>
                <w:szCs w:val="21"/>
              </w:rPr>
            </w:pPr>
          </w:p>
        </w:tc>
        <w:tc>
          <w:tcPr>
            <w:tcW w:w="817" w:type="dxa"/>
            <w:vMerge w:val="continue"/>
            <w:noWrap w:val="0"/>
            <w:vAlign w:val="center"/>
          </w:tcPr>
          <w:p w14:paraId="6B84DC32">
            <w:pPr>
              <w:keepLines/>
              <w:spacing w:line="300" w:lineRule="exact"/>
              <w:ind w:firstLine="0" w:firstLineChars="0"/>
              <w:jc w:val="center"/>
              <w:rPr>
                <w:rFonts w:ascii="Times New Roman" w:hAnsi="Times New Roman" w:eastAsia="宋体"/>
                <w:bCs/>
                <w:color w:val="auto"/>
                <w:kern w:val="0"/>
                <w:sz w:val="21"/>
                <w:szCs w:val="21"/>
              </w:rPr>
            </w:pPr>
          </w:p>
        </w:tc>
        <w:tc>
          <w:tcPr>
            <w:tcW w:w="5220" w:type="dxa"/>
            <w:vMerge w:val="continue"/>
            <w:noWrap w:val="0"/>
            <w:vAlign w:val="center"/>
          </w:tcPr>
          <w:p w14:paraId="07077505">
            <w:pPr>
              <w:keepLines/>
              <w:spacing w:line="300" w:lineRule="exact"/>
              <w:ind w:firstLine="0" w:firstLineChars="0"/>
              <w:jc w:val="center"/>
              <w:rPr>
                <w:rFonts w:ascii="Times New Roman" w:hAnsi="Times New Roman" w:eastAsia="宋体"/>
                <w:color w:val="auto"/>
                <w:sz w:val="21"/>
                <w:szCs w:val="21"/>
              </w:rPr>
            </w:pPr>
          </w:p>
        </w:tc>
      </w:tr>
      <w:tr w14:paraId="1DCA9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65435CB4">
            <w:pPr>
              <w:spacing w:line="300" w:lineRule="exact"/>
              <w:ind w:firstLine="0" w:firstLineChars="0"/>
              <w:rPr>
                <w:rFonts w:ascii="Times New Roman" w:hAnsi="Times New Roman" w:eastAsia="宋体"/>
                <w:color w:val="auto"/>
                <w:sz w:val="21"/>
                <w:szCs w:val="21"/>
              </w:rPr>
            </w:pPr>
          </w:p>
        </w:tc>
        <w:tc>
          <w:tcPr>
            <w:tcW w:w="6120" w:type="dxa"/>
            <w:noWrap w:val="0"/>
            <w:vAlign w:val="center"/>
          </w:tcPr>
          <w:p w14:paraId="579CB997">
            <w:pPr>
              <w:keepLines/>
              <w:spacing w:line="300" w:lineRule="exact"/>
              <w:ind w:firstLine="0" w:firstLineChars="0"/>
              <w:jc w:val="left"/>
              <w:rPr>
                <w:rFonts w:ascii="Times New Roman" w:hAnsi="Times New Roman" w:eastAsia="宋体"/>
                <w:color w:val="auto"/>
                <w:kern w:val="0"/>
                <w:sz w:val="21"/>
                <w:szCs w:val="21"/>
              </w:rPr>
            </w:pPr>
            <w:r>
              <w:rPr>
                <w:rFonts w:ascii="Times New Roman" w:hAnsi="Times New Roman" w:eastAsia="宋体"/>
                <w:color w:val="auto"/>
                <w:kern w:val="0"/>
                <w:sz w:val="21"/>
                <w:szCs w:val="21"/>
              </w:rPr>
              <w:t>夜间作业时，作业点及危险点无足够的照明，扣2分</w:t>
            </w:r>
          </w:p>
        </w:tc>
        <w:tc>
          <w:tcPr>
            <w:tcW w:w="983" w:type="dxa"/>
            <w:gridSpan w:val="2"/>
            <w:vMerge w:val="continue"/>
            <w:noWrap w:val="0"/>
            <w:vAlign w:val="center"/>
          </w:tcPr>
          <w:p w14:paraId="15AA0CA3">
            <w:pPr>
              <w:keepLines/>
              <w:spacing w:line="300" w:lineRule="exact"/>
              <w:ind w:firstLine="0" w:firstLineChars="0"/>
              <w:jc w:val="center"/>
              <w:rPr>
                <w:rFonts w:ascii="Times New Roman" w:hAnsi="Times New Roman" w:eastAsia="宋体"/>
                <w:color w:val="auto"/>
                <w:kern w:val="0"/>
                <w:sz w:val="21"/>
                <w:szCs w:val="21"/>
              </w:rPr>
            </w:pPr>
          </w:p>
        </w:tc>
        <w:tc>
          <w:tcPr>
            <w:tcW w:w="817" w:type="dxa"/>
            <w:vMerge w:val="continue"/>
            <w:noWrap w:val="0"/>
            <w:vAlign w:val="center"/>
          </w:tcPr>
          <w:p w14:paraId="63C8BEF6">
            <w:pPr>
              <w:keepLines/>
              <w:spacing w:line="300" w:lineRule="exact"/>
              <w:ind w:firstLine="0" w:firstLineChars="0"/>
              <w:jc w:val="center"/>
              <w:rPr>
                <w:rFonts w:ascii="Times New Roman" w:hAnsi="Times New Roman" w:eastAsia="宋体"/>
                <w:color w:val="auto"/>
                <w:kern w:val="0"/>
                <w:sz w:val="21"/>
                <w:szCs w:val="21"/>
              </w:rPr>
            </w:pPr>
          </w:p>
        </w:tc>
        <w:tc>
          <w:tcPr>
            <w:tcW w:w="5220" w:type="dxa"/>
            <w:vMerge w:val="continue"/>
            <w:noWrap w:val="0"/>
            <w:vAlign w:val="center"/>
          </w:tcPr>
          <w:p w14:paraId="00A1FD91">
            <w:pPr>
              <w:keepLines/>
              <w:spacing w:line="300" w:lineRule="exact"/>
              <w:ind w:firstLine="0" w:firstLineChars="0"/>
              <w:jc w:val="center"/>
              <w:rPr>
                <w:rFonts w:ascii="Times New Roman" w:hAnsi="Times New Roman" w:eastAsia="宋体"/>
                <w:color w:val="auto"/>
                <w:sz w:val="21"/>
                <w:szCs w:val="21"/>
              </w:rPr>
            </w:pPr>
          </w:p>
        </w:tc>
      </w:tr>
      <w:tr w14:paraId="0C06C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restart"/>
            <w:noWrap w:val="0"/>
            <w:vAlign w:val="center"/>
          </w:tcPr>
          <w:p w14:paraId="285787D9">
            <w:pPr>
              <w:spacing w:line="300" w:lineRule="exact"/>
              <w:ind w:firstLine="0" w:firstLineChars="0"/>
              <w:rPr>
                <w:rFonts w:ascii="Times New Roman" w:hAnsi="Times New Roman" w:eastAsia="宋体"/>
                <w:color w:val="auto"/>
                <w:sz w:val="21"/>
                <w:szCs w:val="21"/>
              </w:rPr>
            </w:pPr>
            <w:r>
              <w:rPr>
                <w:rFonts w:ascii="Times New Roman" w:hAnsi="Times New Roman" w:eastAsia="宋体"/>
                <w:color w:val="auto"/>
                <w:kern w:val="0"/>
                <w:sz w:val="21"/>
                <w:szCs w:val="21"/>
              </w:rPr>
              <w:t>4.9尾矿库应急物资</w:t>
            </w:r>
          </w:p>
        </w:tc>
        <w:tc>
          <w:tcPr>
            <w:tcW w:w="6120" w:type="dxa"/>
            <w:noWrap w:val="0"/>
            <w:vAlign w:val="center"/>
          </w:tcPr>
          <w:p w14:paraId="782F2BB7">
            <w:pPr>
              <w:keepLines/>
              <w:spacing w:line="300" w:lineRule="exact"/>
              <w:ind w:firstLine="0" w:firstLineChars="0"/>
              <w:jc w:val="left"/>
              <w:rPr>
                <w:rFonts w:ascii="Times New Roman" w:hAnsi="Times New Roman" w:eastAsia="宋体"/>
                <w:color w:val="auto"/>
                <w:kern w:val="0"/>
                <w:sz w:val="21"/>
                <w:szCs w:val="21"/>
              </w:rPr>
            </w:pPr>
            <w:r>
              <w:rPr>
                <w:rFonts w:ascii="Times New Roman" w:hAnsi="Times New Roman" w:eastAsia="宋体"/>
                <w:color w:val="auto"/>
                <w:kern w:val="0"/>
                <w:sz w:val="21"/>
                <w:szCs w:val="21"/>
              </w:rPr>
              <w:t>应急物资齐全，管理规范，不扣分</w:t>
            </w:r>
          </w:p>
        </w:tc>
        <w:tc>
          <w:tcPr>
            <w:tcW w:w="983" w:type="dxa"/>
            <w:gridSpan w:val="2"/>
            <w:vMerge w:val="restart"/>
            <w:noWrap w:val="0"/>
            <w:vAlign w:val="center"/>
          </w:tcPr>
          <w:p w14:paraId="1290D506">
            <w:pPr>
              <w:keepLines/>
              <w:spacing w:line="300" w:lineRule="exact"/>
              <w:ind w:firstLine="0" w:firstLineChars="0"/>
              <w:jc w:val="center"/>
              <w:rPr>
                <w:rFonts w:ascii="Times New Roman" w:hAnsi="Times New Roman" w:eastAsia="宋体"/>
                <w:color w:val="auto"/>
                <w:kern w:val="0"/>
                <w:sz w:val="21"/>
                <w:szCs w:val="21"/>
              </w:rPr>
            </w:pPr>
            <w:r>
              <w:rPr>
                <w:rFonts w:ascii="Times New Roman" w:hAnsi="Times New Roman" w:eastAsia="宋体"/>
                <w:color w:val="auto"/>
                <w:kern w:val="0"/>
                <w:sz w:val="21"/>
                <w:szCs w:val="21"/>
              </w:rPr>
              <w:t>3</w:t>
            </w:r>
          </w:p>
        </w:tc>
        <w:tc>
          <w:tcPr>
            <w:tcW w:w="817" w:type="dxa"/>
            <w:vMerge w:val="restart"/>
            <w:noWrap w:val="0"/>
            <w:vAlign w:val="center"/>
          </w:tcPr>
          <w:p w14:paraId="4E4D88D5">
            <w:pPr>
              <w:keepLines/>
              <w:spacing w:line="300" w:lineRule="exact"/>
              <w:ind w:firstLine="0" w:firstLineChars="0"/>
              <w:jc w:val="center"/>
              <w:rPr>
                <w:rFonts w:hint="eastAsia" w:ascii="Times New Roman" w:hAnsi="Times New Roman" w:eastAsia="宋体"/>
                <w:color w:val="auto"/>
                <w:kern w:val="0"/>
                <w:sz w:val="21"/>
                <w:szCs w:val="21"/>
              </w:rPr>
            </w:pPr>
            <w:r>
              <w:rPr>
                <w:rFonts w:hint="eastAsia" w:ascii="Times New Roman" w:hAnsi="Times New Roman" w:eastAsia="宋体"/>
                <w:color w:val="auto"/>
                <w:kern w:val="0"/>
                <w:sz w:val="21"/>
                <w:szCs w:val="21"/>
              </w:rPr>
              <w:t>3</w:t>
            </w:r>
          </w:p>
        </w:tc>
        <w:tc>
          <w:tcPr>
            <w:tcW w:w="5220" w:type="dxa"/>
            <w:vMerge w:val="restart"/>
            <w:noWrap w:val="0"/>
            <w:vAlign w:val="center"/>
          </w:tcPr>
          <w:p w14:paraId="4B02A772">
            <w:pPr>
              <w:keepLines/>
              <w:spacing w:line="300" w:lineRule="exact"/>
              <w:ind w:firstLine="0" w:firstLineChars="0"/>
              <w:jc w:val="center"/>
              <w:rPr>
                <w:rFonts w:ascii="Times New Roman" w:hAnsi="Times New Roman" w:eastAsia="宋体"/>
                <w:color w:val="auto"/>
                <w:sz w:val="21"/>
                <w:szCs w:val="21"/>
              </w:rPr>
            </w:pPr>
          </w:p>
        </w:tc>
      </w:tr>
      <w:tr w14:paraId="2F5CD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50A9D09B">
            <w:pPr>
              <w:spacing w:line="300" w:lineRule="exact"/>
              <w:ind w:firstLine="0" w:firstLineChars="0"/>
              <w:rPr>
                <w:rFonts w:ascii="Times New Roman" w:hAnsi="Times New Roman" w:eastAsia="宋体"/>
                <w:color w:val="auto"/>
                <w:sz w:val="21"/>
                <w:szCs w:val="21"/>
              </w:rPr>
            </w:pPr>
          </w:p>
        </w:tc>
        <w:tc>
          <w:tcPr>
            <w:tcW w:w="6120" w:type="dxa"/>
            <w:noWrap w:val="0"/>
            <w:vAlign w:val="center"/>
          </w:tcPr>
          <w:p w14:paraId="4627598A">
            <w:pPr>
              <w:keepLines/>
              <w:spacing w:line="300" w:lineRule="exact"/>
              <w:ind w:firstLine="0" w:firstLineChars="0"/>
              <w:jc w:val="left"/>
              <w:rPr>
                <w:rFonts w:ascii="Times New Roman" w:hAnsi="Times New Roman" w:eastAsia="宋体"/>
                <w:color w:val="auto"/>
                <w:kern w:val="0"/>
                <w:sz w:val="21"/>
                <w:szCs w:val="21"/>
              </w:rPr>
            </w:pPr>
            <w:r>
              <w:rPr>
                <w:rFonts w:ascii="Times New Roman" w:hAnsi="Times New Roman" w:eastAsia="宋体"/>
                <w:color w:val="auto"/>
                <w:kern w:val="0"/>
                <w:sz w:val="21"/>
                <w:szCs w:val="21"/>
              </w:rPr>
              <w:t>应急物资不完善，管理混乱，扣3分</w:t>
            </w:r>
          </w:p>
        </w:tc>
        <w:tc>
          <w:tcPr>
            <w:tcW w:w="983" w:type="dxa"/>
            <w:gridSpan w:val="2"/>
            <w:vMerge w:val="continue"/>
            <w:noWrap w:val="0"/>
            <w:vAlign w:val="center"/>
          </w:tcPr>
          <w:p w14:paraId="700B5AA2">
            <w:pPr>
              <w:keepLines/>
              <w:spacing w:line="300" w:lineRule="exact"/>
              <w:ind w:firstLine="0" w:firstLineChars="0"/>
              <w:jc w:val="center"/>
              <w:rPr>
                <w:rFonts w:ascii="Times New Roman" w:hAnsi="Times New Roman" w:eastAsia="宋体"/>
                <w:color w:val="auto"/>
                <w:kern w:val="0"/>
                <w:sz w:val="21"/>
                <w:szCs w:val="21"/>
              </w:rPr>
            </w:pPr>
          </w:p>
        </w:tc>
        <w:tc>
          <w:tcPr>
            <w:tcW w:w="817" w:type="dxa"/>
            <w:vMerge w:val="continue"/>
            <w:noWrap w:val="0"/>
            <w:vAlign w:val="center"/>
          </w:tcPr>
          <w:p w14:paraId="3E2E6FC1">
            <w:pPr>
              <w:keepLines/>
              <w:spacing w:line="300" w:lineRule="exact"/>
              <w:ind w:firstLine="0" w:firstLineChars="0"/>
              <w:jc w:val="center"/>
              <w:rPr>
                <w:rFonts w:ascii="Times New Roman" w:hAnsi="Times New Roman" w:eastAsia="宋体"/>
                <w:color w:val="auto"/>
                <w:kern w:val="0"/>
                <w:sz w:val="21"/>
                <w:szCs w:val="21"/>
              </w:rPr>
            </w:pPr>
          </w:p>
        </w:tc>
        <w:tc>
          <w:tcPr>
            <w:tcW w:w="5220" w:type="dxa"/>
            <w:vMerge w:val="continue"/>
            <w:noWrap w:val="0"/>
            <w:vAlign w:val="center"/>
          </w:tcPr>
          <w:p w14:paraId="665A75F2">
            <w:pPr>
              <w:keepLines/>
              <w:spacing w:line="300" w:lineRule="exact"/>
              <w:ind w:firstLine="0" w:firstLineChars="0"/>
              <w:jc w:val="center"/>
              <w:rPr>
                <w:rFonts w:ascii="Times New Roman" w:hAnsi="Times New Roman" w:eastAsia="宋体"/>
                <w:color w:val="auto"/>
                <w:sz w:val="21"/>
                <w:szCs w:val="21"/>
              </w:rPr>
            </w:pPr>
          </w:p>
        </w:tc>
      </w:tr>
      <w:tr w14:paraId="0CC70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restart"/>
            <w:noWrap w:val="0"/>
            <w:vAlign w:val="center"/>
          </w:tcPr>
          <w:p w14:paraId="23849AA7">
            <w:pPr>
              <w:spacing w:line="300" w:lineRule="exact"/>
              <w:ind w:firstLine="0" w:firstLineChars="0"/>
              <w:rPr>
                <w:rFonts w:ascii="Times New Roman" w:hAnsi="Times New Roman" w:eastAsia="宋体"/>
                <w:color w:val="auto"/>
                <w:kern w:val="0"/>
                <w:sz w:val="21"/>
                <w:szCs w:val="21"/>
              </w:rPr>
            </w:pPr>
            <w:r>
              <w:rPr>
                <w:rFonts w:ascii="Times New Roman" w:hAnsi="Times New Roman" w:eastAsia="宋体"/>
                <w:bCs/>
                <w:color w:val="auto"/>
                <w:kern w:val="0"/>
                <w:sz w:val="21"/>
                <w:szCs w:val="21"/>
              </w:rPr>
              <w:t>4.10警示标志</w:t>
            </w:r>
          </w:p>
        </w:tc>
        <w:tc>
          <w:tcPr>
            <w:tcW w:w="6120" w:type="dxa"/>
            <w:noWrap w:val="0"/>
            <w:vAlign w:val="center"/>
          </w:tcPr>
          <w:p w14:paraId="52C9A5A4">
            <w:pPr>
              <w:keepLines/>
              <w:spacing w:line="300" w:lineRule="exact"/>
              <w:ind w:firstLine="0" w:firstLineChars="0"/>
              <w:jc w:val="left"/>
              <w:rPr>
                <w:rFonts w:ascii="Times New Roman" w:hAnsi="Times New Roman" w:eastAsia="宋体"/>
                <w:color w:val="auto"/>
                <w:kern w:val="0"/>
                <w:sz w:val="21"/>
                <w:szCs w:val="21"/>
              </w:rPr>
            </w:pPr>
            <w:r>
              <w:rPr>
                <w:rFonts w:ascii="Times New Roman" w:hAnsi="Times New Roman" w:eastAsia="宋体"/>
                <w:bCs/>
                <w:color w:val="auto"/>
                <w:sz w:val="21"/>
                <w:szCs w:val="21"/>
              </w:rPr>
              <w:t>安全警示和职业危害警示标识齐全，不扣分</w:t>
            </w:r>
          </w:p>
        </w:tc>
        <w:tc>
          <w:tcPr>
            <w:tcW w:w="983" w:type="dxa"/>
            <w:gridSpan w:val="2"/>
            <w:vMerge w:val="restart"/>
            <w:noWrap w:val="0"/>
            <w:vAlign w:val="center"/>
          </w:tcPr>
          <w:p w14:paraId="56495CEA">
            <w:pPr>
              <w:keepLines/>
              <w:spacing w:line="300" w:lineRule="exact"/>
              <w:ind w:firstLine="0" w:firstLineChars="0"/>
              <w:jc w:val="center"/>
              <w:rPr>
                <w:rFonts w:ascii="Times New Roman" w:hAnsi="Times New Roman" w:eastAsia="宋体"/>
                <w:color w:val="auto"/>
                <w:kern w:val="0"/>
                <w:sz w:val="21"/>
                <w:szCs w:val="21"/>
              </w:rPr>
            </w:pPr>
            <w:r>
              <w:rPr>
                <w:rFonts w:ascii="Times New Roman" w:hAnsi="Times New Roman" w:eastAsia="宋体"/>
                <w:color w:val="auto"/>
                <w:kern w:val="0"/>
                <w:sz w:val="21"/>
                <w:szCs w:val="21"/>
              </w:rPr>
              <w:t>2</w:t>
            </w:r>
          </w:p>
        </w:tc>
        <w:tc>
          <w:tcPr>
            <w:tcW w:w="817" w:type="dxa"/>
            <w:vMerge w:val="restart"/>
            <w:noWrap w:val="0"/>
            <w:vAlign w:val="center"/>
          </w:tcPr>
          <w:p w14:paraId="3BC575A0">
            <w:pPr>
              <w:keepLines/>
              <w:spacing w:line="300" w:lineRule="exact"/>
              <w:ind w:firstLine="0" w:firstLineChars="0"/>
              <w:jc w:val="center"/>
              <w:rPr>
                <w:rFonts w:hint="eastAsia" w:ascii="Times New Roman" w:hAnsi="Times New Roman" w:eastAsia="宋体"/>
                <w:color w:val="auto"/>
                <w:kern w:val="0"/>
                <w:sz w:val="21"/>
                <w:szCs w:val="21"/>
              </w:rPr>
            </w:pPr>
            <w:r>
              <w:rPr>
                <w:rFonts w:hint="eastAsia" w:ascii="Times New Roman" w:hAnsi="Times New Roman" w:eastAsia="宋体"/>
                <w:color w:val="auto"/>
                <w:kern w:val="0"/>
                <w:sz w:val="21"/>
                <w:szCs w:val="21"/>
              </w:rPr>
              <w:t>2</w:t>
            </w:r>
          </w:p>
        </w:tc>
        <w:tc>
          <w:tcPr>
            <w:tcW w:w="5220" w:type="dxa"/>
            <w:vMerge w:val="restart"/>
            <w:noWrap w:val="0"/>
            <w:vAlign w:val="center"/>
          </w:tcPr>
          <w:p w14:paraId="4641CD96">
            <w:pPr>
              <w:keepLines/>
              <w:spacing w:line="300" w:lineRule="exact"/>
              <w:ind w:firstLine="0" w:firstLineChars="0"/>
              <w:jc w:val="center"/>
              <w:rPr>
                <w:rFonts w:ascii="Times New Roman" w:hAnsi="Times New Roman" w:eastAsia="宋体"/>
                <w:color w:val="auto"/>
                <w:sz w:val="21"/>
                <w:szCs w:val="21"/>
              </w:rPr>
            </w:pPr>
          </w:p>
        </w:tc>
      </w:tr>
      <w:tr w14:paraId="6CB8A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10E7F13B">
            <w:pPr>
              <w:keepLines/>
              <w:spacing w:line="300" w:lineRule="exact"/>
              <w:ind w:firstLine="0" w:firstLineChars="0"/>
              <w:jc w:val="left"/>
              <w:rPr>
                <w:rFonts w:ascii="Times New Roman" w:hAnsi="Times New Roman" w:eastAsia="宋体"/>
                <w:color w:val="auto"/>
                <w:kern w:val="0"/>
                <w:sz w:val="21"/>
                <w:szCs w:val="21"/>
              </w:rPr>
            </w:pPr>
          </w:p>
        </w:tc>
        <w:tc>
          <w:tcPr>
            <w:tcW w:w="6120" w:type="dxa"/>
            <w:noWrap w:val="0"/>
            <w:vAlign w:val="center"/>
          </w:tcPr>
          <w:p w14:paraId="2060407B">
            <w:pPr>
              <w:keepLines/>
              <w:spacing w:line="300" w:lineRule="exact"/>
              <w:ind w:firstLine="0" w:firstLineChars="0"/>
              <w:jc w:val="left"/>
              <w:rPr>
                <w:rFonts w:ascii="Times New Roman" w:hAnsi="Times New Roman" w:eastAsia="宋体"/>
                <w:color w:val="auto"/>
                <w:spacing w:val="8"/>
                <w:kern w:val="0"/>
                <w:sz w:val="21"/>
                <w:szCs w:val="21"/>
              </w:rPr>
            </w:pPr>
            <w:r>
              <w:rPr>
                <w:rFonts w:ascii="Times New Roman" w:hAnsi="Times New Roman" w:eastAsia="宋体"/>
                <w:bCs/>
                <w:color w:val="auto"/>
                <w:sz w:val="21"/>
                <w:szCs w:val="21"/>
              </w:rPr>
              <w:t>安全警示和职业危害警示标识不完善，缺1类扣1分</w:t>
            </w:r>
          </w:p>
        </w:tc>
        <w:tc>
          <w:tcPr>
            <w:tcW w:w="983" w:type="dxa"/>
            <w:gridSpan w:val="2"/>
            <w:vMerge w:val="continue"/>
            <w:noWrap w:val="0"/>
            <w:vAlign w:val="center"/>
          </w:tcPr>
          <w:p w14:paraId="51A5959E">
            <w:pPr>
              <w:keepLines/>
              <w:spacing w:line="300" w:lineRule="exact"/>
              <w:ind w:firstLine="0" w:firstLineChars="0"/>
              <w:jc w:val="center"/>
              <w:rPr>
                <w:rFonts w:ascii="Times New Roman" w:hAnsi="Times New Roman" w:eastAsia="宋体"/>
                <w:color w:val="auto"/>
                <w:kern w:val="0"/>
                <w:sz w:val="21"/>
                <w:szCs w:val="21"/>
              </w:rPr>
            </w:pPr>
          </w:p>
        </w:tc>
        <w:tc>
          <w:tcPr>
            <w:tcW w:w="817" w:type="dxa"/>
            <w:vMerge w:val="continue"/>
            <w:noWrap w:val="0"/>
            <w:vAlign w:val="center"/>
          </w:tcPr>
          <w:p w14:paraId="1B992D46">
            <w:pPr>
              <w:keepLines/>
              <w:spacing w:line="300" w:lineRule="exact"/>
              <w:ind w:firstLine="0" w:firstLineChars="0"/>
              <w:jc w:val="center"/>
              <w:rPr>
                <w:rFonts w:ascii="Times New Roman" w:hAnsi="Times New Roman" w:eastAsia="宋体"/>
                <w:color w:val="auto"/>
                <w:kern w:val="0"/>
                <w:sz w:val="21"/>
                <w:szCs w:val="21"/>
              </w:rPr>
            </w:pPr>
          </w:p>
        </w:tc>
        <w:tc>
          <w:tcPr>
            <w:tcW w:w="5220" w:type="dxa"/>
            <w:vMerge w:val="continue"/>
            <w:noWrap w:val="0"/>
            <w:vAlign w:val="center"/>
          </w:tcPr>
          <w:p w14:paraId="48945D3F">
            <w:pPr>
              <w:keepLines/>
              <w:spacing w:line="300" w:lineRule="exact"/>
              <w:ind w:firstLine="0" w:firstLineChars="0"/>
              <w:jc w:val="center"/>
              <w:rPr>
                <w:rFonts w:ascii="Times New Roman" w:hAnsi="Times New Roman" w:eastAsia="宋体"/>
                <w:color w:val="auto"/>
                <w:sz w:val="21"/>
                <w:szCs w:val="21"/>
              </w:rPr>
            </w:pPr>
          </w:p>
        </w:tc>
      </w:tr>
      <w:tr w14:paraId="4F288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noWrap w:val="0"/>
            <w:vAlign w:val="center"/>
          </w:tcPr>
          <w:p w14:paraId="225659BF">
            <w:pPr>
              <w:spacing w:line="300" w:lineRule="exact"/>
              <w:ind w:firstLine="0" w:firstLineChars="0"/>
              <w:rPr>
                <w:rFonts w:ascii="Times New Roman" w:hAnsi="Times New Roman" w:eastAsia="宋体"/>
                <w:color w:val="auto"/>
                <w:kern w:val="0"/>
                <w:sz w:val="21"/>
                <w:szCs w:val="21"/>
              </w:rPr>
            </w:pPr>
            <w:r>
              <w:rPr>
                <w:rFonts w:ascii="Times New Roman" w:hAnsi="Times New Roman" w:eastAsia="宋体"/>
                <w:color w:val="auto"/>
                <w:kern w:val="0"/>
                <w:sz w:val="21"/>
                <w:szCs w:val="21"/>
              </w:rPr>
              <w:t>4.11其他设施</w:t>
            </w:r>
          </w:p>
        </w:tc>
        <w:tc>
          <w:tcPr>
            <w:tcW w:w="6120" w:type="dxa"/>
            <w:noWrap w:val="0"/>
            <w:vAlign w:val="center"/>
          </w:tcPr>
          <w:p w14:paraId="6C6D375F">
            <w:pPr>
              <w:keepLines/>
              <w:spacing w:line="300" w:lineRule="exact"/>
              <w:ind w:firstLine="0" w:firstLineChars="0"/>
              <w:jc w:val="left"/>
              <w:rPr>
                <w:rFonts w:ascii="Times New Roman" w:hAnsi="Times New Roman" w:eastAsia="宋体"/>
                <w:bCs/>
                <w:color w:val="auto"/>
                <w:sz w:val="21"/>
                <w:szCs w:val="21"/>
              </w:rPr>
            </w:pPr>
            <w:r>
              <w:rPr>
                <w:rFonts w:ascii="Times New Roman" w:hAnsi="Times New Roman" w:eastAsia="宋体"/>
                <w:color w:val="auto"/>
                <w:kern w:val="0"/>
                <w:sz w:val="21"/>
                <w:szCs w:val="21"/>
              </w:rPr>
              <w:t>尾矿库辅助设施未配备相应的筑坝机械、工作船、工程车、交通道路、值班室和通讯等设施，少一项，扣1分，扣完为止</w:t>
            </w:r>
          </w:p>
        </w:tc>
        <w:tc>
          <w:tcPr>
            <w:tcW w:w="983" w:type="dxa"/>
            <w:gridSpan w:val="2"/>
            <w:noWrap w:val="0"/>
            <w:vAlign w:val="center"/>
          </w:tcPr>
          <w:p w14:paraId="757392FC">
            <w:pPr>
              <w:keepLines/>
              <w:spacing w:line="300" w:lineRule="exact"/>
              <w:ind w:firstLine="0" w:firstLineChars="0"/>
              <w:jc w:val="center"/>
              <w:rPr>
                <w:rFonts w:ascii="Times New Roman" w:hAnsi="Times New Roman" w:eastAsia="宋体"/>
                <w:color w:val="auto"/>
                <w:kern w:val="0"/>
                <w:sz w:val="21"/>
                <w:szCs w:val="21"/>
              </w:rPr>
            </w:pPr>
            <w:r>
              <w:rPr>
                <w:rFonts w:ascii="Times New Roman" w:hAnsi="Times New Roman" w:eastAsia="宋体"/>
                <w:color w:val="auto"/>
                <w:kern w:val="0"/>
                <w:sz w:val="21"/>
                <w:szCs w:val="21"/>
              </w:rPr>
              <w:t>2</w:t>
            </w:r>
          </w:p>
        </w:tc>
        <w:tc>
          <w:tcPr>
            <w:tcW w:w="817" w:type="dxa"/>
            <w:noWrap w:val="0"/>
            <w:vAlign w:val="center"/>
          </w:tcPr>
          <w:p w14:paraId="0B5A9734">
            <w:pPr>
              <w:keepLines/>
              <w:spacing w:line="300" w:lineRule="exact"/>
              <w:ind w:firstLine="0" w:firstLineChars="0"/>
              <w:jc w:val="center"/>
              <w:rPr>
                <w:rFonts w:hint="eastAsia" w:ascii="Times New Roman" w:hAnsi="Times New Roman" w:eastAsia="宋体"/>
                <w:color w:val="auto"/>
                <w:kern w:val="0"/>
                <w:sz w:val="21"/>
                <w:szCs w:val="21"/>
              </w:rPr>
            </w:pPr>
            <w:r>
              <w:rPr>
                <w:rFonts w:hint="eastAsia" w:ascii="Times New Roman" w:hAnsi="Times New Roman" w:eastAsia="宋体"/>
                <w:color w:val="auto"/>
                <w:kern w:val="0"/>
                <w:sz w:val="21"/>
                <w:szCs w:val="21"/>
              </w:rPr>
              <w:t>2</w:t>
            </w:r>
          </w:p>
        </w:tc>
        <w:tc>
          <w:tcPr>
            <w:tcW w:w="5220" w:type="dxa"/>
            <w:noWrap w:val="0"/>
            <w:vAlign w:val="center"/>
          </w:tcPr>
          <w:p w14:paraId="01BC75BA">
            <w:pPr>
              <w:keepLines/>
              <w:spacing w:line="300" w:lineRule="exact"/>
              <w:ind w:firstLine="0" w:firstLineChars="0"/>
              <w:jc w:val="center"/>
              <w:rPr>
                <w:rFonts w:ascii="Times New Roman" w:hAnsi="Times New Roman" w:eastAsia="宋体"/>
                <w:color w:val="auto"/>
                <w:sz w:val="21"/>
                <w:szCs w:val="21"/>
              </w:rPr>
            </w:pPr>
          </w:p>
        </w:tc>
      </w:tr>
      <w:tr w14:paraId="3BCB2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noWrap w:val="0"/>
            <w:vAlign w:val="center"/>
          </w:tcPr>
          <w:p w14:paraId="42295AAC">
            <w:pPr>
              <w:keepLines/>
              <w:spacing w:line="300" w:lineRule="exact"/>
              <w:ind w:firstLine="0" w:firstLineChars="0"/>
              <w:jc w:val="left"/>
              <w:rPr>
                <w:rFonts w:ascii="Times New Roman" w:hAnsi="Times New Roman" w:eastAsia="宋体"/>
                <w:color w:val="auto"/>
                <w:kern w:val="0"/>
                <w:sz w:val="21"/>
                <w:szCs w:val="21"/>
              </w:rPr>
            </w:pPr>
            <w:r>
              <w:rPr>
                <w:rFonts w:ascii="Times New Roman" w:hAnsi="Times New Roman" w:eastAsia="宋体"/>
                <w:color w:val="auto"/>
                <w:kern w:val="0"/>
                <w:sz w:val="21"/>
                <w:szCs w:val="21"/>
              </w:rPr>
              <w:t>五、安全业绩</w:t>
            </w:r>
          </w:p>
        </w:tc>
        <w:tc>
          <w:tcPr>
            <w:tcW w:w="6120" w:type="dxa"/>
            <w:noWrap w:val="0"/>
            <w:vAlign w:val="center"/>
          </w:tcPr>
          <w:p w14:paraId="212EC0F6">
            <w:pPr>
              <w:keepLines/>
              <w:spacing w:line="300" w:lineRule="exact"/>
              <w:ind w:firstLine="0" w:firstLineChars="0"/>
              <w:jc w:val="left"/>
              <w:rPr>
                <w:rFonts w:ascii="Times New Roman" w:hAnsi="Times New Roman" w:eastAsia="宋体"/>
                <w:color w:val="auto"/>
                <w:kern w:val="0"/>
                <w:sz w:val="21"/>
                <w:szCs w:val="21"/>
              </w:rPr>
            </w:pPr>
          </w:p>
        </w:tc>
        <w:tc>
          <w:tcPr>
            <w:tcW w:w="983" w:type="dxa"/>
            <w:gridSpan w:val="2"/>
            <w:noWrap w:val="0"/>
            <w:vAlign w:val="center"/>
          </w:tcPr>
          <w:p w14:paraId="43B93E1C">
            <w:pPr>
              <w:keepLines/>
              <w:spacing w:line="300" w:lineRule="exact"/>
              <w:ind w:firstLine="0" w:firstLineChars="0"/>
              <w:jc w:val="center"/>
              <w:rPr>
                <w:rFonts w:ascii="Times New Roman" w:hAnsi="Times New Roman" w:eastAsia="宋体"/>
                <w:color w:val="auto"/>
                <w:kern w:val="0"/>
                <w:sz w:val="21"/>
                <w:szCs w:val="21"/>
              </w:rPr>
            </w:pPr>
            <w:r>
              <w:rPr>
                <w:rFonts w:ascii="Times New Roman" w:hAnsi="Times New Roman" w:eastAsia="宋体"/>
                <w:color w:val="auto"/>
                <w:kern w:val="0"/>
                <w:sz w:val="21"/>
                <w:szCs w:val="21"/>
              </w:rPr>
              <w:t>8</w:t>
            </w:r>
          </w:p>
        </w:tc>
        <w:tc>
          <w:tcPr>
            <w:tcW w:w="817" w:type="dxa"/>
            <w:noWrap w:val="0"/>
            <w:vAlign w:val="center"/>
          </w:tcPr>
          <w:p w14:paraId="004F51C0">
            <w:pPr>
              <w:keepLines/>
              <w:spacing w:line="300" w:lineRule="exact"/>
              <w:ind w:firstLine="0" w:firstLineChars="0"/>
              <w:rPr>
                <w:rFonts w:ascii="Times New Roman" w:hAnsi="Times New Roman" w:eastAsia="宋体"/>
                <w:color w:val="auto"/>
                <w:kern w:val="0"/>
                <w:sz w:val="21"/>
                <w:szCs w:val="21"/>
              </w:rPr>
            </w:pPr>
          </w:p>
        </w:tc>
        <w:tc>
          <w:tcPr>
            <w:tcW w:w="5220" w:type="dxa"/>
            <w:noWrap w:val="0"/>
            <w:vAlign w:val="center"/>
          </w:tcPr>
          <w:p w14:paraId="342736B9">
            <w:pPr>
              <w:keepLines/>
              <w:spacing w:line="300" w:lineRule="exact"/>
              <w:ind w:firstLine="0" w:firstLineChars="0"/>
              <w:rPr>
                <w:rFonts w:ascii="Times New Roman" w:hAnsi="Times New Roman" w:eastAsia="宋体"/>
                <w:color w:val="auto"/>
                <w:sz w:val="21"/>
                <w:szCs w:val="21"/>
              </w:rPr>
            </w:pPr>
          </w:p>
        </w:tc>
      </w:tr>
      <w:tr w14:paraId="1129F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restart"/>
            <w:noWrap w:val="0"/>
            <w:vAlign w:val="center"/>
          </w:tcPr>
          <w:p w14:paraId="77FD5615">
            <w:pPr>
              <w:spacing w:line="300" w:lineRule="exact"/>
              <w:ind w:firstLine="0" w:firstLineChars="0"/>
              <w:rPr>
                <w:rFonts w:ascii="Times New Roman" w:hAnsi="Times New Roman" w:eastAsia="宋体"/>
                <w:color w:val="auto"/>
                <w:kern w:val="0"/>
                <w:sz w:val="21"/>
                <w:szCs w:val="21"/>
              </w:rPr>
            </w:pPr>
            <w:r>
              <w:rPr>
                <w:rFonts w:ascii="Times New Roman" w:hAnsi="Times New Roman" w:eastAsia="宋体"/>
                <w:color w:val="auto"/>
                <w:kern w:val="0"/>
                <w:sz w:val="21"/>
                <w:szCs w:val="21"/>
              </w:rPr>
              <w:t>5.1生产安全事故</w:t>
            </w:r>
          </w:p>
        </w:tc>
        <w:tc>
          <w:tcPr>
            <w:tcW w:w="6660" w:type="dxa"/>
            <w:gridSpan w:val="2"/>
            <w:noWrap w:val="0"/>
            <w:vAlign w:val="center"/>
          </w:tcPr>
          <w:p w14:paraId="3563B089">
            <w:pPr>
              <w:keepLines/>
              <w:spacing w:line="300" w:lineRule="exact"/>
              <w:ind w:firstLine="0" w:firstLineChars="0"/>
              <w:jc w:val="left"/>
              <w:rPr>
                <w:rFonts w:ascii="Times New Roman" w:hAnsi="Times New Roman" w:eastAsia="宋体"/>
                <w:color w:val="auto"/>
                <w:kern w:val="0"/>
                <w:sz w:val="21"/>
                <w:szCs w:val="21"/>
              </w:rPr>
            </w:pPr>
            <w:r>
              <w:rPr>
                <w:rFonts w:ascii="Times New Roman" w:hAnsi="Times New Roman" w:eastAsia="宋体"/>
                <w:color w:val="auto"/>
                <w:kern w:val="0"/>
                <w:sz w:val="21"/>
                <w:szCs w:val="21"/>
              </w:rPr>
              <w:t>近五年内，未出现过工亡、溃坝 、尾砂泄露等生产安全事故，不扣分</w:t>
            </w:r>
          </w:p>
        </w:tc>
        <w:tc>
          <w:tcPr>
            <w:tcW w:w="443" w:type="dxa"/>
            <w:vMerge w:val="restart"/>
            <w:noWrap w:val="0"/>
            <w:vAlign w:val="center"/>
          </w:tcPr>
          <w:p w14:paraId="5124097B">
            <w:pPr>
              <w:keepLines/>
              <w:spacing w:line="300" w:lineRule="exact"/>
              <w:ind w:firstLine="0" w:firstLineChars="0"/>
              <w:jc w:val="center"/>
              <w:rPr>
                <w:rFonts w:ascii="Times New Roman" w:hAnsi="Times New Roman" w:eastAsia="宋体"/>
                <w:color w:val="auto"/>
                <w:kern w:val="0"/>
                <w:sz w:val="21"/>
                <w:szCs w:val="21"/>
              </w:rPr>
            </w:pPr>
            <w:r>
              <w:rPr>
                <w:rFonts w:ascii="Times New Roman" w:hAnsi="Times New Roman" w:eastAsia="宋体"/>
                <w:color w:val="auto"/>
                <w:kern w:val="0"/>
                <w:sz w:val="21"/>
                <w:szCs w:val="21"/>
              </w:rPr>
              <w:t>4</w:t>
            </w:r>
          </w:p>
        </w:tc>
        <w:tc>
          <w:tcPr>
            <w:tcW w:w="817" w:type="dxa"/>
            <w:vMerge w:val="restart"/>
            <w:noWrap w:val="0"/>
            <w:vAlign w:val="center"/>
          </w:tcPr>
          <w:p w14:paraId="34D488C5">
            <w:pPr>
              <w:keepLines/>
              <w:spacing w:line="300" w:lineRule="exact"/>
              <w:ind w:firstLine="0" w:firstLineChars="0"/>
              <w:jc w:val="center"/>
              <w:rPr>
                <w:rFonts w:hint="eastAsia" w:ascii="Times New Roman" w:hAnsi="Times New Roman" w:eastAsia="宋体"/>
                <w:color w:val="auto"/>
                <w:kern w:val="0"/>
                <w:sz w:val="21"/>
                <w:szCs w:val="21"/>
                <w:lang w:eastAsia="zh-CN"/>
              </w:rPr>
            </w:pPr>
            <w:r>
              <w:rPr>
                <w:rFonts w:hint="eastAsia" w:ascii="Times New Roman" w:hAnsi="Times New Roman" w:eastAsia="宋体"/>
                <w:color w:val="auto"/>
                <w:kern w:val="0"/>
                <w:sz w:val="21"/>
                <w:szCs w:val="21"/>
                <w:lang w:val="en-US" w:eastAsia="zh-CN"/>
              </w:rPr>
              <w:t>4</w:t>
            </w:r>
          </w:p>
        </w:tc>
        <w:tc>
          <w:tcPr>
            <w:tcW w:w="5220" w:type="dxa"/>
            <w:vMerge w:val="restart"/>
            <w:noWrap w:val="0"/>
            <w:vAlign w:val="center"/>
          </w:tcPr>
          <w:p w14:paraId="04FA7CE9">
            <w:pPr>
              <w:keepLines/>
              <w:spacing w:line="300" w:lineRule="exact"/>
              <w:ind w:firstLine="0" w:firstLineChars="0"/>
              <w:jc w:val="left"/>
              <w:rPr>
                <w:rFonts w:ascii="Times New Roman" w:hAnsi="Times New Roman" w:eastAsia="宋体"/>
                <w:color w:val="auto"/>
                <w:sz w:val="21"/>
                <w:szCs w:val="21"/>
              </w:rPr>
            </w:pPr>
            <w:r>
              <w:rPr>
                <w:rFonts w:ascii="Times New Roman" w:hAnsi="Times New Roman" w:eastAsia="宋体"/>
                <w:color w:val="auto"/>
                <w:kern w:val="0"/>
                <w:sz w:val="21"/>
                <w:szCs w:val="21"/>
              </w:rPr>
              <w:t>近三年内，</w:t>
            </w:r>
            <w:r>
              <w:rPr>
                <w:rFonts w:ascii="Times New Roman" w:hAnsi="Times New Roman" w:eastAsia="宋体"/>
                <w:bCs/>
                <w:color w:val="auto"/>
                <w:sz w:val="21"/>
                <w:szCs w:val="21"/>
              </w:rPr>
              <w:t>发生过较大以上生产安全事故，</w:t>
            </w:r>
            <w:r>
              <w:rPr>
                <w:rFonts w:ascii="Times New Roman" w:hAnsi="Times New Roman" w:eastAsia="宋体"/>
                <w:color w:val="auto"/>
                <w:sz w:val="21"/>
                <w:szCs w:val="21"/>
              </w:rPr>
              <w:t>直接定为一级风险；近一年内，发生过</w:t>
            </w:r>
            <w:r>
              <w:rPr>
                <w:rFonts w:ascii="Times New Roman" w:hAnsi="Times New Roman" w:eastAsia="宋体"/>
                <w:color w:val="auto"/>
                <w:kern w:val="0"/>
                <w:sz w:val="21"/>
                <w:szCs w:val="21"/>
              </w:rPr>
              <w:t>工亡、溃坝 、尾砂泄露等</w:t>
            </w:r>
            <w:r>
              <w:rPr>
                <w:rFonts w:ascii="Times New Roman" w:hAnsi="Times New Roman" w:eastAsia="宋体"/>
                <w:color w:val="auto"/>
                <w:sz w:val="21"/>
                <w:szCs w:val="21"/>
              </w:rPr>
              <w:t>生产安全事故，</w:t>
            </w:r>
            <w:r>
              <w:rPr>
                <w:rFonts w:ascii="Times New Roman" w:hAnsi="Times New Roman" w:eastAsia="宋体"/>
                <w:color w:val="auto"/>
                <w:kern w:val="0"/>
                <w:sz w:val="21"/>
                <w:szCs w:val="21"/>
              </w:rPr>
              <w:t>以二级起评，本项不另扣分</w:t>
            </w:r>
          </w:p>
        </w:tc>
      </w:tr>
      <w:tr w14:paraId="07C31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0CD0D668">
            <w:pPr>
              <w:spacing w:line="300" w:lineRule="exact"/>
              <w:ind w:firstLine="0" w:firstLineChars="0"/>
              <w:rPr>
                <w:rFonts w:ascii="Times New Roman" w:hAnsi="Times New Roman" w:eastAsia="宋体"/>
                <w:color w:val="auto"/>
                <w:kern w:val="0"/>
                <w:sz w:val="21"/>
                <w:szCs w:val="21"/>
              </w:rPr>
            </w:pPr>
          </w:p>
        </w:tc>
        <w:tc>
          <w:tcPr>
            <w:tcW w:w="6660" w:type="dxa"/>
            <w:gridSpan w:val="2"/>
            <w:noWrap w:val="0"/>
            <w:vAlign w:val="center"/>
          </w:tcPr>
          <w:p w14:paraId="33D8538A">
            <w:pPr>
              <w:keepLines/>
              <w:spacing w:line="300" w:lineRule="exact"/>
              <w:ind w:firstLine="0" w:firstLineChars="0"/>
              <w:jc w:val="left"/>
              <w:rPr>
                <w:rFonts w:ascii="Times New Roman" w:hAnsi="Times New Roman" w:eastAsia="宋体"/>
                <w:color w:val="auto"/>
                <w:kern w:val="0"/>
                <w:sz w:val="21"/>
                <w:szCs w:val="21"/>
              </w:rPr>
            </w:pPr>
            <w:r>
              <w:rPr>
                <w:rFonts w:ascii="Times New Roman" w:hAnsi="Times New Roman" w:eastAsia="宋体"/>
                <w:color w:val="auto"/>
                <w:kern w:val="0"/>
                <w:sz w:val="21"/>
                <w:szCs w:val="21"/>
              </w:rPr>
              <w:t>近一年内出现过重伤生产安全事故，出现一起扣2分，扣完为止</w:t>
            </w:r>
          </w:p>
        </w:tc>
        <w:tc>
          <w:tcPr>
            <w:tcW w:w="443" w:type="dxa"/>
            <w:vMerge w:val="continue"/>
            <w:noWrap w:val="0"/>
            <w:vAlign w:val="center"/>
          </w:tcPr>
          <w:p w14:paraId="4212EA43">
            <w:pPr>
              <w:keepLines/>
              <w:spacing w:line="300" w:lineRule="exact"/>
              <w:ind w:firstLine="0" w:firstLineChars="0"/>
              <w:jc w:val="center"/>
              <w:rPr>
                <w:rFonts w:ascii="Times New Roman" w:hAnsi="Times New Roman" w:eastAsia="宋体"/>
                <w:color w:val="auto"/>
                <w:kern w:val="0"/>
                <w:sz w:val="21"/>
                <w:szCs w:val="21"/>
              </w:rPr>
            </w:pPr>
          </w:p>
        </w:tc>
        <w:tc>
          <w:tcPr>
            <w:tcW w:w="817" w:type="dxa"/>
            <w:vMerge w:val="continue"/>
            <w:noWrap w:val="0"/>
            <w:vAlign w:val="center"/>
          </w:tcPr>
          <w:p w14:paraId="1F94F468">
            <w:pPr>
              <w:keepLines/>
              <w:spacing w:line="300" w:lineRule="exact"/>
              <w:ind w:firstLine="0" w:firstLineChars="0"/>
              <w:jc w:val="center"/>
              <w:rPr>
                <w:rFonts w:ascii="Times New Roman" w:hAnsi="Times New Roman" w:eastAsia="宋体"/>
                <w:color w:val="auto"/>
                <w:kern w:val="0"/>
                <w:sz w:val="21"/>
                <w:szCs w:val="21"/>
              </w:rPr>
            </w:pPr>
          </w:p>
        </w:tc>
        <w:tc>
          <w:tcPr>
            <w:tcW w:w="5220" w:type="dxa"/>
            <w:vMerge w:val="continue"/>
            <w:noWrap w:val="0"/>
            <w:vAlign w:val="center"/>
          </w:tcPr>
          <w:p w14:paraId="142DB330">
            <w:pPr>
              <w:keepLines/>
              <w:spacing w:line="300" w:lineRule="exact"/>
              <w:ind w:firstLine="0" w:firstLineChars="0"/>
              <w:jc w:val="center"/>
              <w:rPr>
                <w:rFonts w:ascii="Times New Roman" w:hAnsi="Times New Roman" w:eastAsia="宋体"/>
                <w:color w:val="auto"/>
                <w:sz w:val="21"/>
                <w:szCs w:val="21"/>
              </w:rPr>
            </w:pPr>
          </w:p>
        </w:tc>
      </w:tr>
      <w:tr w14:paraId="5F1E5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58547605">
            <w:pPr>
              <w:spacing w:line="300" w:lineRule="exact"/>
              <w:ind w:firstLine="0" w:firstLineChars="0"/>
              <w:rPr>
                <w:rFonts w:ascii="Times New Roman" w:hAnsi="Times New Roman" w:eastAsia="宋体"/>
                <w:color w:val="auto"/>
                <w:kern w:val="0"/>
                <w:sz w:val="21"/>
                <w:szCs w:val="21"/>
              </w:rPr>
            </w:pPr>
          </w:p>
        </w:tc>
        <w:tc>
          <w:tcPr>
            <w:tcW w:w="6660" w:type="dxa"/>
            <w:gridSpan w:val="2"/>
            <w:noWrap w:val="0"/>
            <w:vAlign w:val="center"/>
          </w:tcPr>
          <w:p w14:paraId="603EA03C">
            <w:pPr>
              <w:keepLines/>
              <w:spacing w:line="300" w:lineRule="exact"/>
              <w:ind w:firstLine="0" w:firstLineChars="0"/>
              <w:rPr>
                <w:rFonts w:ascii="Times New Roman" w:hAnsi="Times New Roman" w:eastAsia="宋体"/>
                <w:color w:val="auto"/>
                <w:kern w:val="0"/>
                <w:sz w:val="21"/>
                <w:szCs w:val="21"/>
              </w:rPr>
            </w:pPr>
            <w:r>
              <w:rPr>
                <w:rFonts w:ascii="Times New Roman" w:hAnsi="Times New Roman" w:eastAsia="宋体"/>
                <w:color w:val="auto"/>
                <w:kern w:val="0"/>
                <w:sz w:val="21"/>
                <w:szCs w:val="21"/>
              </w:rPr>
              <w:t>近三年内出现过死亡生产安全事故，扣4分</w:t>
            </w:r>
          </w:p>
        </w:tc>
        <w:tc>
          <w:tcPr>
            <w:tcW w:w="443" w:type="dxa"/>
            <w:vMerge w:val="continue"/>
            <w:noWrap w:val="0"/>
            <w:vAlign w:val="center"/>
          </w:tcPr>
          <w:p w14:paraId="761EF5A4">
            <w:pPr>
              <w:keepLines/>
              <w:spacing w:line="300" w:lineRule="exact"/>
              <w:ind w:firstLine="0" w:firstLineChars="0"/>
              <w:jc w:val="center"/>
              <w:rPr>
                <w:rFonts w:ascii="Times New Roman" w:hAnsi="Times New Roman" w:eastAsia="宋体"/>
                <w:color w:val="auto"/>
                <w:kern w:val="0"/>
                <w:sz w:val="21"/>
                <w:szCs w:val="21"/>
              </w:rPr>
            </w:pPr>
          </w:p>
        </w:tc>
        <w:tc>
          <w:tcPr>
            <w:tcW w:w="817" w:type="dxa"/>
            <w:vMerge w:val="continue"/>
            <w:noWrap w:val="0"/>
            <w:vAlign w:val="center"/>
          </w:tcPr>
          <w:p w14:paraId="2FE49D2E">
            <w:pPr>
              <w:keepLines/>
              <w:spacing w:line="300" w:lineRule="exact"/>
              <w:ind w:firstLine="0" w:firstLineChars="0"/>
              <w:jc w:val="center"/>
              <w:rPr>
                <w:rFonts w:ascii="Times New Roman" w:hAnsi="Times New Roman" w:eastAsia="宋体"/>
                <w:color w:val="auto"/>
                <w:kern w:val="0"/>
                <w:sz w:val="21"/>
                <w:szCs w:val="21"/>
              </w:rPr>
            </w:pPr>
          </w:p>
        </w:tc>
        <w:tc>
          <w:tcPr>
            <w:tcW w:w="5220" w:type="dxa"/>
            <w:vMerge w:val="continue"/>
            <w:noWrap w:val="0"/>
            <w:vAlign w:val="center"/>
          </w:tcPr>
          <w:p w14:paraId="52AFAF9A">
            <w:pPr>
              <w:keepLines/>
              <w:spacing w:line="300" w:lineRule="exact"/>
              <w:ind w:firstLine="0" w:firstLineChars="0"/>
              <w:jc w:val="center"/>
              <w:rPr>
                <w:rFonts w:ascii="Times New Roman" w:hAnsi="Times New Roman" w:eastAsia="宋体"/>
                <w:color w:val="auto"/>
                <w:sz w:val="21"/>
                <w:szCs w:val="21"/>
              </w:rPr>
            </w:pPr>
          </w:p>
        </w:tc>
      </w:tr>
      <w:tr w14:paraId="4AEFB3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restart"/>
            <w:noWrap w:val="0"/>
            <w:vAlign w:val="center"/>
          </w:tcPr>
          <w:p w14:paraId="1DF4E1C0">
            <w:pPr>
              <w:spacing w:line="300" w:lineRule="exact"/>
              <w:ind w:firstLine="0" w:firstLineChars="0"/>
              <w:rPr>
                <w:rFonts w:ascii="Times New Roman" w:hAnsi="Times New Roman" w:eastAsia="宋体"/>
                <w:color w:val="auto"/>
                <w:kern w:val="0"/>
                <w:sz w:val="21"/>
                <w:szCs w:val="21"/>
              </w:rPr>
            </w:pPr>
            <w:r>
              <w:rPr>
                <w:rFonts w:ascii="Times New Roman" w:hAnsi="Times New Roman" w:eastAsia="宋体"/>
                <w:color w:val="auto"/>
                <w:kern w:val="0"/>
                <w:sz w:val="21"/>
                <w:szCs w:val="21"/>
              </w:rPr>
              <w:t>5.2安全生产非法违法</w:t>
            </w:r>
          </w:p>
        </w:tc>
        <w:tc>
          <w:tcPr>
            <w:tcW w:w="6120" w:type="dxa"/>
            <w:noWrap w:val="0"/>
            <w:vAlign w:val="center"/>
          </w:tcPr>
          <w:p w14:paraId="0F72C341">
            <w:pPr>
              <w:keepLines/>
              <w:spacing w:line="300" w:lineRule="exact"/>
              <w:ind w:firstLine="0" w:firstLineChars="0"/>
              <w:jc w:val="left"/>
              <w:rPr>
                <w:rFonts w:ascii="Times New Roman" w:hAnsi="Times New Roman" w:eastAsia="宋体"/>
                <w:color w:val="auto"/>
                <w:kern w:val="0"/>
                <w:sz w:val="21"/>
                <w:szCs w:val="21"/>
              </w:rPr>
            </w:pPr>
            <w:r>
              <w:rPr>
                <w:rFonts w:ascii="Times New Roman" w:hAnsi="Times New Roman" w:eastAsia="宋体"/>
                <w:color w:val="auto"/>
                <w:kern w:val="0"/>
                <w:sz w:val="21"/>
                <w:szCs w:val="21"/>
              </w:rPr>
              <w:t>没有非法违法生产情况，不扣分</w:t>
            </w:r>
          </w:p>
        </w:tc>
        <w:tc>
          <w:tcPr>
            <w:tcW w:w="983" w:type="dxa"/>
            <w:gridSpan w:val="2"/>
            <w:vMerge w:val="restart"/>
            <w:noWrap w:val="0"/>
            <w:vAlign w:val="center"/>
          </w:tcPr>
          <w:p w14:paraId="45A0E2B1">
            <w:pPr>
              <w:keepLines/>
              <w:spacing w:line="300" w:lineRule="exact"/>
              <w:ind w:firstLine="0" w:firstLineChars="0"/>
              <w:jc w:val="center"/>
              <w:rPr>
                <w:rFonts w:ascii="Times New Roman" w:hAnsi="Times New Roman" w:eastAsia="宋体"/>
                <w:color w:val="auto"/>
                <w:kern w:val="0"/>
                <w:sz w:val="21"/>
                <w:szCs w:val="21"/>
              </w:rPr>
            </w:pPr>
            <w:r>
              <w:rPr>
                <w:rFonts w:ascii="Times New Roman" w:hAnsi="Times New Roman" w:eastAsia="宋体"/>
                <w:color w:val="auto"/>
                <w:kern w:val="0"/>
                <w:sz w:val="21"/>
                <w:szCs w:val="21"/>
              </w:rPr>
              <w:t>4</w:t>
            </w:r>
          </w:p>
        </w:tc>
        <w:tc>
          <w:tcPr>
            <w:tcW w:w="817" w:type="dxa"/>
            <w:vMerge w:val="restart"/>
            <w:noWrap w:val="0"/>
            <w:vAlign w:val="center"/>
          </w:tcPr>
          <w:p w14:paraId="13614B39">
            <w:pPr>
              <w:keepLines/>
              <w:spacing w:line="300" w:lineRule="exact"/>
              <w:ind w:firstLine="0" w:firstLineChars="0"/>
              <w:jc w:val="center"/>
              <w:rPr>
                <w:rFonts w:hint="eastAsia" w:ascii="Times New Roman" w:hAnsi="Times New Roman" w:eastAsia="宋体"/>
                <w:color w:val="auto"/>
                <w:kern w:val="0"/>
                <w:sz w:val="21"/>
                <w:szCs w:val="21"/>
              </w:rPr>
            </w:pPr>
            <w:r>
              <w:rPr>
                <w:rFonts w:hint="eastAsia" w:ascii="Times New Roman" w:hAnsi="Times New Roman" w:eastAsia="宋体"/>
                <w:color w:val="auto"/>
                <w:kern w:val="0"/>
                <w:sz w:val="21"/>
                <w:szCs w:val="21"/>
              </w:rPr>
              <w:t>4</w:t>
            </w:r>
          </w:p>
        </w:tc>
        <w:tc>
          <w:tcPr>
            <w:tcW w:w="5220" w:type="dxa"/>
            <w:vMerge w:val="restart"/>
            <w:noWrap w:val="0"/>
            <w:vAlign w:val="center"/>
          </w:tcPr>
          <w:p w14:paraId="387F5D1C">
            <w:pPr>
              <w:keepLines/>
              <w:spacing w:line="300" w:lineRule="exact"/>
              <w:ind w:firstLine="0" w:firstLineChars="0"/>
              <w:jc w:val="center"/>
              <w:rPr>
                <w:rFonts w:ascii="Times New Roman" w:hAnsi="Times New Roman" w:eastAsia="宋体"/>
                <w:color w:val="auto"/>
                <w:sz w:val="21"/>
                <w:szCs w:val="21"/>
              </w:rPr>
            </w:pPr>
          </w:p>
        </w:tc>
      </w:tr>
      <w:tr w14:paraId="510DD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 w:hRule="atLeast"/>
        </w:trPr>
        <w:tc>
          <w:tcPr>
            <w:tcW w:w="1440" w:type="dxa"/>
            <w:vMerge w:val="continue"/>
            <w:noWrap w:val="0"/>
            <w:vAlign w:val="top"/>
          </w:tcPr>
          <w:p w14:paraId="60EC0327">
            <w:pPr>
              <w:spacing w:line="300" w:lineRule="exact"/>
              <w:ind w:firstLine="0" w:firstLineChars="0"/>
              <w:rPr>
                <w:rFonts w:ascii="Times New Roman" w:hAnsi="Times New Roman" w:eastAsia="宋体"/>
                <w:color w:val="auto"/>
                <w:sz w:val="21"/>
                <w:szCs w:val="21"/>
              </w:rPr>
            </w:pPr>
          </w:p>
        </w:tc>
        <w:tc>
          <w:tcPr>
            <w:tcW w:w="6120" w:type="dxa"/>
            <w:noWrap w:val="0"/>
            <w:vAlign w:val="top"/>
          </w:tcPr>
          <w:p w14:paraId="7E918E53">
            <w:pPr>
              <w:spacing w:line="300" w:lineRule="exact"/>
              <w:ind w:firstLine="0" w:firstLineChars="0"/>
              <w:rPr>
                <w:rFonts w:ascii="Times New Roman" w:hAnsi="Times New Roman" w:eastAsia="宋体"/>
                <w:color w:val="auto"/>
                <w:sz w:val="21"/>
                <w:szCs w:val="21"/>
              </w:rPr>
            </w:pPr>
            <w:r>
              <w:rPr>
                <w:rFonts w:ascii="Times New Roman" w:hAnsi="Times New Roman" w:eastAsia="宋体"/>
                <w:color w:val="auto"/>
                <w:kern w:val="0"/>
                <w:sz w:val="21"/>
                <w:szCs w:val="21"/>
              </w:rPr>
              <w:t>有非法违法生产情况，发现一处扣2分，扣完为止</w:t>
            </w:r>
          </w:p>
        </w:tc>
        <w:tc>
          <w:tcPr>
            <w:tcW w:w="983" w:type="dxa"/>
            <w:gridSpan w:val="2"/>
            <w:vMerge w:val="continue"/>
            <w:noWrap w:val="0"/>
            <w:vAlign w:val="top"/>
          </w:tcPr>
          <w:p w14:paraId="56A24364">
            <w:pPr>
              <w:spacing w:line="300" w:lineRule="exact"/>
              <w:ind w:firstLine="0" w:firstLineChars="0"/>
              <w:rPr>
                <w:rFonts w:ascii="Times New Roman" w:hAnsi="Times New Roman" w:eastAsia="宋体"/>
                <w:color w:val="auto"/>
                <w:sz w:val="21"/>
                <w:szCs w:val="21"/>
              </w:rPr>
            </w:pPr>
          </w:p>
        </w:tc>
        <w:tc>
          <w:tcPr>
            <w:tcW w:w="817" w:type="dxa"/>
            <w:vMerge w:val="continue"/>
            <w:noWrap w:val="0"/>
            <w:vAlign w:val="top"/>
          </w:tcPr>
          <w:p w14:paraId="31141AB5">
            <w:pPr>
              <w:spacing w:line="300" w:lineRule="exact"/>
              <w:ind w:firstLine="0" w:firstLineChars="0"/>
              <w:rPr>
                <w:rFonts w:ascii="Times New Roman" w:hAnsi="Times New Roman" w:eastAsia="宋体"/>
                <w:color w:val="auto"/>
                <w:sz w:val="21"/>
                <w:szCs w:val="21"/>
              </w:rPr>
            </w:pPr>
          </w:p>
        </w:tc>
        <w:tc>
          <w:tcPr>
            <w:tcW w:w="5220" w:type="dxa"/>
            <w:vMerge w:val="continue"/>
            <w:noWrap w:val="0"/>
            <w:vAlign w:val="top"/>
          </w:tcPr>
          <w:p w14:paraId="5A7C2B06">
            <w:pPr>
              <w:spacing w:line="300" w:lineRule="exact"/>
              <w:ind w:firstLine="0" w:firstLineChars="0"/>
              <w:rPr>
                <w:rFonts w:ascii="Times New Roman" w:hAnsi="Times New Roman" w:eastAsia="宋体"/>
                <w:color w:val="auto"/>
                <w:sz w:val="21"/>
                <w:szCs w:val="21"/>
              </w:rPr>
            </w:pPr>
          </w:p>
        </w:tc>
      </w:tr>
      <w:tr w14:paraId="59A73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440" w:type="dxa"/>
            <w:noWrap w:val="0"/>
            <w:vAlign w:val="center"/>
          </w:tcPr>
          <w:p w14:paraId="59FDE4C8">
            <w:pPr>
              <w:spacing w:line="300" w:lineRule="exact"/>
              <w:ind w:firstLine="0" w:firstLineChars="0"/>
              <w:jc w:val="center"/>
              <w:rPr>
                <w:rFonts w:ascii="Times New Roman" w:hAnsi="Times New Roman" w:eastAsia="宋体"/>
                <w:color w:val="auto"/>
                <w:kern w:val="0"/>
                <w:sz w:val="21"/>
                <w:szCs w:val="21"/>
              </w:rPr>
            </w:pPr>
            <w:r>
              <w:rPr>
                <w:rFonts w:ascii="Times New Roman" w:hAnsi="Times New Roman" w:eastAsia="宋体"/>
                <w:color w:val="auto"/>
                <w:kern w:val="0"/>
                <w:sz w:val="21"/>
                <w:szCs w:val="21"/>
              </w:rPr>
              <w:t>总分</w:t>
            </w:r>
          </w:p>
        </w:tc>
        <w:tc>
          <w:tcPr>
            <w:tcW w:w="13140" w:type="dxa"/>
            <w:gridSpan w:val="5"/>
            <w:noWrap w:val="0"/>
            <w:vAlign w:val="center"/>
          </w:tcPr>
          <w:p w14:paraId="75147C16">
            <w:pPr>
              <w:spacing w:line="300" w:lineRule="exact"/>
              <w:ind w:firstLine="0" w:firstLineChars="0"/>
              <w:jc w:val="center"/>
              <w:rPr>
                <w:rFonts w:hint="default" w:ascii="Times New Roman" w:hAnsi="Times New Roman" w:eastAsia="宋体"/>
                <w:color w:val="auto"/>
                <w:kern w:val="0"/>
                <w:sz w:val="21"/>
                <w:szCs w:val="21"/>
                <w:lang w:val="en-US" w:eastAsia="zh-CN"/>
              </w:rPr>
            </w:pPr>
            <w:r>
              <w:rPr>
                <w:rFonts w:hint="eastAsia" w:ascii="Times New Roman" w:hAnsi="Times New Roman" w:eastAsia="宋体"/>
                <w:color w:val="auto"/>
                <w:kern w:val="0"/>
                <w:sz w:val="21"/>
                <w:szCs w:val="21"/>
                <w:lang w:val="en-US" w:eastAsia="zh-CN"/>
              </w:rPr>
              <w:t>95</w:t>
            </w:r>
          </w:p>
        </w:tc>
      </w:tr>
      <w:tr w14:paraId="6B6CF0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80" w:type="dxa"/>
            <w:gridSpan w:val="6"/>
            <w:noWrap w:val="0"/>
            <w:vAlign w:val="top"/>
          </w:tcPr>
          <w:p w14:paraId="77A00B13">
            <w:pPr>
              <w:keepLines/>
              <w:spacing w:line="300" w:lineRule="exact"/>
              <w:ind w:firstLine="0" w:firstLineChars="0"/>
              <w:rPr>
                <w:rFonts w:ascii="Times New Roman" w:hAnsi="Times New Roman" w:eastAsia="宋体"/>
                <w:bCs/>
                <w:color w:val="auto"/>
                <w:sz w:val="21"/>
                <w:szCs w:val="21"/>
              </w:rPr>
            </w:pPr>
            <w:r>
              <w:rPr>
                <w:rFonts w:ascii="Times New Roman" w:hAnsi="Times New Roman" w:eastAsia="宋体"/>
                <w:bCs/>
                <w:color w:val="auto"/>
                <w:sz w:val="21"/>
                <w:szCs w:val="21"/>
              </w:rPr>
              <w:t>尾矿库安全度划分、评级标准及评定单位：</w:t>
            </w:r>
          </w:p>
          <w:p w14:paraId="673B900A">
            <w:pPr>
              <w:keepLines/>
              <w:spacing w:line="300" w:lineRule="exact"/>
              <w:ind w:firstLine="0" w:firstLineChars="0"/>
              <w:rPr>
                <w:rFonts w:ascii="Times New Roman" w:hAnsi="Times New Roman" w:eastAsia="宋体"/>
                <w:color w:val="auto"/>
                <w:sz w:val="21"/>
                <w:szCs w:val="21"/>
              </w:rPr>
            </w:pPr>
            <w:r>
              <w:rPr>
                <w:rFonts w:ascii="Times New Roman" w:hAnsi="Times New Roman" w:eastAsia="宋体"/>
                <w:color w:val="auto"/>
                <w:sz w:val="21"/>
                <w:szCs w:val="21"/>
              </w:rPr>
              <w:t>危库指安全没有保障，随时可能发生垮坝事故的尾矿库，完全不具备安全生产的基本条件；</w:t>
            </w:r>
          </w:p>
          <w:p w14:paraId="2EF3649C">
            <w:pPr>
              <w:keepLines/>
              <w:spacing w:line="300" w:lineRule="exact"/>
              <w:ind w:firstLine="0" w:firstLineChars="0"/>
              <w:rPr>
                <w:rFonts w:ascii="Times New Roman" w:hAnsi="Times New Roman" w:eastAsia="宋体"/>
                <w:color w:val="auto"/>
                <w:sz w:val="21"/>
                <w:szCs w:val="21"/>
              </w:rPr>
            </w:pPr>
            <w:r>
              <w:rPr>
                <w:rFonts w:ascii="Times New Roman" w:hAnsi="Times New Roman" w:eastAsia="宋体"/>
                <w:color w:val="auto"/>
                <w:sz w:val="21"/>
                <w:szCs w:val="21"/>
              </w:rPr>
              <w:t>险库指安全设施存在严重隐患，防洪能力不足，或坝体存在严重隐患，威胁坝体安全稳定性，不具备安全生产的基本条件；</w:t>
            </w:r>
          </w:p>
          <w:p w14:paraId="5D97144D">
            <w:pPr>
              <w:keepLines/>
              <w:spacing w:line="300" w:lineRule="exact"/>
              <w:ind w:firstLine="0" w:firstLineChars="0"/>
              <w:rPr>
                <w:rFonts w:ascii="Times New Roman" w:hAnsi="Times New Roman" w:eastAsia="宋体"/>
                <w:color w:val="auto"/>
                <w:sz w:val="21"/>
                <w:szCs w:val="21"/>
              </w:rPr>
            </w:pPr>
            <w:r>
              <w:rPr>
                <w:rFonts w:ascii="Times New Roman" w:hAnsi="Times New Roman" w:eastAsia="宋体"/>
                <w:color w:val="auto"/>
                <w:sz w:val="21"/>
                <w:szCs w:val="21"/>
              </w:rPr>
              <w:t>病库指安全设施不完全符合设计规定，但符合基本安全生产条件。</w:t>
            </w:r>
          </w:p>
          <w:p w14:paraId="5E70F73E">
            <w:pPr>
              <w:spacing w:line="300" w:lineRule="exact"/>
              <w:ind w:firstLine="0" w:firstLineChars="0"/>
              <w:rPr>
                <w:rFonts w:ascii="Times New Roman" w:hAnsi="Times New Roman" w:eastAsia="宋体"/>
                <w:color w:val="auto"/>
                <w:kern w:val="0"/>
                <w:sz w:val="21"/>
                <w:szCs w:val="21"/>
              </w:rPr>
            </w:pPr>
            <w:r>
              <w:rPr>
                <w:rFonts w:ascii="Times New Roman" w:hAnsi="Times New Roman" w:eastAsia="宋体"/>
                <w:color w:val="auto"/>
                <w:kern w:val="0"/>
                <w:sz w:val="21"/>
                <w:szCs w:val="21"/>
              </w:rPr>
              <w:t>评级标准：</w:t>
            </w:r>
          </w:p>
          <w:p w14:paraId="01BA76FF">
            <w:pPr>
              <w:spacing w:line="300" w:lineRule="exact"/>
              <w:ind w:firstLine="0" w:firstLineChars="0"/>
              <w:rPr>
                <w:rFonts w:ascii="Times New Roman" w:hAnsi="Times New Roman" w:eastAsia="宋体"/>
                <w:color w:val="auto"/>
                <w:kern w:val="0"/>
                <w:sz w:val="21"/>
                <w:szCs w:val="21"/>
              </w:rPr>
            </w:pPr>
            <w:r>
              <w:rPr>
                <w:rFonts w:ascii="Times New Roman" w:hAnsi="Times New Roman" w:eastAsia="宋体"/>
                <w:color w:val="auto"/>
                <w:kern w:val="0"/>
                <w:sz w:val="21"/>
                <w:szCs w:val="21"/>
              </w:rPr>
              <w:t>1.四等以下（含四等）尾矿库（不含</w:t>
            </w:r>
            <w:r>
              <w:rPr>
                <w:rFonts w:ascii="宋体" w:hAnsi="宋体" w:eastAsia="宋体"/>
                <w:bCs/>
                <w:color w:val="auto"/>
                <w:kern w:val="0"/>
                <w:sz w:val="21"/>
                <w:szCs w:val="21"/>
              </w:rPr>
              <w:t>“头顶库”</w:t>
            </w:r>
            <w:r>
              <w:rPr>
                <w:rFonts w:ascii="Times New Roman" w:hAnsi="Times New Roman" w:eastAsia="宋体"/>
                <w:color w:val="auto"/>
                <w:kern w:val="0"/>
                <w:sz w:val="21"/>
                <w:szCs w:val="21"/>
              </w:rPr>
              <w:t>）由县级安监部门定级，其他尾矿库由设区市安监局定级。</w:t>
            </w:r>
          </w:p>
          <w:p w14:paraId="4B6EC882">
            <w:pPr>
              <w:spacing w:line="300" w:lineRule="exact"/>
              <w:ind w:firstLine="0" w:firstLineChars="0"/>
              <w:rPr>
                <w:rFonts w:ascii="Times New Roman" w:hAnsi="Times New Roman" w:eastAsia="宋体"/>
                <w:color w:val="auto"/>
                <w:kern w:val="0"/>
                <w:sz w:val="21"/>
                <w:szCs w:val="21"/>
              </w:rPr>
            </w:pPr>
            <w:r>
              <w:rPr>
                <w:rFonts w:ascii="Times New Roman" w:hAnsi="Times New Roman" w:eastAsia="宋体"/>
                <w:color w:val="auto"/>
                <w:kern w:val="0"/>
                <w:sz w:val="21"/>
                <w:szCs w:val="21"/>
              </w:rPr>
              <w:t>2.总分100分，100分</w:t>
            </w:r>
            <w:r>
              <w:rPr>
                <w:rFonts w:ascii="宋体" w:hAnsi="宋体" w:eastAsia="宋体"/>
                <w:color w:val="auto"/>
                <w:kern w:val="0"/>
                <w:sz w:val="21"/>
                <w:szCs w:val="21"/>
              </w:rPr>
              <w:t>≥</w:t>
            </w:r>
            <w:r>
              <w:rPr>
                <w:rFonts w:ascii="Times New Roman" w:hAnsi="Times New Roman" w:eastAsia="宋体"/>
                <w:color w:val="auto"/>
                <w:kern w:val="0"/>
                <w:sz w:val="21"/>
                <w:szCs w:val="21"/>
              </w:rPr>
              <w:t>四级</w:t>
            </w:r>
            <w:r>
              <w:rPr>
                <w:rFonts w:ascii="宋体" w:hAnsi="宋体" w:eastAsia="宋体"/>
                <w:color w:val="auto"/>
                <w:kern w:val="0"/>
                <w:sz w:val="21"/>
                <w:szCs w:val="21"/>
              </w:rPr>
              <w:t>≥</w:t>
            </w:r>
            <w:r>
              <w:rPr>
                <w:rFonts w:ascii="Times New Roman" w:hAnsi="Times New Roman" w:eastAsia="宋体"/>
                <w:color w:val="auto"/>
                <w:kern w:val="0"/>
                <w:sz w:val="21"/>
                <w:szCs w:val="21"/>
              </w:rPr>
              <w:t>90分；90分</w:t>
            </w:r>
            <w:r>
              <w:rPr>
                <w:rFonts w:hint="eastAsia" w:ascii="宋体" w:hAnsi="宋体" w:eastAsia="宋体"/>
                <w:color w:val="auto"/>
                <w:kern w:val="0"/>
                <w:sz w:val="21"/>
                <w:szCs w:val="21"/>
              </w:rPr>
              <w:t>＞</w:t>
            </w:r>
            <w:r>
              <w:rPr>
                <w:rFonts w:ascii="Times New Roman" w:hAnsi="Times New Roman" w:eastAsia="宋体"/>
                <w:color w:val="auto"/>
                <w:kern w:val="0"/>
                <w:sz w:val="21"/>
                <w:szCs w:val="21"/>
              </w:rPr>
              <w:t>三级</w:t>
            </w:r>
            <w:r>
              <w:rPr>
                <w:rFonts w:ascii="宋体" w:hAnsi="宋体" w:eastAsia="宋体"/>
                <w:color w:val="auto"/>
                <w:kern w:val="0"/>
                <w:sz w:val="21"/>
                <w:szCs w:val="21"/>
              </w:rPr>
              <w:t>≥</w:t>
            </w:r>
            <w:r>
              <w:rPr>
                <w:rFonts w:ascii="Times New Roman" w:hAnsi="Times New Roman" w:eastAsia="宋体"/>
                <w:color w:val="auto"/>
                <w:kern w:val="0"/>
                <w:sz w:val="21"/>
                <w:szCs w:val="21"/>
              </w:rPr>
              <w:t>75分；75分</w:t>
            </w:r>
            <w:r>
              <w:rPr>
                <w:rFonts w:hint="eastAsia" w:ascii="Times New Roman" w:hAnsi="Times New Roman" w:eastAsia="宋体"/>
                <w:color w:val="auto"/>
                <w:kern w:val="0"/>
                <w:sz w:val="21"/>
                <w:szCs w:val="21"/>
              </w:rPr>
              <w:t>＞</w:t>
            </w:r>
            <w:r>
              <w:rPr>
                <w:rFonts w:ascii="Times New Roman" w:hAnsi="Times New Roman" w:eastAsia="宋体"/>
                <w:color w:val="auto"/>
                <w:kern w:val="0"/>
                <w:sz w:val="21"/>
                <w:szCs w:val="21"/>
              </w:rPr>
              <w:t>二级</w:t>
            </w:r>
            <w:r>
              <w:rPr>
                <w:rFonts w:ascii="宋体" w:hAnsi="宋体" w:eastAsia="宋体"/>
                <w:color w:val="auto"/>
                <w:kern w:val="0"/>
                <w:sz w:val="21"/>
                <w:szCs w:val="21"/>
              </w:rPr>
              <w:t>≥</w:t>
            </w:r>
            <w:r>
              <w:rPr>
                <w:rFonts w:ascii="Times New Roman" w:hAnsi="Times New Roman" w:eastAsia="宋体"/>
                <w:color w:val="auto"/>
                <w:kern w:val="0"/>
                <w:sz w:val="21"/>
                <w:szCs w:val="21"/>
              </w:rPr>
              <w:t>60分；60分</w:t>
            </w:r>
            <w:r>
              <w:rPr>
                <w:rFonts w:hint="eastAsia" w:ascii="Times New Roman" w:hAnsi="Times New Roman" w:eastAsia="宋体"/>
                <w:color w:val="auto"/>
                <w:kern w:val="0"/>
                <w:sz w:val="21"/>
                <w:szCs w:val="21"/>
              </w:rPr>
              <w:t>＞</w:t>
            </w:r>
            <w:r>
              <w:rPr>
                <w:rFonts w:ascii="Times New Roman" w:hAnsi="Times New Roman" w:eastAsia="宋体"/>
                <w:color w:val="auto"/>
                <w:kern w:val="0"/>
                <w:sz w:val="21"/>
                <w:szCs w:val="21"/>
              </w:rPr>
              <w:t>一级。四级为低风险、一级为高风险。</w:t>
            </w:r>
          </w:p>
          <w:p w14:paraId="006C7793">
            <w:pPr>
              <w:spacing w:line="300" w:lineRule="exact"/>
              <w:ind w:firstLine="0" w:firstLineChars="0"/>
              <w:rPr>
                <w:rFonts w:ascii="Times New Roman" w:hAnsi="Times New Roman" w:eastAsia="宋体"/>
                <w:color w:val="auto"/>
                <w:sz w:val="21"/>
                <w:szCs w:val="21"/>
              </w:rPr>
            </w:pPr>
            <w:r>
              <w:rPr>
                <w:rFonts w:ascii="Times New Roman" w:hAnsi="Times New Roman" w:eastAsia="宋体"/>
                <w:color w:val="auto"/>
                <w:kern w:val="0"/>
                <w:sz w:val="21"/>
                <w:szCs w:val="21"/>
              </w:rPr>
              <w:t>3.以二级起评的固有风险项目，其所在项目不再另扣分，其他项目扣15分以上（含15分）的，定为一级。</w:t>
            </w:r>
          </w:p>
        </w:tc>
      </w:tr>
    </w:tbl>
    <w:p w14:paraId="61C0516D">
      <w:p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由表5.4-1可知，杨家店尾矿库得分95分，风险等级为四级，但由于历史遗留问题，杨家店尾矿库下游1km范围内分布有约101户居民，人员289人，属于</w:t>
      </w:r>
      <w:r>
        <w:rPr>
          <w:rFonts w:hint="eastAsia" w:ascii="宋体" w:hAnsi="宋体" w:eastAsia="宋体" w:cs="宋体"/>
          <w:color w:val="auto"/>
          <w:lang w:val="en-US" w:eastAsia="zh-CN"/>
        </w:rPr>
        <w:t>“</w:t>
      </w:r>
      <w:r>
        <w:rPr>
          <w:rFonts w:hint="default" w:ascii="Times New Roman" w:hAnsi="Times New Roman" w:cs="Times New Roman"/>
          <w:color w:val="auto"/>
          <w:lang w:val="en-US" w:eastAsia="zh-CN"/>
        </w:rPr>
        <w:t>头顶库</w:t>
      </w:r>
      <w:r>
        <w:rPr>
          <w:rFonts w:hint="eastAsia" w:ascii="宋体" w:hAnsi="宋体" w:eastAsia="宋体" w:cs="宋体"/>
          <w:color w:val="auto"/>
          <w:lang w:val="en-US" w:eastAsia="zh-CN"/>
        </w:rPr>
        <w:t>”</w:t>
      </w:r>
      <w:r>
        <w:rPr>
          <w:rFonts w:hint="default" w:ascii="Times New Roman" w:hAnsi="Times New Roman" w:cs="Times New Roman"/>
          <w:color w:val="auto"/>
          <w:lang w:val="en-US" w:eastAsia="zh-CN"/>
        </w:rPr>
        <w:t>，直接定为一级风险。</w:t>
      </w:r>
    </w:p>
    <w:p w14:paraId="27C35785">
      <w:pPr>
        <w:bidi w:val="0"/>
        <w:rPr>
          <w:rFonts w:hint="default"/>
          <w:color w:val="auto"/>
          <w:lang w:val="en-US" w:eastAsia="zh-CN"/>
        </w:rPr>
        <w:sectPr>
          <w:headerReference r:id="rId8" w:type="default"/>
          <w:footerReference r:id="rId9" w:type="default"/>
          <w:pgSz w:w="16839" w:h="11906" w:orient="landscape"/>
          <w:pgMar w:top="1417" w:right="1417" w:bottom="1417" w:left="1417" w:header="850" w:footer="992" w:gutter="0"/>
          <w:pgNumType w:fmt="decimal" w:start="84"/>
          <w:cols w:space="425" w:num="1"/>
          <w:rtlGutter w:val="0"/>
          <w:docGrid w:linePitch="312" w:charSpace="0"/>
        </w:sectPr>
      </w:pPr>
    </w:p>
    <w:p w14:paraId="1506838D">
      <w:pPr>
        <w:pStyle w:val="3"/>
        <w:bidi w:val="0"/>
        <w:rPr>
          <w:rFonts w:hint="default"/>
          <w:color w:val="auto"/>
          <w:lang w:val="en-US" w:eastAsia="zh-CN"/>
        </w:rPr>
      </w:pPr>
      <w:bookmarkStart w:id="137" w:name="_Toc21207"/>
      <w:r>
        <w:rPr>
          <w:rFonts w:hint="default"/>
          <w:color w:val="auto"/>
          <w:lang w:val="en-US" w:eastAsia="zh-CN"/>
        </w:rPr>
        <w:t>5.5</w:t>
      </w:r>
      <w:r>
        <w:rPr>
          <w:rFonts w:hint="eastAsia"/>
          <w:color w:val="auto"/>
          <w:lang w:val="en-US" w:eastAsia="zh-CN"/>
        </w:rPr>
        <w:t xml:space="preserve"> </w:t>
      </w:r>
      <w:r>
        <w:rPr>
          <w:rFonts w:hint="default"/>
          <w:color w:val="auto"/>
          <w:lang w:val="en-US" w:eastAsia="zh-CN"/>
        </w:rPr>
        <w:t>尾矿库事故风险评价</w:t>
      </w:r>
      <w:bookmarkEnd w:id="137"/>
    </w:p>
    <w:p w14:paraId="3197E9B5">
      <w:pPr>
        <w:bidi w:val="0"/>
        <w:rPr>
          <w:rFonts w:hint="default"/>
          <w:color w:val="auto"/>
          <w:lang w:val="en-US" w:eastAsia="zh-CN"/>
        </w:rPr>
      </w:pPr>
      <w:r>
        <w:rPr>
          <w:rFonts w:hint="default"/>
          <w:color w:val="auto"/>
          <w:lang w:val="en-US" w:eastAsia="zh-CN"/>
        </w:rPr>
        <w:t>（1）经危险、有害因素辨识和采用LEC法风险分析，杨家店尾矿库可能存在的事故类别及其风险等级详见下表。</w:t>
      </w:r>
    </w:p>
    <w:p w14:paraId="3D33950A">
      <w:pPr>
        <w:bidi w:val="0"/>
        <w:ind w:left="0" w:leftChars="0" w:firstLine="0" w:firstLineChars="0"/>
        <w:jc w:val="center"/>
        <w:rPr>
          <w:rFonts w:hint="default"/>
          <w:color w:val="auto"/>
          <w:lang w:val="en-US" w:eastAsia="zh-CN"/>
        </w:rPr>
      </w:pPr>
      <w:r>
        <w:rPr>
          <w:rFonts w:hint="eastAsia"/>
          <w:color w:val="auto"/>
          <w:lang w:val="en-US" w:eastAsia="zh-CN"/>
        </w:rPr>
        <w:t xml:space="preserve">表5.5-1 </w:t>
      </w:r>
      <w:r>
        <w:rPr>
          <w:rFonts w:hint="default"/>
          <w:color w:val="auto"/>
          <w:lang w:val="en-US" w:eastAsia="zh-CN"/>
        </w:rPr>
        <w:t>LEC法杨家店尾矿库事故类别与风险等级一览表</w:t>
      </w:r>
    </w:p>
    <w:tbl>
      <w:tblPr>
        <w:tblStyle w:val="20"/>
        <w:tblW w:w="954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4"/>
        <w:gridCol w:w="3806"/>
        <w:gridCol w:w="1260"/>
        <w:gridCol w:w="3600"/>
      </w:tblGrid>
      <w:tr w14:paraId="61B0B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4" w:type="dxa"/>
            <w:noWrap w:val="0"/>
            <w:vAlign w:val="center"/>
          </w:tcPr>
          <w:p w14:paraId="622D5F73">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序号</w:t>
            </w:r>
          </w:p>
        </w:tc>
        <w:tc>
          <w:tcPr>
            <w:tcW w:w="3806" w:type="dxa"/>
            <w:noWrap w:val="0"/>
            <w:vAlign w:val="center"/>
          </w:tcPr>
          <w:p w14:paraId="572D6186">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事故类别</w:t>
            </w:r>
          </w:p>
        </w:tc>
        <w:tc>
          <w:tcPr>
            <w:tcW w:w="1260" w:type="dxa"/>
            <w:tcBorders>
              <w:bottom w:val="single" w:color="auto" w:sz="4" w:space="0"/>
            </w:tcBorders>
            <w:noWrap w:val="0"/>
            <w:vAlign w:val="center"/>
          </w:tcPr>
          <w:p w14:paraId="0199E62F">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风险等级</w:t>
            </w:r>
          </w:p>
        </w:tc>
        <w:tc>
          <w:tcPr>
            <w:tcW w:w="3600" w:type="dxa"/>
            <w:noWrap w:val="0"/>
            <w:vAlign w:val="center"/>
          </w:tcPr>
          <w:p w14:paraId="772F3B07">
            <w:pPr>
              <w:spacing w:line="300" w:lineRule="exact"/>
              <w:ind w:firstLine="0" w:firstLineChars="0"/>
              <w:jc w:val="center"/>
              <w:rPr>
                <w:rFonts w:hint="default"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处置措施</w:t>
            </w:r>
          </w:p>
        </w:tc>
      </w:tr>
      <w:tr w14:paraId="3C796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4" w:type="dxa"/>
            <w:shd w:val="clear" w:color="auto" w:fill="auto"/>
            <w:noWrap w:val="0"/>
            <w:vAlign w:val="center"/>
          </w:tcPr>
          <w:p w14:paraId="7BEAEFB1">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3806" w:type="dxa"/>
            <w:shd w:val="clear" w:color="auto" w:fill="auto"/>
            <w:noWrap w:val="0"/>
            <w:vAlign w:val="center"/>
          </w:tcPr>
          <w:p w14:paraId="72CD8DDC">
            <w:pPr>
              <w:spacing w:line="300" w:lineRule="exact"/>
              <w:ind w:firstLine="0" w:firstLineChars="0"/>
              <w:jc w:val="center"/>
              <w:rPr>
                <w:rFonts w:hint="eastAsia" w:ascii="宋体" w:hAnsi="宋体" w:eastAsia="宋体" w:cs="Times New Roman"/>
                <w:color w:val="auto"/>
                <w:sz w:val="21"/>
                <w:szCs w:val="21"/>
              </w:rPr>
            </w:pPr>
            <w:r>
              <w:rPr>
                <w:rFonts w:hint="eastAsia" w:ascii="Times New Roman" w:hAnsi="宋体" w:eastAsia="宋体" w:cs="Times New Roman"/>
                <w:color w:val="auto"/>
                <w:sz w:val="21"/>
                <w:szCs w:val="21"/>
              </w:rPr>
              <w:t>洪水漫顶、</w:t>
            </w:r>
            <w:r>
              <w:rPr>
                <w:rFonts w:hint="eastAsia" w:ascii="宋体" w:hAnsi="宋体" w:eastAsia="宋体" w:cs="Times New Roman"/>
                <w:color w:val="auto"/>
                <w:sz w:val="21"/>
                <w:szCs w:val="21"/>
              </w:rPr>
              <w:t>溃坝</w:t>
            </w:r>
          </w:p>
        </w:tc>
        <w:tc>
          <w:tcPr>
            <w:tcW w:w="1260" w:type="dxa"/>
            <w:tcBorders>
              <w:bottom w:val="single" w:color="auto" w:sz="4" w:space="0"/>
            </w:tcBorders>
            <w:shd w:val="clear" w:color="auto" w:fill="FF6600"/>
            <w:noWrap w:val="0"/>
            <w:vAlign w:val="center"/>
          </w:tcPr>
          <w:p w14:paraId="3FE878FC">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二级</w:t>
            </w:r>
          </w:p>
        </w:tc>
        <w:tc>
          <w:tcPr>
            <w:tcW w:w="3600" w:type="dxa"/>
            <w:noWrap w:val="0"/>
            <w:vAlign w:val="center"/>
          </w:tcPr>
          <w:p w14:paraId="6CF7FA39">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高度</w:t>
            </w:r>
            <w:r>
              <w:rPr>
                <w:rFonts w:ascii="宋体" w:hAnsi="宋体" w:eastAsia="宋体" w:cs="Times New Roman"/>
                <w:color w:val="auto"/>
                <w:sz w:val="21"/>
                <w:szCs w:val="21"/>
              </w:rPr>
              <w:t>危险，需要</w:t>
            </w:r>
            <w:r>
              <w:rPr>
                <w:rFonts w:hint="eastAsia" w:ascii="宋体" w:hAnsi="宋体" w:eastAsia="宋体" w:cs="Times New Roman"/>
                <w:color w:val="auto"/>
                <w:sz w:val="21"/>
                <w:szCs w:val="21"/>
              </w:rPr>
              <w:t>加强检查、限期</w:t>
            </w:r>
            <w:r>
              <w:rPr>
                <w:rFonts w:ascii="宋体" w:hAnsi="宋体" w:eastAsia="宋体" w:cs="Times New Roman"/>
                <w:color w:val="auto"/>
                <w:sz w:val="21"/>
                <w:szCs w:val="21"/>
              </w:rPr>
              <w:t>整改</w:t>
            </w:r>
          </w:p>
        </w:tc>
      </w:tr>
      <w:tr w14:paraId="6BD5D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4" w:type="dxa"/>
            <w:shd w:val="clear" w:color="auto" w:fill="auto"/>
            <w:noWrap w:val="0"/>
            <w:vAlign w:val="center"/>
          </w:tcPr>
          <w:p w14:paraId="54C5418B">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w:t>
            </w:r>
          </w:p>
        </w:tc>
        <w:tc>
          <w:tcPr>
            <w:tcW w:w="3806" w:type="dxa"/>
            <w:shd w:val="clear" w:color="auto" w:fill="auto"/>
            <w:noWrap w:val="0"/>
            <w:vAlign w:val="center"/>
          </w:tcPr>
          <w:p w14:paraId="3080356F">
            <w:pPr>
              <w:spacing w:line="300" w:lineRule="exact"/>
              <w:ind w:firstLine="0" w:firstLineChars="0"/>
              <w:jc w:val="center"/>
              <w:rPr>
                <w:rFonts w:hint="eastAsia" w:ascii="宋体" w:hAnsi="宋体" w:eastAsia="宋体" w:cs="Times New Roman"/>
                <w:color w:val="auto"/>
                <w:sz w:val="21"/>
                <w:szCs w:val="21"/>
              </w:rPr>
            </w:pPr>
            <w:r>
              <w:rPr>
                <w:rFonts w:hint="eastAsia" w:ascii="Times New Roman" w:hAnsi="宋体" w:eastAsia="宋体" w:cs="Times New Roman"/>
                <w:color w:val="auto"/>
                <w:sz w:val="21"/>
                <w:szCs w:val="21"/>
              </w:rPr>
              <w:t>排水构筑物堵塞、断裂、垮塌</w:t>
            </w:r>
          </w:p>
        </w:tc>
        <w:tc>
          <w:tcPr>
            <w:tcW w:w="1260" w:type="dxa"/>
            <w:tcBorders>
              <w:bottom w:val="single" w:color="auto" w:sz="4" w:space="0"/>
            </w:tcBorders>
            <w:shd w:val="clear" w:color="auto" w:fill="FF6600"/>
            <w:noWrap w:val="0"/>
            <w:vAlign w:val="center"/>
          </w:tcPr>
          <w:p w14:paraId="0CCC377F">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二级</w:t>
            </w:r>
          </w:p>
        </w:tc>
        <w:tc>
          <w:tcPr>
            <w:tcW w:w="3600" w:type="dxa"/>
            <w:noWrap w:val="0"/>
            <w:vAlign w:val="center"/>
          </w:tcPr>
          <w:p w14:paraId="1C1B8931">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高度危险，</w:t>
            </w:r>
            <w:r>
              <w:rPr>
                <w:rFonts w:ascii="宋体" w:hAnsi="宋体" w:eastAsia="宋体" w:cs="Times New Roman"/>
                <w:color w:val="auto"/>
                <w:sz w:val="21"/>
                <w:szCs w:val="21"/>
              </w:rPr>
              <w:t>需要</w:t>
            </w:r>
            <w:r>
              <w:rPr>
                <w:rFonts w:hint="eastAsia" w:ascii="宋体" w:hAnsi="宋体" w:eastAsia="宋体" w:cs="Times New Roman"/>
                <w:color w:val="auto"/>
                <w:sz w:val="21"/>
                <w:szCs w:val="21"/>
              </w:rPr>
              <w:t>加强检查、限期</w:t>
            </w:r>
            <w:r>
              <w:rPr>
                <w:rFonts w:ascii="宋体" w:hAnsi="宋体" w:eastAsia="宋体" w:cs="Times New Roman"/>
                <w:color w:val="auto"/>
                <w:sz w:val="21"/>
                <w:szCs w:val="21"/>
              </w:rPr>
              <w:t>整改</w:t>
            </w:r>
          </w:p>
        </w:tc>
      </w:tr>
      <w:tr w14:paraId="43C5F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4" w:type="dxa"/>
            <w:shd w:val="clear" w:color="auto" w:fill="auto"/>
            <w:noWrap w:val="0"/>
            <w:vAlign w:val="center"/>
          </w:tcPr>
          <w:p w14:paraId="007E5CF1">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3806" w:type="dxa"/>
            <w:shd w:val="clear" w:color="auto" w:fill="auto"/>
            <w:noWrap w:val="0"/>
            <w:vAlign w:val="center"/>
          </w:tcPr>
          <w:p w14:paraId="5D0D952D">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暴雨导致的库水位暴涨</w:t>
            </w:r>
          </w:p>
        </w:tc>
        <w:tc>
          <w:tcPr>
            <w:tcW w:w="1260" w:type="dxa"/>
            <w:tcBorders>
              <w:bottom w:val="single" w:color="auto" w:sz="4" w:space="0"/>
            </w:tcBorders>
            <w:shd w:val="clear" w:color="auto" w:fill="FFFF00"/>
            <w:noWrap w:val="0"/>
            <w:vAlign w:val="center"/>
          </w:tcPr>
          <w:p w14:paraId="6EAD4784">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三级</w:t>
            </w:r>
          </w:p>
        </w:tc>
        <w:tc>
          <w:tcPr>
            <w:tcW w:w="3600" w:type="dxa"/>
            <w:noWrap w:val="0"/>
            <w:vAlign w:val="center"/>
          </w:tcPr>
          <w:p w14:paraId="06AAA396">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一般</w:t>
            </w:r>
            <w:r>
              <w:rPr>
                <w:rFonts w:ascii="宋体" w:hAnsi="宋体" w:eastAsia="宋体" w:cs="Times New Roman"/>
                <w:color w:val="auto"/>
                <w:sz w:val="21"/>
                <w:szCs w:val="21"/>
              </w:rPr>
              <w:t>危险，需要</w:t>
            </w:r>
            <w:r>
              <w:rPr>
                <w:rFonts w:hint="eastAsia" w:ascii="宋体" w:hAnsi="宋体" w:eastAsia="宋体" w:cs="Times New Roman"/>
                <w:color w:val="auto"/>
                <w:sz w:val="21"/>
                <w:szCs w:val="21"/>
              </w:rPr>
              <w:t>制定操作规程、加强培训与沟通</w:t>
            </w:r>
          </w:p>
        </w:tc>
      </w:tr>
      <w:tr w14:paraId="314B7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4" w:type="dxa"/>
            <w:shd w:val="clear" w:color="auto" w:fill="auto"/>
            <w:noWrap w:val="0"/>
            <w:vAlign w:val="center"/>
          </w:tcPr>
          <w:p w14:paraId="233F3ADA">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4</w:t>
            </w:r>
          </w:p>
        </w:tc>
        <w:tc>
          <w:tcPr>
            <w:tcW w:w="3806" w:type="dxa"/>
            <w:shd w:val="clear" w:color="auto" w:fill="auto"/>
            <w:noWrap w:val="0"/>
            <w:vAlign w:val="center"/>
          </w:tcPr>
          <w:p w14:paraId="0D8F5866">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暴雨导致的尾矿坝坝坡面拉沟</w:t>
            </w:r>
          </w:p>
        </w:tc>
        <w:tc>
          <w:tcPr>
            <w:tcW w:w="1260" w:type="dxa"/>
            <w:tcBorders>
              <w:bottom w:val="single" w:color="auto" w:sz="4" w:space="0"/>
            </w:tcBorders>
            <w:shd w:val="clear" w:color="auto" w:fill="FFFF00"/>
            <w:noWrap w:val="0"/>
            <w:vAlign w:val="center"/>
          </w:tcPr>
          <w:p w14:paraId="102F0B00">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三级</w:t>
            </w:r>
          </w:p>
        </w:tc>
        <w:tc>
          <w:tcPr>
            <w:tcW w:w="3600" w:type="dxa"/>
            <w:noWrap w:val="0"/>
            <w:vAlign w:val="center"/>
          </w:tcPr>
          <w:p w14:paraId="2583A471">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一般</w:t>
            </w:r>
            <w:r>
              <w:rPr>
                <w:rFonts w:ascii="宋体" w:hAnsi="宋体" w:eastAsia="宋体" w:cs="Times New Roman"/>
                <w:color w:val="auto"/>
                <w:sz w:val="21"/>
                <w:szCs w:val="21"/>
              </w:rPr>
              <w:t>危险，需要</w:t>
            </w:r>
            <w:r>
              <w:rPr>
                <w:rFonts w:hint="eastAsia" w:ascii="宋体" w:hAnsi="宋体" w:eastAsia="宋体" w:cs="Times New Roman"/>
                <w:color w:val="auto"/>
                <w:sz w:val="21"/>
                <w:szCs w:val="21"/>
              </w:rPr>
              <w:t>制定操作规程、加强培训与沟通</w:t>
            </w:r>
          </w:p>
        </w:tc>
      </w:tr>
      <w:tr w14:paraId="3F9D47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4" w:type="dxa"/>
            <w:shd w:val="clear" w:color="auto" w:fill="auto"/>
            <w:noWrap w:val="0"/>
            <w:vAlign w:val="center"/>
          </w:tcPr>
          <w:p w14:paraId="72AD9770">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5</w:t>
            </w:r>
          </w:p>
        </w:tc>
        <w:tc>
          <w:tcPr>
            <w:tcW w:w="3806" w:type="dxa"/>
            <w:shd w:val="clear" w:color="auto" w:fill="auto"/>
            <w:noWrap w:val="0"/>
            <w:vAlign w:val="center"/>
          </w:tcPr>
          <w:p w14:paraId="5B6AB0A4">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坝坡失稳（滑坡）</w:t>
            </w:r>
          </w:p>
        </w:tc>
        <w:tc>
          <w:tcPr>
            <w:tcW w:w="1260" w:type="dxa"/>
            <w:tcBorders>
              <w:bottom w:val="single" w:color="auto" w:sz="4" w:space="0"/>
            </w:tcBorders>
            <w:shd w:val="clear" w:color="auto" w:fill="FFFF00"/>
            <w:noWrap w:val="0"/>
            <w:vAlign w:val="center"/>
          </w:tcPr>
          <w:p w14:paraId="5734C639">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三级</w:t>
            </w:r>
          </w:p>
        </w:tc>
        <w:tc>
          <w:tcPr>
            <w:tcW w:w="3600" w:type="dxa"/>
            <w:noWrap w:val="0"/>
            <w:vAlign w:val="center"/>
          </w:tcPr>
          <w:p w14:paraId="16DFDC23">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一般</w:t>
            </w:r>
            <w:r>
              <w:rPr>
                <w:rFonts w:ascii="宋体" w:hAnsi="宋体" w:eastAsia="宋体" w:cs="Times New Roman"/>
                <w:color w:val="auto"/>
                <w:sz w:val="21"/>
                <w:szCs w:val="21"/>
              </w:rPr>
              <w:t>危险，需要</w:t>
            </w:r>
            <w:r>
              <w:rPr>
                <w:rFonts w:hint="eastAsia" w:ascii="宋体" w:hAnsi="宋体" w:eastAsia="宋体" w:cs="Times New Roman"/>
                <w:color w:val="auto"/>
                <w:sz w:val="21"/>
                <w:szCs w:val="21"/>
              </w:rPr>
              <w:t>制定操作规程、加强培训与沟通</w:t>
            </w:r>
          </w:p>
        </w:tc>
      </w:tr>
      <w:tr w14:paraId="239376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4" w:type="dxa"/>
            <w:shd w:val="clear" w:color="auto" w:fill="auto"/>
            <w:noWrap w:val="0"/>
            <w:vAlign w:val="center"/>
          </w:tcPr>
          <w:p w14:paraId="1FA1F4CC">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6</w:t>
            </w:r>
          </w:p>
        </w:tc>
        <w:tc>
          <w:tcPr>
            <w:tcW w:w="3806" w:type="dxa"/>
            <w:shd w:val="clear" w:color="auto" w:fill="auto"/>
            <w:noWrap w:val="0"/>
            <w:vAlign w:val="center"/>
          </w:tcPr>
          <w:p w14:paraId="0AF232AA">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坝体垮塌</w:t>
            </w:r>
          </w:p>
        </w:tc>
        <w:tc>
          <w:tcPr>
            <w:tcW w:w="1260" w:type="dxa"/>
            <w:tcBorders>
              <w:bottom w:val="single" w:color="auto" w:sz="4" w:space="0"/>
            </w:tcBorders>
            <w:shd w:val="clear" w:color="auto" w:fill="FFFF00"/>
            <w:noWrap w:val="0"/>
            <w:vAlign w:val="center"/>
          </w:tcPr>
          <w:p w14:paraId="6446DD17">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三级</w:t>
            </w:r>
          </w:p>
        </w:tc>
        <w:tc>
          <w:tcPr>
            <w:tcW w:w="3600" w:type="dxa"/>
            <w:noWrap w:val="0"/>
            <w:vAlign w:val="center"/>
          </w:tcPr>
          <w:p w14:paraId="35D87295">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一般</w:t>
            </w:r>
            <w:r>
              <w:rPr>
                <w:rFonts w:ascii="宋体" w:hAnsi="宋体" w:eastAsia="宋体" w:cs="Times New Roman"/>
                <w:color w:val="auto"/>
                <w:sz w:val="21"/>
                <w:szCs w:val="21"/>
              </w:rPr>
              <w:t>危险，需要</w:t>
            </w:r>
            <w:r>
              <w:rPr>
                <w:rFonts w:hint="eastAsia" w:ascii="宋体" w:hAnsi="宋体" w:eastAsia="宋体" w:cs="Times New Roman"/>
                <w:color w:val="auto"/>
                <w:sz w:val="21"/>
                <w:szCs w:val="21"/>
              </w:rPr>
              <w:t>制定操作规程、加强培训与沟通</w:t>
            </w:r>
          </w:p>
        </w:tc>
      </w:tr>
      <w:tr w14:paraId="56F96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4" w:type="dxa"/>
            <w:shd w:val="clear" w:color="auto" w:fill="auto"/>
            <w:noWrap w:val="0"/>
            <w:vAlign w:val="center"/>
          </w:tcPr>
          <w:p w14:paraId="47E2727A">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7</w:t>
            </w:r>
          </w:p>
        </w:tc>
        <w:tc>
          <w:tcPr>
            <w:tcW w:w="3806" w:type="dxa"/>
            <w:shd w:val="clear" w:color="auto" w:fill="auto"/>
            <w:noWrap w:val="0"/>
            <w:vAlign w:val="center"/>
          </w:tcPr>
          <w:p w14:paraId="4EC383B1">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雷击</w:t>
            </w:r>
          </w:p>
        </w:tc>
        <w:tc>
          <w:tcPr>
            <w:tcW w:w="1260" w:type="dxa"/>
            <w:tcBorders>
              <w:bottom w:val="single" w:color="auto" w:sz="4" w:space="0"/>
            </w:tcBorders>
            <w:shd w:val="clear" w:color="auto" w:fill="FFFF00"/>
            <w:noWrap w:val="0"/>
            <w:vAlign w:val="center"/>
          </w:tcPr>
          <w:p w14:paraId="51EFA0CB">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三级</w:t>
            </w:r>
          </w:p>
        </w:tc>
        <w:tc>
          <w:tcPr>
            <w:tcW w:w="3600" w:type="dxa"/>
            <w:noWrap w:val="0"/>
            <w:vAlign w:val="center"/>
          </w:tcPr>
          <w:p w14:paraId="3FB002E3">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一般</w:t>
            </w:r>
            <w:r>
              <w:rPr>
                <w:rFonts w:ascii="宋体" w:hAnsi="宋体" w:eastAsia="宋体" w:cs="Times New Roman"/>
                <w:color w:val="auto"/>
                <w:sz w:val="21"/>
                <w:szCs w:val="21"/>
              </w:rPr>
              <w:t>危险，需要</w:t>
            </w:r>
            <w:r>
              <w:rPr>
                <w:rFonts w:hint="eastAsia" w:ascii="宋体" w:hAnsi="宋体" w:eastAsia="宋体" w:cs="Times New Roman"/>
                <w:color w:val="auto"/>
                <w:sz w:val="21"/>
                <w:szCs w:val="21"/>
              </w:rPr>
              <w:t>制定操作规程、加强培训与沟通</w:t>
            </w:r>
          </w:p>
        </w:tc>
      </w:tr>
      <w:tr w14:paraId="1AFBB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4" w:type="dxa"/>
            <w:shd w:val="clear" w:color="auto" w:fill="auto"/>
            <w:noWrap w:val="0"/>
            <w:vAlign w:val="center"/>
          </w:tcPr>
          <w:p w14:paraId="47639AE9">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8</w:t>
            </w:r>
          </w:p>
        </w:tc>
        <w:tc>
          <w:tcPr>
            <w:tcW w:w="3806" w:type="dxa"/>
            <w:shd w:val="clear" w:color="auto" w:fill="auto"/>
            <w:noWrap w:val="0"/>
            <w:vAlign w:val="center"/>
          </w:tcPr>
          <w:p w14:paraId="3FCEC278">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触电</w:t>
            </w:r>
          </w:p>
        </w:tc>
        <w:tc>
          <w:tcPr>
            <w:tcW w:w="1260" w:type="dxa"/>
            <w:tcBorders>
              <w:bottom w:val="single" w:color="auto" w:sz="4" w:space="0"/>
            </w:tcBorders>
            <w:shd w:val="clear" w:color="auto" w:fill="0000FF"/>
            <w:noWrap w:val="0"/>
            <w:vAlign w:val="center"/>
          </w:tcPr>
          <w:p w14:paraId="1D5163B7">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四级</w:t>
            </w:r>
          </w:p>
        </w:tc>
        <w:tc>
          <w:tcPr>
            <w:tcW w:w="3600" w:type="dxa"/>
            <w:noWrap w:val="0"/>
            <w:vAlign w:val="center"/>
          </w:tcPr>
          <w:p w14:paraId="2E4C09BA">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轻度危险、定期检查</w:t>
            </w:r>
          </w:p>
        </w:tc>
      </w:tr>
      <w:tr w14:paraId="0E711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4" w:type="dxa"/>
            <w:shd w:val="clear" w:color="auto" w:fill="auto"/>
            <w:noWrap w:val="0"/>
            <w:vAlign w:val="center"/>
          </w:tcPr>
          <w:p w14:paraId="03EE6971">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9</w:t>
            </w:r>
          </w:p>
        </w:tc>
        <w:tc>
          <w:tcPr>
            <w:tcW w:w="3806" w:type="dxa"/>
            <w:shd w:val="clear" w:color="auto" w:fill="auto"/>
            <w:noWrap w:val="0"/>
            <w:vAlign w:val="center"/>
          </w:tcPr>
          <w:p w14:paraId="35A02EE4">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淹溺</w:t>
            </w:r>
          </w:p>
        </w:tc>
        <w:tc>
          <w:tcPr>
            <w:tcW w:w="1260" w:type="dxa"/>
            <w:tcBorders>
              <w:bottom w:val="single" w:color="auto" w:sz="4" w:space="0"/>
            </w:tcBorders>
            <w:shd w:val="clear" w:color="auto" w:fill="0000FF"/>
            <w:noWrap w:val="0"/>
            <w:vAlign w:val="center"/>
          </w:tcPr>
          <w:p w14:paraId="403CEBC9">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四级</w:t>
            </w:r>
          </w:p>
        </w:tc>
        <w:tc>
          <w:tcPr>
            <w:tcW w:w="3600" w:type="dxa"/>
            <w:noWrap w:val="0"/>
            <w:vAlign w:val="center"/>
          </w:tcPr>
          <w:p w14:paraId="09CA7E60">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轻度危险、定期检查</w:t>
            </w:r>
          </w:p>
        </w:tc>
      </w:tr>
      <w:tr w14:paraId="6E339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4" w:type="dxa"/>
            <w:shd w:val="clear" w:color="auto" w:fill="auto"/>
            <w:noWrap w:val="0"/>
            <w:vAlign w:val="center"/>
          </w:tcPr>
          <w:p w14:paraId="3565C504">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10</w:t>
            </w:r>
          </w:p>
        </w:tc>
        <w:tc>
          <w:tcPr>
            <w:tcW w:w="3806" w:type="dxa"/>
            <w:shd w:val="clear" w:color="auto" w:fill="auto"/>
            <w:noWrap w:val="0"/>
            <w:vAlign w:val="center"/>
          </w:tcPr>
          <w:p w14:paraId="5C27FCE2">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大风、粉尘</w:t>
            </w:r>
          </w:p>
        </w:tc>
        <w:tc>
          <w:tcPr>
            <w:tcW w:w="1260" w:type="dxa"/>
            <w:tcBorders>
              <w:bottom w:val="single" w:color="auto" w:sz="4" w:space="0"/>
            </w:tcBorders>
            <w:shd w:val="clear" w:color="auto" w:fill="0000FF"/>
            <w:noWrap w:val="0"/>
            <w:vAlign w:val="center"/>
          </w:tcPr>
          <w:p w14:paraId="31EE8DA5">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四级</w:t>
            </w:r>
          </w:p>
        </w:tc>
        <w:tc>
          <w:tcPr>
            <w:tcW w:w="3600" w:type="dxa"/>
            <w:noWrap w:val="0"/>
            <w:vAlign w:val="center"/>
          </w:tcPr>
          <w:p w14:paraId="7ABDECED">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轻度危险、定期检查</w:t>
            </w:r>
          </w:p>
        </w:tc>
      </w:tr>
      <w:tr w14:paraId="29574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4" w:type="dxa"/>
            <w:shd w:val="clear" w:color="auto" w:fill="auto"/>
            <w:noWrap w:val="0"/>
            <w:vAlign w:val="center"/>
          </w:tcPr>
          <w:p w14:paraId="110EC87E">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11</w:t>
            </w:r>
          </w:p>
        </w:tc>
        <w:tc>
          <w:tcPr>
            <w:tcW w:w="3806" w:type="dxa"/>
            <w:shd w:val="clear" w:color="auto" w:fill="auto"/>
            <w:noWrap w:val="0"/>
            <w:vAlign w:val="center"/>
          </w:tcPr>
          <w:p w14:paraId="7206F9F9">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动植物危害</w:t>
            </w:r>
          </w:p>
        </w:tc>
        <w:tc>
          <w:tcPr>
            <w:tcW w:w="1260" w:type="dxa"/>
            <w:tcBorders>
              <w:bottom w:val="single" w:color="auto" w:sz="4" w:space="0"/>
            </w:tcBorders>
            <w:shd w:val="clear" w:color="auto" w:fill="0000FF"/>
            <w:noWrap w:val="0"/>
            <w:vAlign w:val="center"/>
          </w:tcPr>
          <w:p w14:paraId="2B167117">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四级</w:t>
            </w:r>
          </w:p>
        </w:tc>
        <w:tc>
          <w:tcPr>
            <w:tcW w:w="3600" w:type="dxa"/>
            <w:noWrap w:val="0"/>
            <w:vAlign w:val="center"/>
          </w:tcPr>
          <w:p w14:paraId="7210C055">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轻度危险、定期检查</w:t>
            </w:r>
          </w:p>
        </w:tc>
      </w:tr>
      <w:tr w14:paraId="1E77A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4" w:type="dxa"/>
            <w:shd w:val="clear" w:color="auto" w:fill="auto"/>
            <w:noWrap w:val="0"/>
            <w:vAlign w:val="center"/>
          </w:tcPr>
          <w:p w14:paraId="62D1D2B0">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12</w:t>
            </w:r>
          </w:p>
        </w:tc>
        <w:tc>
          <w:tcPr>
            <w:tcW w:w="3806" w:type="dxa"/>
            <w:shd w:val="clear" w:color="auto" w:fill="auto"/>
            <w:noWrap w:val="0"/>
            <w:vAlign w:val="center"/>
          </w:tcPr>
          <w:p w14:paraId="559C84A5">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高处坠落</w:t>
            </w:r>
          </w:p>
        </w:tc>
        <w:tc>
          <w:tcPr>
            <w:tcW w:w="1260" w:type="dxa"/>
            <w:tcBorders>
              <w:bottom w:val="single" w:color="auto" w:sz="4" w:space="0"/>
            </w:tcBorders>
            <w:shd w:val="clear" w:color="auto" w:fill="0000FF"/>
            <w:noWrap w:val="0"/>
            <w:vAlign w:val="center"/>
          </w:tcPr>
          <w:p w14:paraId="21FB3CB9">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四级</w:t>
            </w:r>
          </w:p>
        </w:tc>
        <w:tc>
          <w:tcPr>
            <w:tcW w:w="3600" w:type="dxa"/>
            <w:noWrap w:val="0"/>
            <w:vAlign w:val="center"/>
          </w:tcPr>
          <w:p w14:paraId="6B9A2D2C">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轻度危险、定期检查</w:t>
            </w:r>
          </w:p>
        </w:tc>
      </w:tr>
      <w:tr w14:paraId="1B6C4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4" w:type="dxa"/>
            <w:shd w:val="clear" w:color="auto" w:fill="auto"/>
            <w:noWrap w:val="0"/>
            <w:vAlign w:val="center"/>
          </w:tcPr>
          <w:p w14:paraId="04B3C8D9">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13</w:t>
            </w:r>
          </w:p>
        </w:tc>
        <w:tc>
          <w:tcPr>
            <w:tcW w:w="3806" w:type="dxa"/>
            <w:shd w:val="clear" w:color="auto" w:fill="auto"/>
            <w:noWrap w:val="0"/>
            <w:vAlign w:val="center"/>
          </w:tcPr>
          <w:p w14:paraId="7C136726">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坝体渗漏</w:t>
            </w:r>
          </w:p>
        </w:tc>
        <w:tc>
          <w:tcPr>
            <w:tcW w:w="1260" w:type="dxa"/>
            <w:tcBorders>
              <w:bottom w:val="single" w:color="auto" w:sz="4" w:space="0"/>
            </w:tcBorders>
            <w:shd w:val="clear" w:color="auto" w:fill="0000FF"/>
            <w:noWrap w:val="0"/>
            <w:vAlign w:val="center"/>
          </w:tcPr>
          <w:p w14:paraId="1F6F8681">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四级</w:t>
            </w:r>
          </w:p>
        </w:tc>
        <w:tc>
          <w:tcPr>
            <w:tcW w:w="3600" w:type="dxa"/>
            <w:noWrap w:val="0"/>
            <w:vAlign w:val="center"/>
          </w:tcPr>
          <w:p w14:paraId="26E0BE0D">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轻度危险、定期检查</w:t>
            </w:r>
          </w:p>
        </w:tc>
      </w:tr>
      <w:tr w14:paraId="7FB39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4" w:type="dxa"/>
            <w:shd w:val="clear" w:color="auto" w:fill="auto"/>
            <w:noWrap w:val="0"/>
            <w:vAlign w:val="center"/>
          </w:tcPr>
          <w:p w14:paraId="45149503">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14</w:t>
            </w:r>
          </w:p>
        </w:tc>
        <w:tc>
          <w:tcPr>
            <w:tcW w:w="3806" w:type="dxa"/>
            <w:shd w:val="clear" w:color="auto" w:fill="auto"/>
            <w:noWrap w:val="0"/>
            <w:vAlign w:val="center"/>
          </w:tcPr>
          <w:p w14:paraId="3CC15232">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坝体裂缝</w:t>
            </w:r>
          </w:p>
        </w:tc>
        <w:tc>
          <w:tcPr>
            <w:tcW w:w="1260" w:type="dxa"/>
            <w:tcBorders>
              <w:bottom w:val="single" w:color="auto" w:sz="4" w:space="0"/>
            </w:tcBorders>
            <w:shd w:val="clear" w:color="auto" w:fill="0000FF"/>
            <w:noWrap w:val="0"/>
            <w:vAlign w:val="center"/>
          </w:tcPr>
          <w:p w14:paraId="29C87AE9">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四级</w:t>
            </w:r>
          </w:p>
        </w:tc>
        <w:tc>
          <w:tcPr>
            <w:tcW w:w="3600" w:type="dxa"/>
            <w:noWrap w:val="0"/>
            <w:vAlign w:val="center"/>
          </w:tcPr>
          <w:p w14:paraId="1A28D6F5">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轻度危险、定期检查</w:t>
            </w:r>
          </w:p>
        </w:tc>
      </w:tr>
      <w:tr w14:paraId="780B0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4" w:type="dxa"/>
            <w:shd w:val="clear" w:color="auto" w:fill="auto"/>
            <w:noWrap w:val="0"/>
            <w:vAlign w:val="center"/>
          </w:tcPr>
          <w:p w14:paraId="204867C1">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15</w:t>
            </w:r>
          </w:p>
        </w:tc>
        <w:tc>
          <w:tcPr>
            <w:tcW w:w="3806" w:type="dxa"/>
            <w:shd w:val="clear" w:color="auto" w:fill="auto"/>
            <w:noWrap w:val="0"/>
            <w:vAlign w:val="center"/>
          </w:tcPr>
          <w:p w14:paraId="36AB3FC6">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车辆伤害</w:t>
            </w:r>
          </w:p>
        </w:tc>
        <w:tc>
          <w:tcPr>
            <w:tcW w:w="1260" w:type="dxa"/>
            <w:shd w:val="clear" w:color="auto" w:fill="0000FF"/>
            <w:noWrap w:val="0"/>
            <w:vAlign w:val="center"/>
          </w:tcPr>
          <w:p w14:paraId="4118D914">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四级</w:t>
            </w:r>
          </w:p>
        </w:tc>
        <w:tc>
          <w:tcPr>
            <w:tcW w:w="3600" w:type="dxa"/>
            <w:noWrap w:val="0"/>
            <w:vAlign w:val="center"/>
          </w:tcPr>
          <w:p w14:paraId="504267A8">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轻度危险、定期检查</w:t>
            </w:r>
          </w:p>
        </w:tc>
      </w:tr>
      <w:tr w14:paraId="096478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4" w:type="dxa"/>
            <w:shd w:val="clear" w:color="auto" w:fill="auto"/>
            <w:noWrap w:val="0"/>
            <w:vAlign w:val="center"/>
          </w:tcPr>
          <w:p w14:paraId="7AE59627">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16</w:t>
            </w:r>
          </w:p>
        </w:tc>
        <w:tc>
          <w:tcPr>
            <w:tcW w:w="3806" w:type="dxa"/>
            <w:shd w:val="clear" w:color="auto" w:fill="auto"/>
            <w:noWrap w:val="0"/>
            <w:vAlign w:val="center"/>
          </w:tcPr>
          <w:p w14:paraId="3E0000AB">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触电</w:t>
            </w:r>
          </w:p>
        </w:tc>
        <w:tc>
          <w:tcPr>
            <w:tcW w:w="1260" w:type="dxa"/>
            <w:tcBorders>
              <w:bottom w:val="single" w:color="auto" w:sz="4" w:space="0"/>
            </w:tcBorders>
            <w:shd w:val="clear" w:color="auto" w:fill="0000FF"/>
            <w:noWrap w:val="0"/>
            <w:vAlign w:val="center"/>
          </w:tcPr>
          <w:p w14:paraId="03CD6C62">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四级</w:t>
            </w:r>
          </w:p>
        </w:tc>
        <w:tc>
          <w:tcPr>
            <w:tcW w:w="3600" w:type="dxa"/>
            <w:noWrap w:val="0"/>
            <w:vAlign w:val="center"/>
          </w:tcPr>
          <w:p w14:paraId="66D43A5F">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轻度危险、定期检查</w:t>
            </w:r>
          </w:p>
        </w:tc>
      </w:tr>
      <w:tr w14:paraId="278FA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4" w:type="dxa"/>
            <w:shd w:val="clear" w:color="auto" w:fill="auto"/>
            <w:noWrap w:val="0"/>
            <w:vAlign w:val="center"/>
          </w:tcPr>
          <w:p w14:paraId="3BBCFB87">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17</w:t>
            </w:r>
          </w:p>
        </w:tc>
        <w:tc>
          <w:tcPr>
            <w:tcW w:w="3806" w:type="dxa"/>
            <w:shd w:val="clear" w:color="auto" w:fill="auto"/>
            <w:noWrap w:val="0"/>
            <w:vAlign w:val="center"/>
          </w:tcPr>
          <w:p w14:paraId="5A3D1695">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暴雨导致的摔伤、淹溺</w:t>
            </w:r>
          </w:p>
        </w:tc>
        <w:tc>
          <w:tcPr>
            <w:tcW w:w="1260" w:type="dxa"/>
            <w:shd w:val="clear" w:color="auto" w:fill="0000FF"/>
            <w:noWrap w:val="0"/>
            <w:vAlign w:val="center"/>
          </w:tcPr>
          <w:p w14:paraId="39833242">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四级</w:t>
            </w:r>
          </w:p>
        </w:tc>
        <w:tc>
          <w:tcPr>
            <w:tcW w:w="3600" w:type="dxa"/>
            <w:noWrap w:val="0"/>
            <w:vAlign w:val="center"/>
          </w:tcPr>
          <w:p w14:paraId="15CE5D3D">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轻度危险、定期检查</w:t>
            </w:r>
          </w:p>
        </w:tc>
      </w:tr>
      <w:tr w14:paraId="74736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4" w:type="dxa"/>
            <w:shd w:val="clear" w:color="auto" w:fill="auto"/>
            <w:noWrap w:val="0"/>
            <w:vAlign w:val="center"/>
          </w:tcPr>
          <w:p w14:paraId="73C7E96D">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18</w:t>
            </w:r>
          </w:p>
        </w:tc>
        <w:tc>
          <w:tcPr>
            <w:tcW w:w="3806" w:type="dxa"/>
            <w:shd w:val="clear" w:color="auto" w:fill="auto"/>
            <w:noWrap w:val="0"/>
            <w:vAlign w:val="center"/>
          </w:tcPr>
          <w:p w14:paraId="053BCC8B">
            <w:pPr>
              <w:spacing w:line="300" w:lineRule="exact"/>
              <w:ind w:firstLine="0" w:firstLineChars="0"/>
              <w:jc w:val="center"/>
              <w:rPr>
                <w:rFonts w:hint="eastAsia" w:ascii="宋体" w:hAnsi="宋体" w:eastAsia="宋体" w:cs="Times New Roman"/>
                <w:color w:val="auto"/>
                <w:sz w:val="21"/>
                <w:szCs w:val="21"/>
              </w:rPr>
            </w:pPr>
            <w:r>
              <w:rPr>
                <w:rFonts w:ascii="宋体" w:hAnsi="宋体" w:eastAsia="宋体" w:cs="Times New Roman"/>
                <w:color w:val="auto"/>
                <w:sz w:val="21"/>
                <w:szCs w:val="21"/>
              </w:rPr>
              <w:t>山体坍塌</w:t>
            </w:r>
            <w:r>
              <w:rPr>
                <w:rFonts w:hint="eastAsia" w:ascii="宋体" w:hAnsi="宋体" w:eastAsia="宋体" w:cs="Times New Roman"/>
                <w:color w:val="auto"/>
                <w:sz w:val="21"/>
                <w:szCs w:val="21"/>
              </w:rPr>
              <w:t>、滑坡、泥石流导致的道路切断、坝体失稳</w:t>
            </w:r>
          </w:p>
        </w:tc>
        <w:tc>
          <w:tcPr>
            <w:tcW w:w="1260" w:type="dxa"/>
            <w:tcBorders>
              <w:bottom w:val="single" w:color="auto" w:sz="4" w:space="0"/>
            </w:tcBorders>
            <w:shd w:val="clear" w:color="auto" w:fill="0000FF"/>
            <w:noWrap w:val="0"/>
            <w:vAlign w:val="center"/>
          </w:tcPr>
          <w:p w14:paraId="7C6D03AF">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四级</w:t>
            </w:r>
          </w:p>
        </w:tc>
        <w:tc>
          <w:tcPr>
            <w:tcW w:w="3600" w:type="dxa"/>
            <w:noWrap w:val="0"/>
            <w:vAlign w:val="center"/>
          </w:tcPr>
          <w:p w14:paraId="331663BF">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轻度危险、定期检查</w:t>
            </w:r>
          </w:p>
        </w:tc>
      </w:tr>
    </w:tbl>
    <w:p w14:paraId="55154900">
      <w:pPr>
        <w:bidi w:val="0"/>
        <w:rPr>
          <w:rFonts w:hint="default"/>
          <w:color w:val="auto"/>
          <w:lang w:val="en-US" w:eastAsia="zh-CN"/>
        </w:rPr>
      </w:pPr>
      <w:r>
        <w:rPr>
          <w:rFonts w:hint="default"/>
          <w:color w:val="auto"/>
          <w:lang w:val="en-US" w:eastAsia="zh-CN"/>
        </w:rPr>
        <w:t>可知，杨家店尾矿库可能存在：溃坝、洪水漫顶和排水构筑物堵塞、断裂、垮塌两类二级安全风险，库水位暴涨、坝坡面拉沟、滑坡、坝体垮塌等五类三级安全风险，高处坠落、坝体裂缝、渗漏、车辆伤害、淹溺等</w:t>
      </w:r>
      <w:r>
        <w:rPr>
          <w:rFonts w:hint="eastAsia"/>
          <w:color w:val="auto"/>
          <w:lang w:val="en-US" w:eastAsia="zh-CN"/>
        </w:rPr>
        <w:t>11</w:t>
      </w:r>
      <w:r>
        <w:rPr>
          <w:rFonts w:hint="default"/>
          <w:color w:val="auto"/>
          <w:lang w:val="en-US" w:eastAsia="zh-CN"/>
        </w:rPr>
        <w:t>类四级安全风险。</w:t>
      </w:r>
    </w:p>
    <w:p w14:paraId="733D0A0B">
      <w:pPr>
        <w:bidi w:val="0"/>
        <w:rPr>
          <w:rFonts w:hint="default"/>
          <w:color w:val="auto"/>
          <w:lang w:val="en-US" w:eastAsia="zh-CN"/>
        </w:rPr>
      </w:pPr>
      <w:r>
        <w:rPr>
          <w:rFonts w:hint="default"/>
          <w:color w:val="auto"/>
          <w:lang w:val="en-US" w:eastAsia="zh-CN"/>
        </w:rPr>
        <w:t>（2）经采用LEC法对杨家店尾矿库作业活动进行风险分析，存在下列风险，如</w:t>
      </w:r>
      <w:r>
        <w:rPr>
          <w:rFonts w:hint="eastAsia"/>
          <w:color w:val="auto"/>
          <w:lang w:val="en-US" w:eastAsia="zh-CN"/>
        </w:rPr>
        <w:t>下表</w:t>
      </w:r>
      <w:r>
        <w:rPr>
          <w:rFonts w:hint="default"/>
          <w:color w:val="auto"/>
          <w:lang w:val="en-US" w:eastAsia="zh-CN"/>
        </w:rPr>
        <w:t>。</w:t>
      </w:r>
    </w:p>
    <w:p w14:paraId="70F1CA4E">
      <w:pPr>
        <w:bidi w:val="0"/>
        <w:ind w:left="0" w:leftChars="0" w:firstLine="0" w:firstLineChars="0"/>
        <w:jc w:val="center"/>
        <w:rPr>
          <w:rFonts w:hint="default"/>
          <w:color w:val="auto"/>
          <w:lang w:val="en-US" w:eastAsia="zh-CN"/>
        </w:rPr>
      </w:pPr>
      <w:r>
        <w:rPr>
          <w:rFonts w:hint="eastAsia"/>
          <w:color w:val="auto"/>
          <w:lang w:val="en-US" w:eastAsia="zh-CN"/>
        </w:rPr>
        <w:t xml:space="preserve">表5.5-2 </w:t>
      </w:r>
      <w:r>
        <w:rPr>
          <w:rFonts w:hint="default"/>
          <w:color w:val="auto"/>
          <w:lang w:val="en-US" w:eastAsia="zh-CN"/>
        </w:rPr>
        <w:t>杨家店尾矿库作业活动事故类别与风险等级一览表</w:t>
      </w:r>
    </w:p>
    <w:tbl>
      <w:tblPr>
        <w:tblStyle w:val="19"/>
        <w:tblpPr w:leftFromText="180" w:rightFromText="180" w:vertAnchor="text" w:horzAnchor="margin" w:tblpX="-144" w:tblpY="313"/>
        <w:tblW w:w="93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3348"/>
        <w:gridCol w:w="1260"/>
        <w:gridCol w:w="1080"/>
        <w:gridCol w:w="2952"/>
      </w:tblGrid>
      <w:tr w14:paraId="43225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720" w:type="dxa"/>
            <w:tcBorders>
              <w:top w:val="single" w:color="auto" w:sz="4" w:space="0"/>
              <w:left w:val="single" w:color="auto" w:sz="4" w:space="0"/>
              <w:right w:val="single" w:color="auto" w:sz="4" w:space="0"/>
            </w:tcBorders>
            <w:noWrap w:val="0"/>
            <w:vAlign w:val="center"/>
          </w:tcPr>
          <w:p w14:paraId="177DB652">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序号</w:t>
            </w:r>
          </w:p>
        </w:tc>
        <w:tc>
          <w:tcPr>
            <w:tcW w:w="3348" w:type="dxa"/>
            <w:tcBorders>
              <w:top w:val="single" w:color="auto" w:sz="4" w:space="0"/>
              <w:left w:val="single" w:color="auto" w:sz="4" w:space="0"/>
              <w:right w:val="single" w:color="auto" w:sz="4" w:space="0"/>
            </w:tcBorders>
            <w:noWrap w:val="0"/>
            <w:vAlign w:val="center"/>
          </w:tcPr>
          <w:p w14:paraId="23553B38">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危险源及风险</w:t>
            </w:r>
          </w:p>
        </w:tc>
        <w:tc>
          <w:tcPr>
            <w:tcW w:w="1260" w:type="dxa"/>
            <w:tcBorders>
              <w:top w:val="single" w:color="auto" w:sz="4" w:space="0"/>
              <w:left w:val="single" w:color="auto" w:sz="4" w:space="0"/>
              <w:right w:val="single" w:color="auto" w:sz="4" w:space="0"/>
            </w:tcBorders>
            <w:noWrap w:val="0"/>
            <w:vAlign w:val="center"/>
          </w:tcPr>
          <w:p w14:paraId="7AFC3A12">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可能后果</w:t>
            </w:r>
          </w:p>
        </w:tc>
        <w:tc>
          <w:tcPr>
            <w:tcW w:w="1080" w:type="dxa"/>
            <w:tcBorders>
              <w:top w:val="single" w:color="auto" w:sz="4" w:space="0"/>
              <w:left w:val="single" w:color="auto" w:sz="4" w:space="0"/>
              <w:right w:val="single" w:color="auto" w:sz="4" w:space="0"/>
            </w:tcBorders>
            <w:noWrap w:val="0"/>
            <w:vAlign w:val="center"/>
          </w:tcPr>
          <w:p w14:paraId="70E674B7">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风险等级</w:t>
            </w:r>
          </w:p>
        </w:tc>
        <w:tc>
          <w:tcPr>
            <w:tcW w:w="2952" w:type="dxa"/>
            <w:tcBorders>
              <w:top w:val="single" w:color="auto" w:sz="4" w:space="0"/>
              <w:left w:val="single" w:color="auto" w:sz="4" w:space="0"/>
              <w:right w:val="single" w:color="auto" w:sz="4" w:space="0"/>
            </w:tcBorders>
            <w:noWrap w:val="0"/>
            <w:vAlign w:val="center"/>
          </w:tcPr>
          <w:p w14:paraId="4BEE7D0E">
            <w:pPr>
              <w:spacing w:line="300" w:lineRule="exact"/>
              <w:ind w:firstLine="0" w:firstLineChars="0"/>
              <w:jc w:val="center"/>
              <w:rPr>
                <w:rFonts w:hint="default"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处置方案</w:t>
            </w:r>
          </w:p>
        </w:tc>
      </w:tr>
      <w:tr w14:paraId="7BB23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720" w:type="dxa"/>
            <w:tcBorders>
              <w:left w:val="single" w:color="auto" w:sz="4" w:space="0"/>
              <w:bottom w:val="single" w:color="auto" w:sz="4" w:space="0"/>
              <w:right w:val="single" w:color="auto" w:sz="4" w:space="0"/>
            </w:tcBorders>
            <w:shd w:val="clear" w:color="auto" w:fill="auto"/>
            <w:noWrap w:val="0"/>
            <w:vAlign w:val="center"/>
          </w:tcPr>
          <w:p w14:paraId="625FD9C9">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1</w:t>
            </w:r>
          </w:p>
        </w:tc>
        <w:tc>
          <w:tcPr>
            <w:tcW w:w="3348" w:type="dxa"/>
            <w:tcBorders>
              <w:left w:val="single" w:color="auto" w:sz="4" w:space="0"/>
              <w:bottom w:val="single" w:color="auto" w:sz="4" w:space="0"/>
              <w:right w:val="single" w:color="auto" w:sz="4" w:space="0"/>
            </w:tcBorders>
            <w:shd w:val="clear" w:color="auto" w:fill="auto"/>
            <w:noWrap w:val="0"/>
            <w:vAlign w:val="center"/>
          </w:tcPr>
          <w:p w14:paraId="3C499BD6">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雷击</w:t>
            </w:r>
          </w:p>
        </w:tc>
        <w:tc>
          <w:tcPr>
            <w:tcW w:w="1260" w:type="dxa"/>
            <w:tcBorders>
              <w:left w:val="single" w:color="auto" w:sz="4" w:space="0"/>
              <w:bottom w:val="single" w:color="auto" w:sz="4" w:space="0"/>
              <w:right w:val="single" w:color="auto" w:sz="4" w:space="0"/>
            </w:tcBorders>
            <w:shd w:val="clear" w:color="auto" w:fill="auto"/>
            <w:noWrap w:val="0"/>
            <w:vAlign w:val="center"/>
          </w:tcPr>
          <w:p w14:paraId="36C09512">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人员伤亡</w:t>
            </w:r>
          </w:p>
        </w:tc>
        <w:tc>
          <w:tcPr>
            <w:tcW w:w="1080" w:type="dxa"/>
            <w:tcBorders>
              <w:left w:val="single" w:color="auto" w:sz="4" w:space="0"/>
              <w:bottom w:val="single" w:color="auto" w:sz="4" w:space="0"/>
              <w:right w:val="single" w:color="auto" w:sz="4" w:space="0"/>
            </w:tcBorders>
            <w:shd w:val="clear" w:color="auto" w:fill="FFFF00"/>
            <w:noWrap w:val="0"/>
            <w:vAlign w:val="center"/>
          </w:tcPr>
          <w:p w14:paraId="26CFFFB6">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三级</w:t>
            </w:r>
          </w:p>
        </w:tc>
        <w:tc>
          <w:tcPr>
            <w:tcW w:w="2952" w:type="dxa"/>
            <w:tcBorders>
              <w:left w:val="single" w:color="auto" w:sz="4" w:space="0"/>
              <w:bottom w:val="single" w:color="auto" w:sz="4" w:space="0"/>
              <w:right w:val="single" w:color="auto" w:sz="4" w:space="0"/>
            </w:tcBorders>
            <w:noWrap w:val="0"/>
            <w:vAlign w:val="top"/>
          </w:tcPr>
          <w:p w14:paraId="1DEC9A8B">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一般危险，需要制定操作规程、加强培训与沟通</w:t>
            </w:r>
          </w:p>
        </w:tc>
      </w:tr>
      <w:tr w14:paraId="0BE20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720" w:type="dxa"/>
            <w:tcBorders>
              <w:left w:val="single" w:color="auto" w:sz="4" w:space="0"/>
              <w:bottom w:val="single" w:color="auto" w:sz="4" w:space="0"/>
              <w:right w:val="single" w:color="auto" w:sz="4" w:space="0"/>
            </w:tcBorders>
            <w:shd w:val="clear" w:color="auto" w:fill="auto"/>
            <w:noWrap w:val="0"/>
            <w:vAlign w:val="center"/>
          </w:tcPr>
          <w:p w14:paraId="40D3FCAC">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2</w:t>
            </w:r>
          </w:p>
        </w:tc>
        <w:tc>
          <w:tcPr>
            <w:tcW w:w="3348" w:type="dxa"/>
            <w:tcBorders>
              <w:left w:val="single" w:color="auto" w:sz="4" w:space="0"/>
              <w:bottom w:val="single" w:color="auto" w:sz="4" w:space="0"/>
              <w:right w:val="single" w:color="auto" w:sz="4" w:space="0"/>
            </w:tcBorders>
            <w:shd w:val="clear" w:color="auto" w:fill="auto"/>
            <w:noWrap w:val="0"/>
            <w:vAlign w:val="center"/>
          </w:tcPr>
          <w:p w14:paraId="28B1CE8C">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车辆伤害</w:t>
            </w:r>
          </w:p>
        </w:tc>
        <w:tc>
          <w:tcPr>
            <w:tcW w:w="1260" w:type="dxa"/>
            <w:tcBorders>
              <w:left w:val="single" w:color="auto" w:sz="4" w:space="0"/>
              <w:bottom w:val="single" w:color="auto" w:sz="4" w:space="0"/>
              <w:right w:val="single" w:color="auto" w:sz="4" w:space="0"/>
            </w:tcBorders>
            <w:shd w:val="clear" w:color="auto" w:fill="auto"/>
            <w:noWrap w:val="0"/>
            <w:vAlign w:val="center"/>
          </w:tcPr>
          <w:p w14:paraId="3455C9D7">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人员伤亡</w:t>
            </w:r>
          </w:p>
        </w:tc>
        <w:tc>
          <w:tcPr>
            <w:tcW w:w="1080" w:type="dxa"/>
            <w:tcBorders>
              <w:left w:val="single" w:color="auto" w:sz="4" w:space="0"/>
              <w:bottom w:val="single" w:color="auto" w:sz="4" w:space="0"/>
              <w:right w:val="single" w:color="auto" w:sz="4" w:space="0"/>
            </w:tcBorders>
            <w:shd w:val="clear" w:color="auto" w:fill="0000FF"/>
            <w:noWrap w:val="0"/>
            <w:vAlign w:val="center"/>
          </w:tcPr>
          <w:p w14:paraId="35482A62">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四级</w:t>
            </w:r>
          </w:p>
        </w:tc>
        <w:tc>
          <w:tcPr>
            <w:tcW w:w="2952" w:type="dxa"/>
            <w:tcBorders>
              <w:left w:val="single" w:color="auto" w:sz="4" w:space="0"/>
              <w:bottom w:val="single" w:color="auto" w:sz="4" w:space="0"/>
              <w:right w:val="single" w:color="auto" w:sz="4" w:space="0"/>
            </w:tcBorders>
            <w:noWrap w:val="0"/>
            <w:vAlign w:val="top"/>
          </w:tcPr>
          <w:p w14:paraId="65806F32">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轻度危险、定期检查</w:t>
            </w:r>
          </w:p>
        </w:tc>
      </w:tr>
      <w:tr w14:paraId="0B07A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7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F65B16F">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3</w:t>
            </w:r>
          </w:p>
        </w:tc>
        <w:tc>
          <w:tcPr>
            <w:tcW w:w="33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E4EB300">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无尾矿工资格证书</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3D208D7">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违规操作</w:t>
            </w:r>
          </w:p>
        </w:tc>
        <w:tc>
          <w:tcPr>
            <w:tcW w:w="108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52C3CC9F">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四级</w:t>
            </w:r>
          </w:p>
        </w:tc>
        <w:tc>
          <w:tcPr>
            <w:tcW w:w="2952" w:type="dxa"/>
            <w:tcBorders>
              <w:top w:val="single" w:color="auto" w:sz="4" w:space="0"/>
              <w:left w:val="single" w:color="auto" w:sz="4" w:space="0"/>
              <w:bottom w:val="single" w:color="auto" w:sz="4" w:space="0"/>
              <w:right w:val="single" w:color="auto" w:sz="4" w:space="0"/>
            </w:tcBorders>
            <w:noWrap w:val="0"/>
            <w:vAlign w:val="top"/>
          </w:tcPr>
          <w:p w14:paraId="5D48F822">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轻度危险、定期检查</w:t>
            </w:r>
          </w:p>
        </w:tc>
      </w:tr>
      <w:tr w14:paraId="3DFDA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7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B158279">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4</w:t>
            </w:r>
          </w:p>
        </w:tc>
        <w:tc>
          <w:tcPr>
            <w:tcW w:w="33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49C1E2C">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未经相关安全培训</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C959919">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违规操作</w:t>
            </w:r>
          </w:p>
        </w:tc>
        <w:tc>
          <w:tcPr>
            <w:tcW w:w="108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4A81307C">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四级</w:t>
            </w:r>
          </w:p>
        </w:tc>
        <w:tc>
          <w:tcPr>
            <w:tcW w:w="2952" w:type="dxa"/>
            <w:tcBorders>
              <w:top w:val="single" w:color="auto" w:sz="4" w:space="0"/>
              <w:left w:val="single" w:color="auto" w:sz="4" w:space="0"/>
              <w:bottom w:val="single" w:color="auto" w:sz="4" w:space="0"/>
              <w:right w:val="single" w:color="auto" w:sz="4" w:space="0"/>
            </w:tcBorders>
            <w:noWrap w:val="0"/>
            <w:vAlign w:val="top"/>
          </w:tcPr>
          <w:p w14:paraId="42DB4D52">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轻度危险、定期检查</w:t>
            </w:r>
          </w:p>
        </w:tc>
      </w:tr>
      <w:tr w14:paraId="7AA19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7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DBB6EEE">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5</w:t>
            </w:r>
          </w:p>
        </w:tc>
        <w:tc>
          <w:tcPr>
            <w:tcW w:w="33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6C29CED">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劳动防护用品穿戴不齐</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D5307DB">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人身伤害</w:t>
            </w:r>
          </w:p>
        </w:tc>
        <w:tc>
          <w:tcPr>
            <w:tcW w:w="108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7CA52001">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四级</w:t>
            </w:r>
          </w:p>
        </w:tc>
        <w:tc>
          <w:tcPr>
            <w:tcW w:w="2952" w:type="dxa"/>
            <w:tcBorders>
              <w:top w:val="single" w:color="auto" w:sz="4" w:space="0"/>
              <w:left w:val="single" w:color="auto" w:sz="4" w:space="0"/>
              <w:bottom w:val="single" w:color="auto" w:sz="4" w:space="0"/>
              <w:right w:val="single" w:color="auto" w:sz="4" w:space="0"/>
            </w:tcBorders>
            <w:noWrap w:val="0"/>
            <w:vAlign w:val="top"/>
          </w:tcPr>
          <w:p w14:paraId="08BA3065">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轻度危险、定期检查</w:t>
            </w:r>
          </w:p>
        </w:tc>
      </w:tr>
      <w:tr w14:paraId="67696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7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6208EB7">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6</w:t>
            </w:r>
          </w:p>
        </w:tc>
        <w:tc>
          <w:tcPr>
            <w:tcW w:w="33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910EC82">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高处坠落</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D1873FB">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人员伤亡</w:t>
            </w:r>
          </w:p>
        </w:tc>
        <w:tc>
          <w:tcPr>
            <w:tcW w:w="108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30E6E024">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四级</w:t>
            </w:r>
          </w:p>
        </w:tc>
        <w:tc>
          <w:tcPr>
            <w:tcW w:w="2952" w:type="dxa"/>
            <w:tcBorders>
              <w:top w:val="single" w:color="auto" w:sz="4" w:space="0"/>
              <w:left w:val="single" w:color="auto" w:sz="4" w:space="0"/>
              <w:bottom w:val="single" w:color="auto" w:sz="4" w:space="0"/>
              <w:right w:val="single" w:color="auto" w:sz="4" w:space="0"/>
            </w:tcBorders>
            <w:noWrap w:val="0"/>
            <w:vAlign w:val="top"/>
          </w:tcPr>
          <w:p w14:paraId="0FC04A98">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轻度危险、定期检查</w:t>
            </w:r>
          </w:p>
        </w:tc>
      </w:tr>
      <w:tr w14:paraId="3EB40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7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D133012">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7</w:t>
            </w:r>
          </w:p>
        </w:tc>
        <w:tc>
          <w:tcPr>
            <w:tcW w:w="33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5FD85D9">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运送管路或水泥或砖头砸伤、压伤</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BB6A102">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人员伤害</w:t>
            </w:r>
          </w:p>
        </w:tc>
        <w:tc>
          <w:tcPr>
            <w:tcW w:w="108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5DAF8B00">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四级</w:t>
            </w:r>
          </w:p>
        </w:tc>
        <w:tc>
          <w:tcPr>
            <w:tcW w:w="2952" w:type="dxa"/>
            <w:tcBorders>
              <w:top w:val="single" w:color="auto" w:sz="4" w:space="0"/>
              <w:left w:val="single" w:color="auto" w:sz="4" w:space="0"/>
              <w:bottom w:val="single" w:color="auto" w:sz="4" w:space="0"/>
              <w:right w:val="single" w:color="auto" w:sz="4" w:space="0"/>
            </w:tcBorders>
            <w:noWrap w:val="0"/>
            <w:vAlign w:val="top"/>
          </w:tcPr>
          <w:p w14:paraId="7AD5EFB7">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轻度危险、定期检查</w:t>
            </w:r>
          </w:p>
        </w:tc>
      </w:tr>
      <w:tr w14:paraId="5A43B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7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3BD4DFD">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8</w:t>
            </w:r>
          </w:p>
        </w:tc>
        <w:tc>
          <w:tcPr>
            <w:tcW w:w="33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C01AA6">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安装、移动放矿管挤、压、撞伤</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C772A1">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人员伤害</w:t>
            </w:r>
          </w:p>
        </w:tc>
        <w:tc>
          <w:tcPr>
            <w:tcW w:w="108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65C75338">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四级</w:t>
            </w:r>
          </w:p>
        </w:tc>
        <w:tc>
          <w:tcPr>
            <w:tcW w:w="2952" w:type="dxa"/>
            <w:tcBorders>
              <w:top w:val="single" w:color="auto" w:sz="4" w:space="0"/>
              <w:left w:val="single" w:color="auto" w:sz="4" w:space="0"/>
              <w:bottom w:val="single" w:color="auto" w:sz="4" w:space="0"/>
              <w:right w:val="single" w:color="auto" w:sz="4" w:space="0"/>
            </w:tcBorders>
            <w:noWrap w:val="0"/>
            <w:vAlign w:val="top"/>
          </w:tcPr>
          <w:p w14:paraId="736864B0">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轻度危险、定期检查</w:t>
            </w:r>
          </w:p>
        </w:tc>
      </w:tr>
      <w:tr w14:paraId="1CCB2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7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813C4B6">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9</w:t>
            </w:r>
          </w:p>
        </w:tc>
        <w:tc>
          <w:tcPr>
            <w:tcW w:w="33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5E6087F">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粉尘</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CE1E32A">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矽肺</w:t>
            </w:r>
          </w:p>
        </w:tc>
        <w:tc>
          <w:tcPr>
            <w:tcW w:w="108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33C11B09">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四级</w:t>
            </w:r>
          </w:p>
        </w:tc>
        <w:tc>
          <w:tcPr>
            <w:tcW w:w="2952" w:type="dxa"/>
            <w:tcBorders>
              <w:top w:val="single" w:color="auto" w:sz="4" w:space="0"/>
              <w:left w:val="single" w:color="auto" w:sz="4" w:space="0"/>
              <w:bottom w:val="single" w:color="auto" w:sz="4" w:space="0"/>
              <w:right w:val="single" w:color="auto" w:sz="4" w:space="0"/>
            </w:tcBorders>
            <w:noWrap w:val="0"/>
            <w:vAlign w:val="top"/>
          </w:tcPr>
          <w:p w14:paraId="0A18B382">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轻度危险、定期检查</w:t>
            </w:r>
          </w:p>
        </w:tc>
      </w:tr>
      <w:tr w14:paraId="1BDE2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7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8A56D0F">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10</w:t>
            </w:r>
          </w:p>
        </w:tc>
        <w:tc>
          <w:tcPr>
            <w:tcW w:w="33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3BBF71A">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拱板装卸/添加/拆除砸伤、压伤</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13475D6">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人员伤害</w:t>
            </w:r>
          </w:p>
        </w:tc>
        <w:tc>
          <w:tcPr>
            <w:tcW w:w="108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689FED69">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四级</w:t>
            </w:r>
          </w:p>
        </w:tc>
        <w:tc>
          <w:tcPr>
            <w:tcW w:w="2952" w:type="dxa"/>
            <w:tcBorders>
              <w:top w:val="single" w:color="auto" w:sz="4" w:space="0"/>
              <w:left w:val="single" w:color="auto" w:sz="4" w:space="0"/>
              <w:bottom w:val="single" w:color="auto" w:sz="4" w:space="0"/>
              <w:right w:val="single" w:color="auto" w:sz="4" w:space="0"/>
            </w:tcBorders>
            <w:noWrap w:val="0"/>
            <w:vAlign w:val="top"/>
          </w:tcPr>
          <w:p w14:paraId="25CBE31E">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轻度危险、定期检查</w:t>
            </w:r>
          </w:p>
        </w:tc>
      </w:tr>
      <w:tr w14:paraId="5AD6A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7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BEEA54">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11</w:t>
            </w:r>
          </w:p>
        </w:tc>
        <w:tc>
          <w:tcPr>
            <w:tcW w:w="33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15ED43F">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意外坠入积水区</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3D8970">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淹溺</w:t>
            </w:r>
          </w:p>
        </w:tc>
        <w:tc>
          <w:tcPr>
            <w:tcW w:w="108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36318564">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四级</w:t>
            </w:r>
          </w:p>
        </w:tc>
        <w:tc>
          <w:tcPr>
            <w:tcW w:w="2952" w:type="dxa"/>
            <w:tcBorders>
              <w:top w:val="single" w:color="auto" w:sz="4" w:space="0"/>
              <w:left w:val="single" w:color="auto" w:sz="4" w:space="0"/>
              <w:bottom w:val="single" w:color="auto" w:sz="4" w:space="0"/>
              <w:right w:val="single" w:color="auto" w:sz="4" w:space="0"/>
            </w:tcBorders>
            <w:noWrap w:val="0"/>
            <w:vAlign w:val="top"/>
          </w:tcPr>
          <w:p w14:paraId="27594AEC">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轻度危险、定期检查</w:t>
            </w:r>
          </w:p>
        </w:tc>
      </w:tr>
      <w:tr w14:paraId="799CF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7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27852A8">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12</w:t>
            </w:r>
          </w:p>
        </w:tc>
        <w:tc>
          <w:tcPr>
            <w:tcW w:w="33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708746">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架设管路支架倒塌伤人</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A429EA2">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人员伤害</w:t>
            </w:r>
          </w:p>
        </w:tc>
        <w:tc>
          <w:tcPr>
            <w:tcW w:w="108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5CD38043">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五级</w:t>
            </w:r>
          </w:p>
        </w:tc>
        <w:tc>
          <w:tcPr>
            <w:tcW w:w="2952" w:type="dxa"/>
            <w:tcBorders>
              <w:top w:val="single" w:color="auto" w:sz="4" w:space="0"/>
              <w:left w:val="single" w:color="auto" w:sz="4" w:space="0"/>
              <w:bottom w:val="single" w:color="auto" w:sz="4" w:space="0"/>
              <w:right w:val="single" w:color="auto" w:sz="4" w:space="0"/>
            </w:tcBorders>
            <w:noWrap w:val="0"/>
            <w:vAlign w:val="top"/>
          </w:tcPr>
          <w:p w14:paraId="2C621BE2">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可忽略危险、保存记录</w:t>
            </w:r>
          </w:p>
        </w:tc>
      </w:tr>
      <w:tr w14:paraId="5D491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7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4292EC3">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13</w:t>
            </w:r>
          </w:p>
        </w:tc>
        <w:tc>
          <w:tcPr>
            <w:tcW w:w="33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1CA6DB1">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夜间作业无照明，摔伤</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2D65DE6">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人员伤害</w:t>
            </w:r>
          </w:p>
        </w:tc>
        <w:tc>
          <w:tcPr>
            <w:tcW w:w="108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4AD2E1E7">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五级</w:t>
            </w:r>
          </w:p>
        </w:tc>
        <w:tc>
          <w:tcPr>
            <w:tcW w:w="2952" w:type="dxa"/>
            <w:tcBorders>
              <w:top w:val="single" w:color="auto" w:sz="4" w:space="0"/>
              <w:left w:val="single" w:color="auto" w:sz="4" w:space="0"/>
              <w:bottom w:val="single" w:color="auto" w:sz="4" w:space="0"/>
              <w:right w:val="single" w:color="auto" w:sz="4" w:space="0"/>
            </w:tcBorders>
            <w:noWrap w:val="0"/>
            <w:vAlign w:val="top"/>
          </w:tcPr>
          <w:p w14:paraId="60FDE65F">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可忽略危险、保存记录</w:t>
            </w:r>
          </w:p>
        </w:tc>
      </w:tr>
      <w:tr w14:paraId="0DC404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7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397771F">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14</w:t>
            </w:r>
          </w:p>
        </w:tc>
        <w:tc>
          <w:tcPr>
            <w:tcW w:w="33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0CB1202">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架设管路支架倒塌伤人</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6EA99DC">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人员伤害</w:t>
            </w:r>
          </w:p>
        </w:tc>
        <w:tc>
          <w:tcPr>
            <w:tcW w:w="108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3680AAEC">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五级</w:t>
            </w:r>
          </w:p>
        </w:tc>
        <w:tc>
          <w:tcPr>
            <w:tcW w:w="2952" w:type="dxa"/>
            <w:tcBorders>
              <w:top w:val="single" w:color="auto" w:sz="4" w:space="0"/>
              <w:left w:val="single" w:color="auto" w:sz="4" w:space="0"/>
              <w:bottom w:val="single" w:color="auto" w:sz="4" w:space="0"/>
              <w:right w:val="single" w:color="auto" w:sz="4" w:space="0"/>
            </w:tcBorders>
            <w:noWrap w:val="0"/>
            <w:vAlign w:val="top"/>
          </w:tcPr>
          <w:p w14:paraId="4D337B48">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可忽略危险、保存记录</w:t>
            </w:r>
          </w:p>
        </w:tc>
      </w:tr>
      <w:tr w14:paraId="4ACDB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7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B9C767F">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15</w:t>
            </w:r>
          </w:p>
        </w:tc>
        <w:tc>
          <w:tcPr>
            <w:tcW w:w="33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62FC309">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雨雪天气滑倒、跌伤</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88BDC7C">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人员伤亡</w:t>
            </w:r>
          </w:p>
        </w:tc>
        <w:tc>
          <w:tcPr>
            <w:tcW w:w="108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35C1DA90">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五级</w:t>
            </w:r>
          </w:p>
        </w:tc>
        <w:tc>
          <w:tcPr>
            <w:tcW w:w="2952" w:type="dxa"/>
            <w:tcBorders>
              <w:top w:val="single" w:color="auto" w:sz="4" w:space="0"/>
              <w:left w:val="single" w:color="auto" w:sz="4" w:space="0"/>
              <w:bottom w:val="single" w:color="auto" w:sz="4" w:space="0"/>
              <w:right w:val="single" w:color="auto" w:sz="4" w:space="0"/>
            </w:tcBorders>
            <w:noWrap w:val="0"/>
            <w:vAlign w:val="top"/>
          </w:tcPr>
          <w:p w14:paraId="3DD32981">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可忽略危险、保存记录</w:t>
            </w:r>
          </w:p>
        </w:tc>
      </w:tr>
      <w:tr w14:paraId="4A456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7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CBC3B3">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16</w:t>
            </w:r>
          </w:p>
        </w:tc>
        <w:tc>
          <w:tcPr>
            <w:tcW w:w="33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8E345FC">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高空架设/维修管路</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7C33860">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人员伤害</w:t>
            </w:r>
          </w:p>
        </w:tc>
        <w:tc>
          <w:tcPr>
            <w:tcW w:w="108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2D7F1F25">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五级</w:t>
            </w:r>
          </w:p>
        </w:tc>
        <w:tc>
          <w:tcPr>
            <w:tcW w:w="2952" w:type="dxa"/>
            <w:tcBorders>
              <w:top w:val="single" w:color="auto" w:sz="4" w:space="0"/>
              <w:left w:val="single" w:color="auto" w:sz="4" w:space="0"/>
              <w:bottom w:val="single" w:color="auto" w:sz="4" w:space="0"/>
              <w:right w:val="single" w:color="auto" w:sz="4" w:space="0"/>
            </w:tcBorders>
            <w:noWrap w:val="0"/>
            <w:vAlign w:val="top"/>
          </w:tcPr>
          <w:p w14:paraId="2F693A9B">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可忽略危险、保存记录</w:t>
            </w:r>
          </w:p>
        </w:tc>
      </w:tr>
      <w:tr w14:paraId="4DE55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7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1FABCA3">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17</w:t>
            </w:r>
          </w:p>
        </w:tc>
        <w:tc>
          <w:tcPr>
            <w:tcW w:w="33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6A469EA">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埋设排渗管伤手</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526124">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人员伤害</w:t>
            </w:r>
          </w:p>
        </w:tc>
        <w:tc>
          <w:tcPr>
            <w:tcW w:w="108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36DFE338">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五级</w:t>
            </w:r>
          </w:p>
        </w:tc>
        <w:tc>
          <w:tcPr>
            <w:tcW w:w="2952" w:type="dxa"/>
            <w:tcBorders>
              <w:top w:val="single" w:color="auto" w:sz="4" w:space="0"/>
              <w:left w:val="single" w:color="auto" w:sz="4" w:space="0"/>
              <w:bottom w:val="single" w:color="auto" w:sz="4" w:space="0"/>
              <w:right w:val="single" w:color="auto" w:sz="4" w:space="0"/>
            </w:tcBorders>
            <w:noWrap w:val="0"/>
            <w:vAlign w:val="top"/>
          </w:tcPr>
          <w:p w14:paraId="4192451D">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可忽略危险、保存记录</w:t>
            </w:r>
          </w:p>
        </w:tc>
      </w:tr>
      <w:tr w14:paraId="4B9C5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7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36383F0">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18</w:t>
            </w:r>
          </w:p>
        </w:tc>
        <w:tc>
          <w:tcPr>
            <w:tcW w:w="33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54788DE">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电动/手动工具使用</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84AAAAB">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人员伤害</w:t>
            </w:r>
          </w:p>
        </w:tc>
        <w:tc>
          <w:tcPr>
            <w:tcW w:w="108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3398252C">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五级</w:t>
            </w:r>
          </w:p>
        </w:tc>
        <w:tc>
          <w:tcPr>
            <w:tcW w:w="2952" w:type="dxa"/>
            <w:tcBorders>
              <w:top w:val="single" w:color="auto" w:sz="4" w:space="0"/>
              <w:left w:val="single" w:color="auto" w:sz="4" w:space="0"/>
              <w:bottom w:val="single" w:color="auto" w:sz="4" w:space="0"/>
              <w:right w:val="single" w:color="auto" w:sz="4" w:space="0"/>
            </w:tcBorders>
            <w:noWrap w:val="0"/>
            <w:vAlign w:val="top"/>
          </w:tcPr>
          <w:p w14:paraId="2288F317">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可忽略危险、保存记录</w:t>
            </w:r>
          </w:p>
        </w:tc>
      </w:tr>
      <w:tr w14:paraId="63D2A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7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98F6BF7">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19</w:t>
            </w:r>
          </w:p>
        </w:tc>
        <w:tc>
          <w:tcPr>
            <w:tcW w:w="33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C12F5ED">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人员交叉作业</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3C805D6">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人员伤亡</w:t>
            </w:r>
          </w:p>
        </w:tc>
        <w:tc>
          <w:tcPr>
            <w:tcW w:w="108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5D77E5F6">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五级</w:t>
            </w:r>
          </w:p>
        </w:tc>
        <w:tc>
          <w:tcPr>
            <w:tcW w:w="2952" w:type="dxa"/>
            <w:tcBorders>
              <w:top w:val="single" w:color="auto" w:sz="4" w:space="0"/>
              <w:left w:val="single" w:color="auto" w:sz="4" w:space="0"/>
              <w:bottom w:val="single" w:color="auto" w:sz="4" w:space="0"/>
              <w:right w:val="single" w:color="auto" w:sz="4" w:space="0"/>
            </w:tcBorders>
            <w:noWrap w:val="0"/>
            <w:vAlign w:val="top"/>
          </w:tcPr>
          <w:p w14:paraId="7A961B6E">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可忽略危险、保存记录</w:t>
            </w:r>
          </w:p>
        </w:tc>
      </w:tr>
      <w:tr w14:paraId="09885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7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801E5BE">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20</w:t>
            </w:r>
          </w:p>
        </w:tc>
        <w:tc>
          <w:tcPr>
            <w:tcW w:w="33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AA81F4C">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挖掘机筑坝沉陷或伤人</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4BCBBFB">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人员伤亡</w:t>
            </w:r>
          </w:p>
        </w:tc>
        <w:tc>
          <w:tcPr>
            <w:tcW w:w="108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6ED62651">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五级</w:t>
            </w:r>
          </w:p>
        </w:tc>
        <w:tc>
          <w:tcPr>
            <w:tcW w:w="2952" w:type="dxa"/>
            <w:tcBorders>
              <w:top w:val="single" w:color="auto" w:sz="4" w:space="0"/>
              <w:left w:val="single" w:color="auto" w:sz="4" w:space="0"/>
              <w:bottom w:val="single" w:color="auto" w:sz="4" w:space="0"/>
              <w:right w:val="single" w:color="auto" w:sz="4" w:space="0"/>
            </w:tcBorders>
            <w:noWrap w:val="0"/>
            <w:vAlign w:val="top"/>
          </w:tcPr>
          <w:p w14:paraId="5B83B6B8">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可忽略危险、保存记录</w:t>
            </w:r>
          </w:p>
        </w:tc>
      </w:tr>
    </w:tbl>
    <w:p w14:paraId="1530CD9D">
      <w:pPr>
        <w:bidi w:val="0"/>
        <w:rPr>
          <w:rFonts w:hint="default"/>
          <w:color w:val="auto"/>
          <w:lang w:val="en-US" w:eastAsia="zh-CN"/>
        </w:rPr>
      </w:pPr>
      <w:r>
        <w:rPr>
          <w:rFonts w:hint="default"/>
          <w:color w:val="auto"/>
          <w:lang w:val="en-US" w:eastAsia="zh-CN"/>
        </w:rPr>
        <w:t>可知，杨家店尾矿库作业活动过程中，可能存在：雷击</w:t>
      </w:r>
      <w:r>
        <w:rPr>
          <w:rFonts w:hint="eastAsia"/>
          <w:color w:val="auto"/>
          <w:lang w:val="en-US" w:eastAsia="zh-CN"/>
        </w:rPr>
        <w:t>1</w:t>
      </w:r>
      <w:r>
        <w:rPr>
          <w:rFonts w:hint="default"/>
          <w:color w:val="auto"/>
          <w:lang w:val="en-US" w:eastAsia="zh-CN"/>
        </w:rPr>
        <w:t>类三级安全风险，车辆伤害、高处坠落、触电、淹溺等</w:t>
      </w:r>
      <w:r>
        <w:rPr>
          <w:rFonts w:hint="eastAsia"/>
          <w:color w:val="auto"/>
          <w:lang w:val="en-US" w:eastAsia="zh-CN"/>
        </w:rPr>
        <w:t>11</w:t>
      </w:r>
      <w:r>
        <w:rPr>
          <w:rFonts w:hint="default"/>
          <w:color w:val="auto"/>
          <w:lang w:val="en-US" w:eastAsia="zh-CN"/>
        </w:rPr>
        <w:t>类四级安全风险，摔伤等</w:t>
      </w:r>
      <w:r>
        <w:rPr>
          <w:rFonts w:hint="eastAsia"/>
          <w:color w:val="auto"/>
          <w:lang w:val="en-US" w:eastAsia="zh-CN"/>
        </w:rPr>
        <w:t>9</w:t>
      </w:r>
      <w:r>
        <w:rPr>
          <w:rFonts w:hint="default"/>
          <w:color w:val="auto"/>
          <w:lang w:val="en-US" w:eastAsia="zh-CN"/>
        </w:rPr>
        <w:t>类五级安全风险。</w:t>
      </w:r>
    </w:p>
    <w:p w14:paraId="2A0AAF33">
      <w:pPr>
        <w:bidi w:val="0"/>
        <w:rPr>
          <w:rFonts w:hint="default"/>
          <w:color w:val="auto"/>
          <w:lang w:val="en-US" w:eastAsia="zh-CN"/>
        </w:rPr>
      </w:pPr>
      <w:r>
        <w:rPr>
          <w:rFonts w:hint="default"/>
          <w:color w:val="auto"/>
          <w:lang w:val="en-US" w:eastAsia="zh-CN"/>
        </w:rPr>
        <w:t>（3）采用LS法风险分析，杨家店尾矿库安全设施可能存在的事故类别及其风险等级详见下表。</w:t>
      </w:r>
    </w:p>
    <w:p w14:paraId="78627EE3">
      <w:pPr>
        <w:bidi w:val="0"/>
        <w:ind w:left="0" w:leftChars="0" w:firstLine="0" w:firstLineChars="0"/>
        <w:jc w:val="center"/>
        <w:rPr>
          <w:rFonts w:hint="default"/>
          <w:color w:val="auto"/>
          <w:lang w:val="en-US" w:eastAsia="zh-CN"/>
        </w:rPr>
      </w:pPr>
      <w:r>
        <w:rPr>
          <w:rFonts w:hint="eastAsia"/>
          <w:color w:val="auto"/>
          <w:lang w:val="en-US" w:eastAsia="zh-CN"/>
        </w:rPr>
        <w:t xml:space="preserve">表5.5-3 </w:t>
      </w:r>
      <w:r>
        <w:rPr>
          <w:rFonts w:hint="default"/>
          <w:color w:val="auto"/>
          <w:lang w:val="en-US" w:eastAsia="zh-CN"/>
        </w:rPr>
        <w:t>LS法杨家店尾矿库安全设施事故类别与风险等级一览表</w:t>
      </w:r>
    </w:p>
    <w:tbl>
      <w:tblPr>
        <w:tblStyle w:val="19"/>
        <w:tblpPr w:leftFromText="180" w:rightFromText="180" w:vertAnchor="text" w:horzAnchor="margin" w:tblpX="-72" w:tblpY="313"/>
        <w:tblW w:w="96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2340"/>
        <w:gridCol w:w="1980"/>
        <w:gridCol w:w="1080"/>
        <w:gridCol w:w="900"/>
        <w:gridCol w:w="1260"/>
        <w:gridCol w:w="1440"/>
      </w:tblGrid>
      <w:tr w14:paraId="44A20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648" w:type="dxa"/>
            <w:tcBorders>
              <w:top w:val="single" w:color="auto" w:sz="4" w:space="0"/>
              <w:left w:val="single" w:color="auto" w:sz="4" w:space="0"/>
              <w:right w:val="single" w:color="auto" w:sz="4" w:space="0"/>
            </w:tcBorders>
            <w:noWrap w:val="0"/>
            <w:vAlign w:val="center"/>
          </w:tcPr>
          <w:p w14:paraId="5AA89063">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序号</w:t>
            </w:r>
          </w:p>
        </w:tc>
        <w:tc>
          <w:tcPr>
            <w:tcW w:w="2340" w:type="dxa"/>
            <w:tcBorders>
              <w:top w:val="single" w:color="auto" w:sz="4" w:space="0"/>
              <w:left w:val="single" w:color="auto" w:sz="4" w:space="0"/>
              <w:right w:val="single" w:color="auto" w:sz="4" w:space="0"/>
            </w:tcBorders>
            <w:noWrap w:val="0"/>
            <w:vAlign w:val="center"/>
          </w:tcPr>
          <w:p w14:paraId="1422AF0C">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危险源及风险</w:t>
            </w:r>
          </w:p>
        </w:tc>
        <w:tc>
          <w:tcPr>
            <w:tcW w:w="1980" w:type="dxa"/>
            <w:tcBorders>
              <w:top w:val="single" w:color="auto" w:sz="4" w:space="0"/>
              <w:left w:val="single" w:color="auto" w:sz="4" w:space="0"/>
              <w:right w:val="single" w:color="auto" w:sz="4" w:space="0"/>
            </w:tcBorders>
            <w:noWrap w:val="0"/>
            <w:vAlign w:val="center"/>
          </w:tcPr>
          <w:p w14:paraId="19C63E41">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可能后果</w:t>
            </w:r>
          </w:p>
        </w:tc>
        <w:tc>
          <w:tcPr>
            <w:tcW w:w="1080" w:type="dxa"/>
            <w:tcBorders>
              <w:top w:val="single" w:color="auto" w:sz="4" w:space="0"/>
              <w:left w:val="single" w:color="auto" w:sz="4" w:space="0"/>
              <w:right w:val="single" w:color="auto" w:sz="4" w:space="0"/>
            </w:tcBorders>
            <w:noWrap w:val="0"/>
            <w:vAlign w:val="center"/>
          </w:tcPr>
          <w:p w14:paraId="270941FE">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可能性</w:t>
            </w:r>
          </w:p>
        </w:tc>
        <w:tc>
          <w:tcPr>
            <w:tcW w:w="900" w:type="dxa"/>
            <w:tcBorders>
              <w:top w:val="single" w:color="auto" w:sz="4" w:space="0"/>
              <w:left w:val="single" w:color="auto" w:sz="4" w:space="0"/>
              <w:right w:val="single" w:color="auto" w:sz="4" w:space="0"/>
            </w:tcBorders>
            <w:noWrap w:val="0"/>
            <w:vAlign w:val="center"/>
          </w:tcPr>
          <w:p w14:paraId="279B0594">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严重性</w:t>
            </w:r>
          </w:p>
        </w:tc>
        <w:tc>
          <w:tcPr>
            <w:tcW w:w="1260" w:type="dxa"/>
            <w:tcBorders>
              <w:top w:val="single" w:color="auto" w:sz="4" w:space="0"/>
              <w:left w:val="single" w:color="auto" w:sz="4" w:space="0"/>
              <w:right w:val="single" w:color="auto" w:sz="4" w:space="0"/>
            </w:tcBorders>
            <w:noWrap w:val="0"/>
            <w:vAlign w:val="center"/>
          </w:tcPr>
          <w:p w14:paraId="69DCEB65">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风险等级</w:t>
            </w:r>
          </w:p>
        </w:tc>
        <w:tc>
          <w:tcPr>
            <w:tcW w:w="1440" w:type="dxa"/>
            <w:tcBorders>
              <w:top w:val="single" w:color="auto" w:sz="4" w:space="0"/>
              <w:left w:val="single" w:color="auto" w:sz="4" w:space="0"/>
              <w:right w:val="single" w:color="auto" w:sz="4" w:space="0"/>
            </w:tcBorders>
            <w:noWrap w:val="0"/>
            <w:vAlign w:val="center"/>
          </w:tcPr>
          <w:p w14:paraId="02FC585C">
            <w:pPr>
              <w:spacing w:line="300" w:lineRule="exact"/>
              <w:ind w:firstLine="0" w:firstLineChars="0"/>
              <w:jc w:val="center"/>
              <w:rPr>
                <w:rFonts w:hint="default"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处置方案</w:t>
            </w:r>
          </w:p>
        </w:tc>
      </w:tr>
      <w:tr w14:paraId="25E66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D56CAF4">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1</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11C6BD3">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溃坝</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F9B4CA">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泥石流、人员伤亡、构筑物损毁</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510E2A6">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AC9FE52">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灾难</w:t>
            </w:r>
          </w:p>
        </w:tc>
        <w:tc>
          <w:tcPr>
            <w:tcW w:w="1260" w:type="dxa"/>
            <w:tcBorders>
              <w:top w:val="single" w:color="auto" w:sz="4" w:space="0"/>
              <w:left w:val="single" w:color="auto" w:sz="4" w:space="0"/>
              <w:bottom w:val="single" w:color="auto" w:sz="4" w:space="0"/>
              <w:right w:val="single" w:color="auto" w:sz="4" w:space="0"/>
            </w:tcBorders>
            <w:shd w:val="clear" w:color="auto" w:fill="FF0000"/>
            <w:noWrap w:val="0"/>
            <w:vAlign w:val="center"/>
          </w:tcPr>
          <w:p w14:paraId="5370BF5C">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Ⅰ级</w:t>
            </w:r>
          </w:p>
        </w:tc>
        <w:tc>
          <w:tcPr>
            <w:tcW w:w="1440" w:type="dxa"/>
            <w:tcBorders>
              <w:top w:val="single" w:color="auto" w:sz="4" w:space="0"/>
              <w:left w:val="single" w:color="auto" w:sz="4" w:space="0"/>
              <w:bottom w:val="single" w:color="auto" w:sz="4" w:space="0"/>
              <w:right w:val="single" w:color="auto" w:sz="4" w:space="0"/>
            </w:tcBorders>
            <w:noWrap w:val="0"/>
            <w:vAlign w:val="center"/>
          </w:tcPr>
          <w:p w14:paraId="5FE59162">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制定改进措施，停止作业</w:t>
            </w:r>
          </w:p>
        </w:tc>
      </w:tr>
      <w:tr w14:paraId="0E179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12DC93B">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2</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D9FFB25">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洪水漫顶</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EF089B">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泥石流、人员伤亡、构筑物损毁</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4DFF47E">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D936F10">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灾难</w:t>
            </w:r>
          </w:p>
        </w:tc>
        <w:tc>
          <w:tcPr>
            <w:tcW w:w="1260" w:type="dxa"/>
            <w:tcBorders>
              <w:top w:val="single" w:color="auto" w:sz="4" w:space="0"/>
              <w:left w:val="single" w:color="auto" w:sz="4" w:space="0"/>
              <w:bottom w:val="single" w:color="auto" w:sz="4" w:space="0"/>
              <w:right w:val="single" w:color="auto" w:sz="4" w:space="0"/>
            </w:tcBorders>
            <w:shd w:val="clear" w:color="auto" w:fill="FF0000"/>
            <w:noWrap w:val="0"/>
            <w:vAlign w:val="center"/>
          </w:tcPr>
          <w:p w14:paraId="51C41B9A">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Ⅰ级</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45EC500E">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制定改进措施，停止作业</w:t>
            </w:r>
          </w:p>
        </w:tc>
      </w:tr>
      <w:tr w14:paraId="1FD550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F91C162">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3</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9873268">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排洪系统堵塞、垮塌</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E5EA388">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泥石流</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487E58A">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47BAFFD">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灾难</w:t>
            </w:r>
          </w:p>
        </w:tc>
        <w:tc>
          <w:tcPr>
            <w:tcW w:w="1260" w:type="dxa"/>
            <w:tcBorders>
              <w:top w:val="single" w:color="auto" w:sz="4" w:space="0"/>
              <w:left w:val="single" w:color="auto" w:sz="4" w:space="0"/>
              <w:bottom w:val="single" w:color="auto" w:sz="4" w:space="0"/>
              <w:right w:val="single" w:color="auto" w:sz="4" w:space="0"/>
            </w:tcBorders>
            <w:shd w:val="clear" w:color="auto" w:fill="FF0000"/>
            <w:noWrap w:val="0"/>
            <w:vAlign w:val="center"/>
          </w:tcPr>
          <w:p w14:paraId="405F76B3">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Ⅰ级</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2B570BA9">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制定改进措施，停止作业</w:t>
            </w:r>
          </w:p>
        </w:tc>
      </w:tr>
      <w:tr w14:paraId="0B64E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6B9A956">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4</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EA6F8F4">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坝体出现较大范围管涌、流土</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09730D">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泥石流、淹溺</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57F740">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0A83C1E">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灾难</w:t>
            </w:r>
          </w:p>
        </w:tc>
        <w:tc>
          <w:tcPr>
            <w:tcW w:w="1260" w:type="dxa"/>
            <w:tcBorders>
              <w:top w:val="single" w:color="auto" w:sz="4" w:space="0"/>
              <w:left w:val="single" w:color="auto" w:sz="4" w:space="0"/>
              <w:bottom w:val="single" w:color="auto" w:sz="4" w:space="0"/>
              <w:right w:val="single" w:color="auto" w:sz="4" w:space="0"/>
            </w:tcBorders>
            <w:shd w:val="clear" w:color="auto" w:fill="FF0000"/>
            <w:noWrap w:val="0"/>
            <w:vAlign w:val="center"/>
          </w:tcPr>
          <w:p w14:paraId="768EEED5">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Ⅰ级</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69FB2027">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制定改进措施，停止作业</w:t>
            </w:r>
          </w:p>
        </w:tc>
      </w:tr>
      <w:tr w14:paraId="166B9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2C2087C">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5</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5270D0C">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坝体出现贯穿性横向裂缝，且出现滑动迹象</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F860583">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泥石流、人员伤亡、构筑物损毁</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ECA50DA">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A14FC8D">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灾难</w:t>
            </w:r>
          </w:p>
        </w:tc>
        <w:tc>
          <w:tcPr>
            <w:tcW w:w="1260" w:type="dxa"/>
            <w:tcBorders>
              <w:top w:val="single" w:color="auto" w:sz="4" w:space="0"/>
              <w:left w:val="single" w:color="auto" w:sz="4" w:space="0"/>
              <w:bottom w:val="single" w:color="auto" w:sz="4" w:space="0"/>
              <w:right w:val="single" w:color="auto" w:sz="4" w:space="0"/>
            </w:tcBorders>
            <w:shd w:val="clear" w:color="auto" w:fill="FF0000"/>
            <w:noWrap w:val="0"/>
            <w:vAlign w:val="center"/>
          </w:tcPr>
          <w:p w14:paraId="3FEAF83F">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Ⅰ级</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518E2815">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制定改进措施，停止作业</w:t>
            </w:r>
          </w:p>
        </w:tc>
      </w:tr>
      <w:tr w14:paraId="558AA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03C7A2F">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6</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5ACBE54">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未按设计要求埋设排渗设施；或尾矿坝出现渗流、渗流、沼泽化等现象，未采取措施处理</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2FBE93B">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坝体失稳、滑坡、垮塌</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E3D3E2D">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FCAA054">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严重</w:t>
            </w:r>
          </w:p>
        </w:tc>
        <w:tc>
          <w:tcPr>
            <w:tcW w:w="1260"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6BF0080D">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Ⅱ级</w:t>
            </w:r>
          </w:p>
        </w:tc>
        <w:tc>
          <w:tcPr>
            <w:tcW w:w="1440" w:type="dxa"/>
            <w:tcBorders>
              <w:top w:val="single" w:color="auto" w:sz="4" w:space="0"/>
              <w:left w:val="single" w:color="auto" w:sz="4" w:space="0"/>
              <w:bottom w:val="single" w:color="auto" w:sz="4" w:space="0"/>
              <w:right w:val="single" w:color="auto" w:sz="4" w:space="0"/>
            </w:tcBorders>
            <w:noWrap w:val="0"/>
            <w:vAlign w:val="center"/>
          </w:tcPr>
          <w:p w14:paraId="745B2264">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建立运行控制程序，定期检查、评估</w:t>
            </w:r>
          </w:p>
        </w:tc>
      </w:tr>
      <w:tr w14:paraId="02C4B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5FD87F">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7</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09EE8AC">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浸润线埋深不足</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09972B2">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塌陷、泥石流</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9FFEC26">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D3FB5AB">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严重</w:t>
            </w:r>
          </w:p>
        </w:tc>
        <w:tc>
          <w:tcPr>
            <w:tcW w:w="1260"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12664FEC">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Ⅱ级</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33DDE479">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建立运行控制程序，定期检查、评估</w:t>
            </w:r>
          </w:p>
        </w:tc>
      </w:tr>
      <w:tr w14:paraId="403CBF7B">
        <w:tblPrEx>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A664ECC">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8</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60074D6">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坝体坡比陡于设计</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D63F97A">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坝体垮塌</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305EC6B">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2CB5229">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严重</w:t>
            </w:r>
          </w:p>
        </w:tc>
        <w:tc>
          <w:tcPr>
            <w:tcW w:w="1260"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5E28307F">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Ⅱ级</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2AFF9F65">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建立运行控制程序，定期检查、评估</w:t>
            </w:r>
          </w:p>
        </w:tc>
      </w:tr>
      <w:tr w14:paraId="33DF4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BD593EF">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9</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3D2EF2">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坝体上升速率高</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C2C36E0">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坝体垮塌</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95B91DF">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FF0A20A">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严重</w:t>
            </w:r>
          </w:p>
        </w:tc>
        <w:tc>
          <w:tcPr>
            <w:tcW w:w="1260"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518A2605">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Ⅱ级</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356A1549">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建立运行控制程序，定期检查、评估</w:t>
            </w:r>
          </w:p>
        </w:tc>
      </w:tr>
      <w:tr w14:paraId="72E952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A6572CD">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10</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804EF83">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干滩长度和安全超高不足</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DEEF43C">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塌陷、泥石流</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12D655">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613E1EF">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严重</w:t>
            </w:r>
          </w:p>
        </w:tc>
        <w:tc>
          <w:tcPr>
            <w:tcW w:w="1260"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0A06B279">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Ⅱ级</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3A9A1CDF">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建立运行控制程序，定期检查、评估</w:t>
            </w:r>
          </w:p>
        </w:tc>
      </w:tr>
      <w:tr w14:paraId="048E3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EC4663C">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11</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6EB5B4">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子坝挡水</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3FBD318">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泥石流</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0B5B71A">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BBEE633">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严重</w:t>
            </w:r>
          </w:p>
        </w:tc>
        <w:tc>
          <w:tcPr>
            <w:tcW w:w="1260"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74AF27D5">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Ⅱ级</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41C798F9">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建立运行控制程序，定期检查、评估</w:t>
            </w:r>
          </w:p>
        </w:tc>
      </w:tr>
      <w:tr w14:paraId="577ED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A51A6E9">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12</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0AD597A">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杂物堵塞进水口，或未清除进水口漂浮物</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2E58572">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淹溺</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CC107F0">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19E5494">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严重</w:t>
            </w:r>
          </w:p>
        </w:tc>
        <w:tc>
          <w:tcPr>
            <w:tcW w:w="1260"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5ECCB481">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Ⅱ级</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06C68B38">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建立运行控制程序，定期检查、评估</w:t>
            </w:r>
          </w:p>
        </w:tc>
      </w:tr>
      <w:tr w14:paraId="3FFA8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B5AA1AD">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13</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A9C7B0">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排水构筑物平面布置、标高、数量、型式、尺寸与设计不符</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22C727D">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排洪能力不足，洪水漫顶</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1147B9">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3D0A0A">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严重</w:t>
            </w:r>
          </w:p>
        </w:tc>
        <w:tc>
          <w:tcPr>
            <w:tcW w:w="1260"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3FC7693B">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Ⅱ级</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5BF6677C">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建立运行控制程序，定期检查、评估</w:t>
            </w:r>
          </w:p>
        </w:tc>
      </w:tr>
      <w:tr w14:paraId="195B4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9FE750C">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14</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3B864AF">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排洪系统局部破坏</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C762C50">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泥石流</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81D8399">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24AF399">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严重</w:t>
            </w:r>
          </w:p>
        </w:tc>
        <w:tc>
          <w:tcPr>
            <w:tcW w:w="1260"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497B76E7">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Ⅱ级</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00151BF9">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建立运行控制程序，定期检查、评估</w:t>
            </w:r>
          </w:p>
        </w:tc>
      </w:tr>
      <w:tr w14:paraId="301FA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7879AE">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15</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2AE3E41">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排水构筑物封堵不严</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75B7FCD">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尾矿泄漏</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859219">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1D62089">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严重</w:t>
            </w:r>
          </w:p>
        </w:tc>
        <w:tc>
          <w:tcPr>
            <w:tcW w:w="1260"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5EAC1DF6">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Ⅱ级</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7DE70C04">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建立运行控制程序，定期检查、评估</w:t>
            </w:r>
          </w:p>
        </w:tc>
      </w:tr>
      <w:tr w14:paraId="35BEF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D077D88">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16</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0DA66F2">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坝轴线与水边线不平行（不均匀放矿）</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2BFF2D3">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坝体可能不稳</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120CDC">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115CF2C">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较严重</w:t>
            </w:r>
          </w:p>
        </w:tc>
        <w:tc>
          <w:tcPr>
            <w:tcW w:w="126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1186328C">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Ⅲ级</w:t>
            </w:r>
          </w:p>
        </w:tc>
        <w:tc>
          <w:tcPr>
            <w:tcW w:w="1440" w:type="dxa"/>
            <w:tcBorders>
              <w:top w:val="single" w:color="auto" w:sz="4" w:space="0"/>
              <w:left w:val="single" w:color="auto" w:sz="4" w:space="0"/>
              <w:bottom w:val="single" w:color="auto" w:sz="4" w:space="0"/>
              <w:right w:val="single" w:color="auto" w:sz="4" w:space="0"/>
            </w:tcBorders>
            <w:noWrap w:val="0"/>
            <w:vAlign w:val="center"/>
          </w:tcPr>
          <w:p w14:paraId="799B717F">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建立操作规程，加强培训</w:t>
            </w:r>
          </w:p>
        </w:tc>
      </w:tr>
      <w:tr w14:paraId="1A55BF08">
        <w:tblPrEx>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BAD2BF7">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17</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00294DE">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未按于库（坝）前均匀放矿</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A9FC072">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坝体可能不稳</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0506151">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B18E3DF">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较严重</w:t>
            </w:r>
          </w:p>
        </w:tc>
        <w:tc>
          <w:tcPr>
            <w:tcW w:w="126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46FD1CEF">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Ⅲ级</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5EBFC2E9">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建立操作规程，加强培训</w:t>
            </w:r>
          </w:p>
        </w:tc>
      </w:tr>
      <w:tr w14:paraId="225E9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38853C7">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18</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9C9585A">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尾矿浆排放冲刷初期坝和子坝，尾矿浆沿子坝内坡流动冲刷坝体</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41E6CE2">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子坝塌陷，漏砂</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608EB81">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BC8C39E">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较严重</w:t>
            </w:r>
          </w:p>
        </w:tc>
        <w:tc>
          <w:tcPr>
            <w:tcW w:w="126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0D2B0BC6">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Ⅲ级</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2468BB90">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建立操作规程，加强培训</w:t>
            </w:r>
          </w:p>
        </w:tc>
      </w:tr>
      <w:tr w14:paraId="53565A33">
        <w:tblPrEx>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779CFF4">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19</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C8E6258">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子坝堆筑前未进行岸坡清理</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C5FCAD">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子坝局部塌陷</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2332BBD">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FD4951B">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较严重</w:t>
            </w:r>
          </w:p>
        </w:tc>
        <w:tc>
          <w:tcPr>
            <w:tcW w:w="126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61C1A899">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Ⅲ级</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3E6BA1E2">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建立操作规程，加强培训</w:t>
            </w:r>
          </w:p>
        </w:tc>
      </w:tr>
      <w:tr w14:paraId="6136F814">
        <w:tblPrEx>
          <w:tblCellMar>
            <w:top w:w="0" w:type="dxa"/>
            <w:left w:w="108" w:type="dxa"/>
            <w:bottom w:w="0" w:type="dxa"/>
            <w:right w:w="108" w:type="dxa"/>
          </w:tblCellMar>
        </w:tblPrEx>
        <w:trPr>
          <w:trHeight w:val="936"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030AC9">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20</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7BBFE0D">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子坝坝顶及沉积滩面不均匀平整</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B571681">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可能洪水漫顶</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38D239">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08E7B13">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较严重</w:t>
            </w:r>
          </w:p>
        </w:tc>
        <w:tc>
          <w:tcPr>
            <w:tcW w:w="126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0BF56A58">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Ⅲ级</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0D9EF0AA">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建立操作规程，加强培训</w:t>
            </w:r>
          </w:p>
        </w:tc>
      </w:tr>
      <w:tr w14:paraId="6BE23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F63EBDC">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21</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CCA80E3">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冬季未按设计要求采用冰下放矿作业</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AA265A6">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造成堆积坝结构缺陷（存在冰冻层，遇热即化）、浸润线升高，渗透破坏，降低安全性</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BF6652B">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13C26D2">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较严重</w:t>
            </w:r>
          </w:p>
        </w:tc>
        <w:tc>
          <w:tcPr>
            <w:tcW w:w="126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2F8BB1CA">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Ⅲ级</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69F10355">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建立操作规程，加强培训</w:t>
            </w:r>
          </w:p>
        </w:tc>
      </w:tr>
      <w:tr w14:paraId="3C927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88D3E6F">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22</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DB06B2">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子坝坝体结构参数（高度、宽度、外坡比）不符合设计要求</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0AC5344">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局部不稳定或破坏</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9D99CC">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22EFAA5">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较严重</w:t>
            </w:r>
          </w:p>
        </w:tc>
        <w:tc>
          <w:tcPr>
            <w:tcW w:w="126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4159E10F">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Ⅲ级</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4E8DF3EE">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建立操作规程，加强培训</w:t>
            </w:r>
          </w:p>
        </w:tc>
      </w:tr>
      <w:tr w14:paraId="1A22E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0D1EE2">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23</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D93B9D">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坝轴线布置不符合设计要求</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B7FCC46">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局部不稳定或结构破坏</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82D5613">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6FEEF7">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较严重</w:t>
            </w:r>
          </w:p>
        </w:tc>
        <w:tc>
          <w:tcPr>
            <w:tcW w:w="126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06913D2E">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Ⅲ级</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49AF2BC1">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建立操作规程，加强培训</w:t>
            </w:r>
          </w:p>
        </w:tc>
      </w:tr>
      <w:tr w14:paraId="1F8C6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6CBD82D">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24</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5AB9D4">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地震沙土液化</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B3E7D2B">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坝体不稳、泥石流</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BEDF504">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可能性小</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0F16E87">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灾难</w:t>
            </w:r>
          </w:p>
        </w:tc>
        <w:tc>
          <w:tcPr>
            <w:tcW w:w="126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33799970">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Ⅲ级</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493B4E9A">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建立操作规程，加强培训</w:t>
            </w:r>
          </w:p>
        </w:tc>
      </w:tr>
      <w:tr w14:paraId="7EE0C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55FFD02">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25</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05489A">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排渗设施损坏</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BBFFC55">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渗透破坏</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E81E6FE">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1232886">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较严重</w:t>
            </w:r>
          </w:p>
        </w:tc>
        <w:tc>
          <w:tcPr>
            <w:tcW w:w="126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10E07633">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Ⅲ级</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714AA8C1">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建立操作规程，加强培训</w:t>
            </w:r>
          </w:p>
        </w:tc>
      </w:tr>
      <w:tr w14:paraId="02207451">
        <w:tblPrEx>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251F70">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26</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6B1E171">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坝肩沟、坝面沟破损</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44A837C">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坝体局部坍塌</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C1D9CA5">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CBAA829">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较严重</w:t>
            </w:r>
          </w:p>
        </w:tc>
        <w:tc>
          <w:tcPr>
            <w:tcW w:w="126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0ED63FE3">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Ⅲ级</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2A6C6C38">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建立操作规程，加强培训</w:t>
            </w:r>
          </w:p>
        </w:tc>
      </w:tr>
      <w:tr w14:paraId="02B67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947A2AF">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27</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066EA4">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坝体局部开裂</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29AED09">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坝体塌陷</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DDFB38B">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1DB2D08">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较严重</w:t>
            </w:r>
          </w:p>
        </w:tc>
        <w:tc>
          <w:tcPr>
            <w:tcW w:w="126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77D0725C">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Ⅲ级</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30575DFB">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建立操作规程，加强培训</w:t>
            </w:r>
          </w:p>
        </w:tc>
      </w:tr>
      <w:tr w14:paraId="2D6A9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688B4DF">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28</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04DA6CA">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排水构筑物跑浑、漏砂</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291149">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尾矿泄漏</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D077F52">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1706E97">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严重</w:t>
            </w:r>
          </w:p>
        </w:tc>
        <w:tc>
          <w:tcPr>
            <w:tcW w:w="126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048589A9">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Ⅲ级</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043F56A0">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建立操作规程，加强培训</w:t>
            </w:r>
          </w:p>
        </w:tc>
      </w:tr>
      <w:tr w14:paraId="6A2AA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4268D54">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29</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5E2358C">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井架、拱板施工质量影响结构安全</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C861877">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坍塌、漫坝</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ABD90E">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DDB589F">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严重</w:t>
            </w:r>
          </w:p>
        </w:tc>
        <w:tc>
          <w:tcPr>
            <w:tcW w:w="126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742B8DC9">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Ⅲ级</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6278F5D7">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建立操作规程，加强培训</w:t>
            </w:r>
          </w:p>
        </w:tc>
      </w:tr>
      <w:tr w14:paraId="0AC96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9F245D8">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30</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B657AB3">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坝面局部出渗</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F7654EB">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局部垮塌</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285C82A">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0035D70">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较严重</w:t>
            </w:r>
          </w:p>
        </w:tc>
        <w:tc>
          <w:tcPr>
            <w:tcW w:w="126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2413A85E">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Ⅲ级</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309596DB">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建立操作规程，加强培训</w:t>
            </w:r>
          </w:p>
        </w:tc>
      </w:tr>
      <w:tr w14:paraId="0BCC1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EF8F505">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31</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0284F9C">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排渗水质浑浊或排渗效果差</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0D89C13">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渗透破坏</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0E77F47">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0C41956">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较严重</w:t>
            </w:r>
          </w:p>
        </w:tc>
        <w:tc>
          <w:tcPr>
            <w:tcW w:w="126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7BFC0730">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Ⅲ级</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00622B59">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建立操作规程，加强培训</w:t>
            </w:r>
          </w:p>
        </w:tc>
      </w:tr>
      <w:tr w14:paraId="1BC83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821B866">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32</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2D14DC7">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坝肩存在集中渗流</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0DAA7D3">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山体破坏、尾矿泄漏</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1A444D">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FE64170">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较严重</w:t>
            </w:r>
          </w:p>
        </w:tc>
        <w:tc>
          <w:tcPr>
            <w:tcW w:w="126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0F38AD4E">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Ⅲ级</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22B858C2">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建立操作规程，加强培训</w:t>
            </w:r>
          </w:p>
        </w:tc>
      </w:tr>
      <w:tr w14:paraId="63C87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24E59F3">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33</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302FC6B">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尾矿库监测网络不能覆盖整个库区</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B2A5E2">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监测不完整</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89F924">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EF85339">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较严重</w:t>
            </w:r>
          </w:p>
        </w:tc>
        <w:tc>
          <w:tcPr>
            <w:tcW w:w="126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2FB52713">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Ⅲ级</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67439F41">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建立操作规程，加强培训</w:t>
            </w:r>
          </w:p>
        </w:tc>
      </w:tr>
      <w:tr w14:paraId="3906C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196241D">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34</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513626E">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测量误差大</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09C832A">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结果不可靠</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DE4D916">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E3C80">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严重</w:t>
            </w:r>
          </w:p>
        </w:tc>
        <w:tc>
          <w:tcPr>
            <w:tcW w:w="126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2CA488E8">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Ⅲ级</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060A4428">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建立操作规程，加强培训</w:t>
            </w:r>
          </w:p>
        </w:tc>
      </w:tr>
      <w:tr w14:paraId="4E475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734486C">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35</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C5B8988">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无在线监测设施；或监测设施不齐全</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169417">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安全监测措施缺失，不合规</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7E88903">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可能小</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85DF45D">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严重</w:t>
            </w:r>
          </w:p>
        </w:tc>
        <w:tc>
          <w:tcPr>
            <w:tcW w:w="126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6CBB69FF">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Ⅲ级</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2C854736">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建立操作规程，加强培训</w:t>
            </w:r>
          </w:p>
        </w:tc>
      </w:tr>
      <w:tr w14:paraId="3C573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8A1DB29">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36</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22D51E9">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在线监测设施防雷设施不完善</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F0CE9BB">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监测设施破坏</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2C9121B">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87579EB">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严重</w:t>
            </w:r>
          </w:p>
        </w:tc>
        <w:tc>
          <w:tcPr>
            <w:tcW w:w="126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15CDAD98">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Ⅲ级</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665ECAFE">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建立操作规程，加强培训</w:t>
            </w:r>
          </w:p>
        </w:tc>
      </w:tr>
      <w:tr w14:paraId="65E74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69EE2CD">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37</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3DB07D1">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坝前（下游坡面）存在积水坑</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D753A9F">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局部渗透破坏</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FAE1C05">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66A47E7">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一般</w:t>
            </w:r>
          </w:p>
        </w:tc>
        <w:tc>
          <w:tcPr>
            <w:tcW w:w="126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5BD8A8FC">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Ⅳ级</w:t>
            </w:r>
          </w:p>
        </w:tc>
        <w:tc>
          <w:tcPr>
            <w:tcW w:w="1440" w:type="dxa"/>
            <w:tcBorders>
              <w:top w:val="single" w:color="auto" w:sz="4" w:space="0"/>
              <w:left w:val="single" w:color="auto" w:sz="4" w:space="0"/>
              <w:bottom w:val="single" w:color="auto" w:sz="4" w:space="0"/>
              <w:right w:val="single" w:color="auto" w:sz="4" w:space="0"/>
            </w:tcBorders>
            <w:noWrap w:val="0"/>
            <w:vAlign w:val="center"/>
          </w:tcPr>
          <w:p w14:paraId="56963D72">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建立操作规程、作业指导书，定期检查</w:t>
            </w:r>
          </w:p>
        </w:tc>
      </w:tr>
      <w:tr w14:paraId="0ECE5CB5">
        <w:tblPrEx>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BBF6FEC">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38</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EFD648B">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坝坡面冲刷拉沟</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AD5E223">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局部塌陷</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7D7B2C">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很可能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3B172FD">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轻微</w:t>
            </w:r>
          </w:p>
        </w:tc>
        <w:tc>
          <w:tcPr>
            <w:tcW w:w="126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19679EFB">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Ⅳ级</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418723D1">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建立操作规程、作业指导书，定期检查</w:t>
            </w:r>
          </w:p>
        </w:tc>
      </w:tr>
      <w:tr w14:paraId="519E4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B971E29">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39</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2B01C6F">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堆积坝坝坡面未按设计覆土、植被、筑沟</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CB4B002">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坝坡面冲刷拉沟</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7C59C48">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可能性小</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1B35C6">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轻微</w:t>
            </w:r>
          </w:p>
        </w:tc>
        <w:tc>
          <w:tcPr>
            <w:tcW w:w="126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2ABE3FEB">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Ⅳ级</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0C19B680">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建立操作规程、作业指导书，定期检查</w:t>
            </w:r>
          </w:p>
        </w:tc>
      </w:tr>
      <w:tr w14:paraId="36016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3F1FB6C">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40</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53C6D8F">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坝体超过设计坝高，或超设计库容储存尾矿</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6FB32BA">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违规、停产、闭库</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4ED1E54">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可能性小</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DB454EA">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严重</w:t>
            </w:r>
          </w:p>
        </w:tc>
        <w:tc>
          <w:tcPr>
            <w:tcW w:w="126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6FA25E87">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Ⅳ级</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2D685266">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建立操作规程、作业指导书，定期检查</w:t>
            </w:r>
          </w:p>
        </w:tc>
      </w:tr>
      <w:tr w14:paraId="00E46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8DE8A46">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41</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0DF48C0">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多种矿石性质不同的尾矿混合排放入库，或尾矿粒径变细</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48663BC">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可能造成坝体稳定性下降或溃坝</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6C9501C">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可能性小</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CBD2EB4">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一般</w:t>
            </w:r>
          </w:p>
        </w:tc>
        <w:tc>
          <w:tcPr>
            <w:tcW w:w="126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1C21F264">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Ⅳ级</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6B6F83D7">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建立操作规程、作业指导书，定期检查</w:t>
            </w:r>
          </w:p>
        </w:tc>
      </w:tr>
      <w:tr w14:paraId="6EE8E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384C1DB">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42</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72AEF86">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井壁无显著的水位标尺</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D95F195">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影响排水控制</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52467D">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9036CD8">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轻微</w:t>
            </w:r>
          </w:p>
        </w:tc>
        <w:tc>
          <w:tcPr>
            <w:tcW w:w="126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29DCAA4E">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Ⅳ级</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3EC85FE6">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建立操作规程、作业指导书，定期检查</w:t>
            </w:r>
          </w:p>
        </w:tc>
      </w:tr>
      <w:tr w14:paraId="57D89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1FED746">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43</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52350EF">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监测设施工作不正常、有故障</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83A85ED">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不能监控尾矿库安全</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8B7A5A1">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EF3478E">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一般</w:t>
            </w:r>
          </w:p>
        </w:tc>
        <w:tc>
          <w:tcPr>
            <w:tcW w:w="126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4F61FEE9">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Ⅳ级</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71585A18">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建立操作规程、作业指导书，定期检查</w:t>
            </w:r>
          </w:p>
        </w:tc>
      </w:tr>
      <w:tr w14:paraId="3B433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D7C8454">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44</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32920B5">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监测设施被破坏</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AAB28BA">
            <w:pPr>
              <w:spacing w:line="300" w:lineRule="exact"/>
              <w:ind w:firstLine="0" w:firstLineChars="0"/>
              <w:jc w:val="center"/>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无法测量</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B941EEF">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F0DAD1C">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一般</w:t>
            </w:r>
          </w:p>
        </w:tc>
        <w:tc>
          <w:tcPr>
            <w:tcW w:w="126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593FF63C">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Ⅳ级</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35073D2C">
            <w:pPr>
              <w:spacing w:line="300" w:lineRule="exact"/>
              <w:ind w:firstLine="0" w:firstLineChars="0"/>
              <w:jc w:val="center"/>
              <w:rPr>
                <w:rFonts w:hint="eastAsia" w:ascii="宋体" w:hAnsi="宋体" w:eastAsia="宋体" w:cs="Times New Roman"/>
                <w:color w:val="auto"/>
                <w:sz w:val="21"/>
                <w:szCs w:val="21"/>
              </w:rPr>
            </w:pPr>
            <w:r>
              <w:rPr>
                <w:rFonts w:hint="eastAsia" w:ascii="宋体" w:hAnsi="宋体" w:eastAsia="宋体" w:cs="Times New Roman"/>
                <w:color w:val="auto"/>
                <w:sz w:val="21"/>
                <w:szCs w:val="21"/>
              </w:rPr>
              <w:t>建立操作规程、作业指导书，定期检查</w:t>
            </w:r>
          </w:p>
        </w:tc>
      </w:tr>
    </w:tbl>
    <w:p w14:paraId="30E0E53A">
      <w:pPr>
        <w:bidi w:val="0"/>
        <w:rPr>
          <w:rFonts w:hint="default"/>
          <w:color w:val="auto"/>
          <w:lang w:val="en-US" w:eastAsia="zh-CN"/>
        </w:rPr>
      </w:pPr>
      <w:r>
        <w:rPr>
          <w:rFonts w:hint="default"/>
          <w:color w:val="auto"/>
          <w:lang w:val="en-US" w:eastAsia="zh-CN"/>
        </w:rPr>
        <w:t>可知，杨家店尾矿库安全设施可能存在：溃坝、洪水漫顶，排洪系统堵塞、垮塌，坝体出现较大范围管涌、流土，坝体出现贯穿性横向裂缝，且出现滑动迹象等</w:t>
      </w:r>
      <w:r>
        <w:rPr>
          <w:rFonts w:hint="eastAsia"/>
          <w:color w:val="auto"/>
          <w:lang w:val="en-US" w:eastAsia="zh-CN"/>
        </w:rPr>
        <w:t>5</w:t>
      </w:r>
      <w:r>
        <w:rPr>
          <w:rFonts w:hint="default"/>
          <w:color w:val="auto"/>
          <w:lang w:val="en-US" w:eastAsia="zh-CN"/>
        </w:rPr>
        <w:t>类</w:t>
      </w:r>
      <w:r>
        <w:rPr>
          <w:rFonts w:hint="eastAsia" w:ascii="宋体" w:hAnsi="宋体" w:eastAsia="宋体" w:cs="宋体"/>
          <w:color w:val="auto"/>
          <w:lang w:val="en-US" w:eastAsia="zh-CN"/>
        </w:rPr>
        <w:t>Ⅰ</w:t>
      </w:r>
      <w:r>
        <w:rPr>
          <w:rFonts w:hint="default"/>
          <w:color w:val="auto"/>
          <w:lang w:val="en-US" w:eastAsia="zh-CN"/>
        </w:rPr>
        <w:t>级安全风险；浸润线埋深不足、坝体坡比陡于设计、坝体上升速率高、干滩长度和安全超高不足、子坝挡水、排洪系统局部破坏等</w:t>
      </w:r>
      <w:r>
        <w:rPr>
          <w:rFonts w:hint="eastAsia"/>
          <w:color w:val="auto"/>
          <w:lang w:val="en-US" w:eastAsia="zh-CN"/>
        </w:rPr>
        <w:t>10</w:t>
      </w:r>
      <w:r>
        <w:rPr>
          <w:rFonts w:hint="default"/>
          <w:color w:val="auto"/>
          <w:lang w:val="en-US" w:eastAsia="zh-CN"/>
        </w:rPr>
        <w:t>类</w:t>
      </w:r>
      <w:r>
        <w:rPr>
          <w:rFonts w:hint="eastAsia" w:ascii="宋体" w:hAnsi="宋体" w:eastAsia="宋体" w:cs="宋体"/>
          <w:color w:val="auto"/>
          <w:lang w:val="en-US" w:eastAsia="zh-CN"/>
        </w:rPr>
        <w:t>Ⅱ</w:t>
      </w:r>
      <w:r>
        <w:rPr>
          <w:rFonts w:hint="default"/>
          <w:color w:val="auto"/>
          <w:lang w:val="en-US" w:eastAsia="zh-CN"/>
        </w:rPr>
        <w:t>级安全风险；放矿不均匀、未进行岸坡清理、坝体结构参数不符合设计、排渗设施破坏，坝肩沟、坝面沟破损，井架、拱板施工质量差，安全监测设施未覆盖整个库区等</w:t>
      </w:r>
      <w:r>
        <w:rPr>
          <w:rFonts w:hint="eastAsia"/>
          <w:color w:val="auto"/>
          <w:lang w:val="en-US" w:eastAsia="zh-CN"/>
        </w:rPr>
        <w:t>21</w:t>
      </w:r>
      <w:r>
        <w:rPr>
          <w:rFonts w:hint="default"/>
          <w:color w:val="auto"/>
          <w:lang w:val="en-US" w:eastAsia="zh-CN"/>
        </w:rPr>
        <w:t>类</w:t>
      </w:r>
      <w:r>
        <w:rPr>
          <w:rFonts w:hint="eastAsia" w:ascii="宋体" w:hAnsi="宋体" w:eastAsia="宋体" w:cs="宋体"/>
          <w:color w:val="auto"/>
          <w:lang w:val="en-US" w:eastAsia="zh-CN"/>
        </w:rPr>
        <w:t>Ⅲ</w:t>
      </w:r>
      <w:r>
        <w:rPr>
          <w:rFonts w:hint="default"/>
          <w:color w:val="auto"/>
          <w:lang w:val="en-US" w:eastAsia="zh-CN"/>
        </w:rPr>
        <w:t>级安全风险；坝前（外坡面）有积水坑、坝坡面拉沟，坝坡面未覆土、植被、筑沟，超高超库容堆存尾矿、无库水位标尺，监测设施工作不正常、有故障，监测设施被破坏等</w:t>
      </w:r>
      <w:r>
        <w:rPr>
          <w:rFonts w:hint="eastAsia"/>
          <w:color w:val="auto"/>
          <w:lang w:val="en-US" w:eastAsia="zh-CN"/>
        </w:rPr>
        <w:t>8</w:t>
      </w:r>
      <w:r>
        <w:rPr>
          <w:rFonts w:hint="default"/>
          <w:color w:val="auto"/>
          <w:lang w:val="en-US" w:eastAsia="zh-CN"/>
        </w:rPr>
        <w:t>类</w:t>
      </w:r>
      <w:r>
        <w:rPr>
          <w:rFonts w:hint="eastAsia" w:ascii="宋体" w:hAnsi="宋体" w:eastAsia="宋体" w:cs="宋体"/>
          <w:color w:val="auto"/>
          <w:lang w:val="en-US" w:eastAsia="zh-CN"/>
        </w:rPr>
        <w:t>Ⅳ</w:t>
      </w:r>
      <w:r>
        <w:rPr>
          <w:rFonts w:hint="default"/>
          <w:color w:val="auto"/>
          <w:lang w:val="en-US" w:eastAsia="zh-CN"/>
        </w:rPr>
        <w:t>级安全风险。</w:t>
      </w:r>
    </w:p>
    <w:p w14:paraId="1948C04A">
      <w:pPr>
        <w:bidi w:val="0"/>
        <w:rPr>
          <w:rFonts w:hint="default"/>
          <w:color w:val="auto"/>
          <w:lang w:val="en-US" w:eastAsia="zh-CN"/>
        </w:rPr>
      </w:pPr>
      <w:r>
        <w:rPr>
          <w:rFonts w:hint="default"/>
          <w:color w:val="auto"/>
          <w:lang w:val="en-US" w:eastAsia="zh-CN"/>
        </w:rPr>
        <w:t>（4）采用LS法风险分析，杨家店尾矿库辅助设施可能存在的事故类别及其风险等级详见下表。</w:t>
      </w:r>
    </w:p>
    <w:p w14:paraId="7503F547">
      <w:pPr>
        <w:bidi w:val="0"/>
        <w:ind w:left="0" w:leftChars="0" w:firstLine="0" w:firstLineChars="0"/>
        <w:jc w:val="center"/>
        <w:rPr>
          <w:rFonts w:hint="default"/>
          <w:color w:val="auto"/>
          <w:lang w:val="en-US" w:eastAsia="zh-CN"/>
        </w:rPr>
      </w:pPr>
      <w:r>
        <w:rPr>
          <w:rFonts w:hint="default"/>
          <w:color w:val="auto"/>
          <w:lang w:val="en-US" w:eastAsia="zh-CN"/>
        </w:rPr>
        <w:t>表5.5-</w:t>
      </w:r>
      <w:r>
        <w:rPr>
          <w:rFonts w:hint="eastAsia"/>
          <w:color w:val="auto"/>
          <w:lang w:val="en-US" w:eastAsia="zh-CN"/>
        </w:rPr>
        <w:t>4</w:t>
      </w:r>
      <w:r>
        <w:rPr>
          <w:rFonts w:hint="default"/>
          <w:color w:val="auto"/>
          <w:lang w:val="en-US" w:eastAsia="zh-CN"/>
        </w:rPr>
        <w:t xml:space="preserve"> LS法杨家店尾矿库辅助设施事故类别与风险等级一览表</w:t>
      </w:r>
    </w:p>
    <w:tbl>
      <w:tblPr>
        <w:tblStyle w:val="19"/>
        <w:tblpPr w:leftFromText="180" w:rightFromText="180" w:vertAnchor="text" w:horzAnchor="margin" w:tblpX="-144" w:tblpY="325"/>
        <w:tblW w:w="94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2160"/>
        <w:gridCol w:w="1260"/>
        <w:gridCol w:w="900"/>
        <w:gridCol w:w="900"/>
        <w:gridCol w:w="1440"/>
        <w:gridCol w:w="2160"/>
      </w:tblGrid>
      <w:tr w14:paraId="5742C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648" w:type="dxa"/>
            <w:vMerge w:val="restart"/>
            <w:tcBorders>
              <w:top w:val="single" w:color="auto" w:sz="4" w:space="0"/>
              <w:left w:val="single" w:color="auto" w:sz="4" w:space="0"/>
              <w:right w:val="single" w:color="auto" w:sz="4" w:space="0"/>
            </w:tcBorders>
            <w:noWrap w:val="0"/>
            <w:vAlign w:val="center"/>
          </w:tcPr>
          <w:p w14:paraId="3893ACD8">
            <w:pPr>
              <w:tabs>
                <w:tab w:val="left" w:pos="945"/>
                <w:tab w:val="left" w:pos="1155"/>
              </w:tabs>
              <w:snapToGrid w:val="0"/>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序号</w:t>
            </w:r>
          </w:p>
        </w:tc>
        <w:tc>
          <w:tcPr>
            <w:tcW w:w="2160" w:type="dxa"/>
            <w:vMerge w:val="restart"/>
            <w:tcBorders>
              <w:top w:val="single" w:color="auto" w:sz="4" w:space="0"/>
              <w:left w:val="single" w:color="auto" w:sz="4" w:space="0"/>
              <w:right w:val="single" w:color="auto" w:sz="4" w:space="0"/>
            </w:tcBorders>
            <w:noWrap w:val="0"/>
            <w:vAlign w:val="center"/>
          </w:tcPr>
          <w:p w14:paraId="32018F9F">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危险源及风险</w:t>
            </w:r>
          </w:p>
        </w:tc>
        <w:tc>
          <w:tcPr>
            <w:tcW w:w="1260" w:type="dxa"/>
            <w:vMerge w:val="restart"/>
            <w:tcBorders>
              <w:top w:val="single" w:color="auto" w:sz="4" w:space="0"/>
              <w:left w:val="single" w:color="auto" w:sz="4" w:space="0"/>
              <w:right w:val="single" w:color="auto" w:sz="4" w:space="0"/>
            </w:tcBorders>
            <w:noWrap w:val="0"/>
            <w:vAlign w:val="center"/>
          </w:tcPr>
          <w:p w14:paraId="74EE75E2">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可能后果</w:t>
            </w:r>
          </w:p>
        </w:tc>
        <w:tc>
          <w:tcPr>
            <w:tcW w:w="900" w:type="dxa"/>
            <w:vMerge w:val="restart"/>
            <w:tcBorders>
              <w:top w:val="single" w:color="auto" w:sz="4" w:space="0"/>
              <w:left w:val="single" w:color="auto" w:sz="4" w:space="0"/>
              <w:right w:val="single" w:color="auto" w:sz="4" w:space="0"/>
            </w:tcBorders>
            <w:noWrap w:val="0"/>
            <w:vAlign w:val="center"/>
          </w:tcPr>
          <w:p w14:paraId="5316289A">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可能性</w:t>
            </w:r>
          </w:p>
        </w:tc>
        <w:tc>
          <w:tcPr>
            <w:tcW w:w="900" w:type="dxa"/>
            <w:vMerge w:val="restart"/>
            <w:tcBorders>
              <w:top w:val="single" w:color="auto" w:sz="4" w:space="0"/>
              <w:left w:val="single" w:color="auto" w:sz="4" w:space="0"/>
              <w:right w:val="single" w:color="auto" w:sz="4" w:space="0"/>
            </w:tcBorders>
            <w:noWrap w:val="0"/>
            <w:vAlign w:val="center"/>
          </w:tcPr>
          <w:p w14:paraId="46F881C3">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严重性</w:t>
            </w:r>
          </w:p>
        </w:tc>
        <w:tc>
          <w:tcPr>
            <w:tcW w:w="1440" w:type="dxa"/>
            <w:vMerge w:val="restart"/>
            <w:tcBorders>
              <w:top w:val="single" w:color="auto" w:sz="4" w:space="0"/>
              <w:left w:val="single" w:color="auto" w:sz="4" w:space="0"/>
              <w:right w:val="single" w:color="auto" w:sz="4" w:space="0"/>
            </w:tcBorders>
            <w:noWrap w:val="0"/>
            <w:vAlign w:val="center"/>
          </w:tcPr>
          <w:p w14:paraId="23D2FCB9">
            <w:pPr>
              <w:tabs>
                <w:tab w:val="left" w:pos="18"/>
              </w:tabs>
              <w:snapToGrid w:val="0"/>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危险性程度（风险等级）</w:t>
            </w:r>
          </w:p>
        </w:tc>
        <w:tc>
          <w:tcPr>
            <w:tcW w:w="2160" w:type="dxa"/>
            <w:vMerge w:val="restart"/>
            <w:tcBorders>
              <w:top w:val="single" w:color="auto" w:sz="4" w:space="0"/>
              <w:left w:val="single" w:color="auto" w:sz="4" w:space="0"/>
              <w:right w:val="single" w:color="auto" w:sz="4" w:space="0"/>
            </w:tcBorders>
            <w:noWrap w:val="0"/>
            <w:vAlign w:val="center"/>
          </w:tcPr>
          <w:p w14:paraId="2DED36BB">
            <w:pPr>
              <w:tabs>
                <w:tab w:val="left" w:pos="18"/>
              </w:tabs>
              <w:snapToGri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处置方案</w:t>
            </w:r>
          </w:p>
        </w:tc>
      </w:tr>
      <w:tr w14:paraId="56A0A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648" w:type="dxa"/>
            <w:vMerge w:val="continue"/>
            <w:tcBorders>
              <w:left w:val="single" w:color="auto" w:sz="4" w:space="0"/>
              <w:bottom w:val="single" w:color="auto" w:sz="4" w:space="0"/>
              <w:right w:val="single" w:color="auto" w:sz="4" w:space="0"/>
            </w:tcBorders>
            <w:noWrap w:val="0"/>
            <w:vAlign w:val="center"/>
          </w:tcPr>
          <w:p w14:paraId="7916C74A">
            <w:pPr>
              <w:tabs>
                <w:tab w:val="left" w:pos="945"/>
                <w:tab w:val="left" w:pos="1155"/>
              </w:tabs>
              <w:snapToGrid w:val="0"/>
              <w:spacing w:line="300" w:lineRule="exact"/>
              <w:ind w:firstLine="420" w:firstLineChars="0"/>
              <w:jc w:val="center"/>
              <w:rPr>
                <w:rFonts w:ascii="Times New Roman" w:hAnsi="Times New Roman" w:eastAsia="宋体" w:cs="Times New Roman"/>
                <w:color w:val="auto"/>
                <w:sz w:val="21"/>
                <w:szCs w:val="21"/>
              </w:rPr>
            </w:pPr>
          </w:p>
        </w:tc>
        <w:tc>
          <w:tcPr>
            <w:tcW w:w="2160" w:type="dxa"/>
            <w:vMerge w:val="continue"/>
            <w:tcBorders>
              <w:left w:val="single" w:color="auto" w:sz="4" w:space="0"/>
              <w:bottom w:val="single" w:color="auto" w:sz="4" w:space="0"/>
              <w:right w:val="single" w:color="auto" w:sz="4" w:space="0"/>
            </w:tcBorders>
            <w:noWrap w:val="0"/>
            <w:vAlign w:val="center"/>
          </w:tcPr>
          <w:p w14:paraId="6E0B145B">
            <w:pPr>
              <w:tabs>
                <w:tab w:val="left" w:pos="945"/>
                <w:tab w:val="left" w:pos="1155"/>
              </w:tabs>
              <w:snapToGrid w:val="0"/>
              <w:spacing w:line="300" w:lineRule="exact"/>
              <w:ind w:firstLine="420" w:firstLineChars="0"/>
              <w:jc w:val="center"/>
              <w:rPr>
                <w:rFonts w:ascii="Times New Roman" w:hAnsi="Times New Roman" w:eastAsia="宋体" w:cs="Times New Roman"/>
                <w:color w:val="auto"/>
                <w:sz w:val="21"/>
                <w:szCs w:val="21"/>
              </w:rPr>
            </w:pPr>
          </w:p>
        </w:tc>
        <w:tc>
          <w:tcPr>
            <w:tcW w:w="1260" w:type="dxa"/>
            <w:vMerge w:val="continue"/>
            <w:tcBorders>
              <w:left w:val="single" w:color="auto" w:sz="4" w:space="0"/>
              <w:bottom w:val="single" w:color="auto" w:sz="4" w:space="0"/>
              <w:right w:val="single" w:color="auto" w:sz="4" w:space="0"/>
            </w:tcBorders>
            <w:noWrap w:val="0"/>
            <w:vAlign w:val="center"/>
          </w:tcPr>
          <w:p w14:paraId="122308C8">
            <w:pPr>
              <w:tabs>
                <w:tab w:val="left" w:pos="945"/>
                <w:tab w:val="left" w:pos="1155"/>
              </w:tabs>
              <w:snapToGrid w:val="0"/>
              <w:spacing w:line="300" w:lineRule="exact"/>
              <w:ind w:firstLine="420" w:firstLineChars="0"/>
              <w:jc w:val="center"/>
              <w:rPr>
                <w:rFonts w:ascii="Times New Roman" w:hAnsi="Times New Roman" w:eastAsia="宋体" w:cs="Times New Roman"/>
                <w:color w:val="auto"/>
                <w:sz w:val="21"/>
                <w:szCs w:val="21"/>
              </w:rPr>
            </w:pPr>
          </w:p>
        </w:tc>
        <w:tc>
          <w:tcPr>
            <w:tcW w:w="900" w:type="dxa"/>
            <w:vMerge w:val="continue"/>
            <w:tcBorders>
              <w:left w:val="single" w:color="auto" w:sz="4" w:space="0"/>
              <w:bottom w:val="single" w:color="auto" w:sz="4" w:space="0"/>
              <w:right w:val="single" w:color="auto" w:sz="4" w:space="0"/>
            </w:tcBorders>
            <w:noWrap w:val="0"/>
            <w:vAlign w:val="center"/>
          </w:tcPr>
          <w:p w14:paraId="5751B7CB">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p>
        </w:tc>
        <w:tc>
          <w:tcPr>
            <w:tcW w:w="900" w:type="dxa"/>
            <w:vMerge w:val="continue"/>
            <w:tcBorders>
              <w:left w:val="single" w:color="auto" w:sz="4" w:space="0"/>
              <w:bottom w:val="single" w:color="auto" w:sz="4" w:space="0"/>
              <w:right w:val="single" w:color="auto" w:sz="4" w:space="0"/>
            </w:tcBorders>
            <w:noWrap w:val="0"/>
            <w:vAlign w:val="center"/>
          </w:tcPr>
          <w:p w14:paraId="6A3E2153">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p>
        </w:tc>
        <w:tc>
          <w:tcPr>
            <w:tcW w:w="1440" w:type="dxa"/>
            <w:vMerge w:val="continue"/>
            <w:tcBorders>
              <w:left w:val="single" w:color="auto" w:sz="4" w:space="0"/>
              <w:bottom w:val="single" w:color="auto" w:sz="4" w:space="0"/>
              <w:right w:val="single" w:color="auto" w:sz="4" w:space="0"/>
            </w:tcBorders>
            <w:noWrap w:val="0"/>
            <w:vAlign w:val="center"/>
          </w:tcPr>
          <w:p w14:paraId="4EEB88A2">
            <w:pPr>
              <w:tabs>
                <w:tab w:val="left" w:pos="18"/>
              </w:tabs>
              <w:snapToGrid w:val="0"/>
              <w:spacing w:line="300" w:lineRule="exact"/>
              <w:ind w:firstLine="420" w:firstLineChars="0"/>
              <w:jc w:val="center"/>
              <w:rPr>
                <w:rFonts w:ascii="Times New Roman" w:hAnsi="Times New Roman" w:eastAsia="宋体" w:cs="Times New Roman"/>
                <w:color w:val="auto"/>
                <w:sz w:val="21"/>
                <w:szCs w:val="21"/>
              </w:rPr>
            </w:pPr>
          </w:p>
        </w:tc>
        <w:tc>
          <w:tcPr>
            <w:tcW w:w="2160" w:type="dxa"/>
            <w:vMerge w:val="continue"/>
            <w:tcBorders>
              <w:left w:val="single" w:color="auto" w:sz="4" w:space="0"/>
              <w:bottom w:val="single" w:color="auto" w:sz="4" w:space="0"/>
              <w:right w:val="single" w:color="auto" w:sz="4" w:space="0"/>
            </w:tcBorders>
            <w:noWrap w:val="0"/>
            <w:vAlign w:val="center"/>
          </w:tcPr>
          <w:p w14:paraId="73F856EE">
            <w:pPr>
              <w:tabs>
                <w:tab w:val="left" w:pos="18"/>
              </w:tabs>
              <w:snapToGrid w:val="0"/>
              <w:spacing w:line="300" w:lineRule="exact"/>
              <w:ind w:firstLine="420" w:firstLineChars="0"/>
              <w:jc w:val="center"/>
              <w:rPr>
                <w:rFonts w:ascii="Times New Roman" w:hAnsi="Times New Roman" w:eastAsia="宋体" w:cs="Times New Roman"/>
                <w:color w:val="auto"/>
                <w:sz w:val="21"/>
                <w:szCs w:val="21"/>
              </w:rPr>
            </w:pPr>
          </w:p>
        </w:tc>
      </w:tr>
      <w:tr w14:paraId="5DF4E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648" w:type="dxa"/>
            <w:tcBorders>
              <w:left w:val="single" w:color="auto" w:sz="4" w:space="0"/>
              <w:bottom w:val="single" w:color="auto" w:sz="4" w:space="0"/>
              <w:right w:val="single" w:color="auto" w:sz="4" w:space="0"/>
            </w:tcBorders>
            <w:shd w:val="clear" w:color="auto" w:fill="auto"/>
            <w:noWrap w:val="0"/>
            <w:vAlign w:val="center"/>
          </w:tcPr>
          <w:p w14:paraId="0E41B6F1">
            <w:pPr>
              <w:tabs>
                <w:tab w:val="left" w:pos="945"/>
                <w:tab w:val="left" w:pos="1155"/>
              </w:tabs>
              <w:snapToGrid w:val="0"/>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2160" w:type="dxa"/>
            <w:tcBorders>
              <w:left w:val="single" w:color="auto" w:sz="4" w:space="0"/>
              <w:bottom w:val="single" w:color="auto" w:sz="4" w:space="0"/>
              <w:right w:val="single" w:color="auto" w:sz="4" w:space="0"/>
            </w:tcBorders>
            <w:shd w:val="clear" w:color="auto" w:fill="auto"/>
            <w:noWrap w:val="0"/>
            <w:vAlign w:val="center"/>
          </w:tcPr>
          <w:p w14:paraId="5EDE49E3">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应急物资缺失或不齐</w:t>
            </w:r>
          </w:p>
        </w:tc>
        <w:tc>
          <w:tcPr>
            <w:tcW w:w="1260" w:type="dxa"/>
            <w:tcBorders>
              <w:left w:val="single" w:color="auto" w:sz="4" w:space="0"/>
              <w:bottom w:val="single" w:color="auto" w:sz="4" w:space="0"/>
              <w:right w:val="single" w:color="auto" w:sz="4" w:space="0"/>
            </w:tcBorders>
            <w:shd w:val="clear" w:color="auto" w:fill="auto"/>
            <w:noWrap w:val="0"/>
            <w:vAlign w:val="center"/>
          </w:tcPr>
          <w:p w14:paraId="4267CBA7">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救援资源不足</w:t>
            </w:r>
          </w:p>
        </w:tc>
        <w:tc>
          <w:tcPr>
            <w:tcW w:w="900" w:type="dxa"/>
            <w:tcBorders>
              <w:left w:val="single" w:color="auto" w:sz="4" w:space="0"/>
              <w:bottom w:val="single" w:color="auto" w:sz="4" w:space="0"/>
              <w:right w:val="single" w:color="auto" w:sz="4" w:space="0"/>
            </w:tcBorders>
            <w:shd w:val="clear" w:color="auto" w:fill="auto"/>
            <w:noWrap w:val="0"/>
            <w:vAlign w:val="center"/>
          </w:tcPr>
          <w:p w14:paraId="2037CD16">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w:t>
            </w:r>
          </w:p>
        </w:tc>
        <w:tc>
          <w:tcPr>
            <w:tcW w:w="900" w:type="dxa"/>
            <w:tcBorders>
              <w:left w:val="single" w:color="auto" w:sz="4" w:space="0"/>
              <w:bottom w:val="single" w:color="auto" w:sz="4" w:space="0"/>
              <w:right w:val="single" w:color="auto" w:sz="4" w:space="0"/>
            </w:tcBorders>
            <w:shd w:val="clear" w:color="auto" w:fill="auto"/>
            <w:noWrap w:val="0"/>
            <w:vAlign w:val="center"/>
          </w:tcPr>
          <w:p w14:paraId="61E0ED5B">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严重</w:t>
            </w:r>
          </w:p>
        </w:tc>
        <w:tc>
          <w:tcPr>
            <w:tcW w:w="1440" w:type="dxa"/>
            <w:tcBorders>
              <w:left w:val="single" w:color="auto" w:sz="4" w:space="0"/>
              <w:bottom w:val="single" w:color="auto" w:sz="4" w:space="0"/>
              <w:right w:val="single" w:color="auto" w:sz="4" w:space="0"/>
            </w:tcBorders>
            <w:shd w:val="clear" w:color="auto" w:fill="FF6600"/>
            <w:noWrap w:val="0"/>
            <w:vAlign w:val="center"/>
          </w:tcPr>
          <w:p w14:paraId="0454D685">
            <w:pPr>
              <w:tabs>
                <w:tab w:val="left" w:pos="18"/>
              </w:tabs>
              <w:snapToGrid w:val="0"/>
              <w:spacing w:line="300" w:lineRule="exact"/>
              <w:ind w:firstLine="0" w:firstLineChars="0"/>
              <w:jc w:val="center"/>
              <w:rPr>
                <w:rFonts w:ascii="Times New Roman" w:hAnsi="Times New Roman" w:eastAsia="宋体" w:cs="Times New Roman"/>
                <w:color w:val="auto"/>
                <w:sz w:val="21"/>
                <w:szCs w:val="21"/>
              </w:rPr>
            </w:pPr>
            <w:r>
              <w:rPr>
                <w:rFonts w:hint="eastAsia" w:ascii="宋体" w:hAnsi="宋体" w:eastAsia="宋体" w:cs="宋体"/>
                <w:color w:val="auto"/>
                <w:sz w:val="21"/>
                <w:szCs w:val="21"/>
              </w:rPr>
              <w:t>Ⅱ</w:t>
            </w:r>
            <w:r>
              <w:rPr>
                <w:rFonts w:ascii="Times New Roman" w:hAnsi="Times New Roman" w:eastAsia="宋体" w:cs="Times New Roman"/>
                <w:color w:val="auto"/>
                <w:sz w:val="21"/>
                <w:szCs w:val="21"/>
              </w:rPr>
              <w:t>级</w:t>
            </w:r>
          </w:p>
        </w:tc>
        <w:tc>
          <w:tcPr>
            <w:tcW w:w="2160" w:type="dxa"/>
            <w:tcBorders>
              <w:left w:val="single" w:color="auto" w:sz="4" w:space="0"/>
              <w:bottom w:val="single" w:color="auto" w:sz="4" w:space="0"/>
              <w:right w:val="single" w:color="auto" w:sz="4" w:space="0"/>
            </w:tcBorders>
            <w:noWrap w:val="0"/>
            <w:vAlign w:val="center"/>
          </w:tcPr>
          <w:p w14:paraId="17F3209B">
            <w:pPr>
              <w:tabs>
                <w:tab w:val="left" w:pos="18"/>
              </w:tabs>
              <w:snapToGrid w:val="0"/>
              <w:spacing w:line="300" w:lineRule="exact"/>
              <w:ind w:firstLine="0" w:firstLineChars="0"/>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建立运行控制程序，定期检查、评估</w:t>
            </w:r>
          </w:p>
        </w:tc>
      </w:tr>
      <w:tr w14:paraId="6300D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9FB45C6">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21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AF112F">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道路宽度、坡度、路面不符合要求</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D4E8716">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车辆伤害</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B1A5BC0">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977C5C1">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一般</w:t>
            </w:r>
          </w:p>
        </w:tc>
        <w:tc>
          <w:tcPr>
            <w:tcW w:w="144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648A8531">
            <w:pPr>
              <w:tabs>
                <w:tab w:val="left" w:pos="18"/>
              </w:tabs>
              <w:snapToGrid w:val="0"/>
              <w:spacing w:line="300" w:lineRule="exact"/>
              <w:ind w:firstLine="0" w:firstLineChars="0"/>
              <w:jc w:val="center"/>
              <w:rPr>
                <w:rFonts w:ascii="Times New Roman" w:hAnsi="Times New Roman" w:eastAsia="宋体" w:cs="Times New Roman"/>
                <w:color w:val="auto"/>
                <w:sz w:val="21"/>
                <w:szCs w:val="21"/>
              </w:rPr>
            </w:pPr>
            <w:r>
              <w:rPr>
                <w:rFonts w:hint="eastAsia" w:ascii="宋体" w:hAnsi="宋体" w:eastAsia="宋体" w:cs="宋体"/>
                <w:color w:val="auto"/>
                <w:sz w:val="21"/>
                <w:szCs w:val="21"/>
              </w:rPr>
              <w:t>Ⅲ</w:t>
            </w:r>
            <w:r>
              <w:rPr>
                <w:rFonts w:ascii="Times New Roman" w:hAnsi="Times New Roman" w:eastAsia="宋体" w:cs="Times New Roman"/>
                <w:color w:val="auto"/>
                <w:sz w:val="21"/>
                <w:szCs w:val="21"/>
              </w:rPr>
              <w:t>级</w:t>
            </w:r>
          </w:p>
        </w:tc>
        <w:tc>
          <w:tcPr>
            <w:tcW w:w="2160" w:type="dxa"/>
            <w:tcBorders>
              <w:top w:val="single" w:color="auto" w:sz="4" w:space="0"/>
              <w:left w:val="single" w:color="auto" w:sz="4" w:space="0"/>
              <w:bottom w:val="single" w:color="auto" w:sz="4" w:space="0"/>
              <w:right w:val="single" w:color="auto" w:sz="4" w:space="0"/>
            </w:tcBorders>
            <w:noWrap w:val="0"/>
            <w:vAlign w:val="top"/>
          </w:tcPr>
          <w:p w14:paraId="25449119">
            <w:pPr>
              <w:spacing w:line="240" w:lineRule="auto"/>
              <w:ind w:firstLine="0" w:firstLineChars="0"/>
              <w:rPr>
                <w:rFonts w:ascii="Times New Roman" w:hAnsi="Times New Roman" w:eastAsia="宋体" w:cs="Times New Roman"/>
                <w:color w:val="auto"/>
                <w:sz w:val="21"/>
              </w:rPr>
            </w:pPr>
            <w:r>
              <w:rPr>
                <w:rFonts w:hint="eastAsia" w:ascii="Times New Roman" w:hAnsi="Times New Roman" w:eastAsia="宋体" w:cs="Times New Roman"/>
                <w:color w:val="auto"/>
                <w:sz w:val="21"/>
                <w:szCs w:val="21"/>
              </w:rPr>
              <w:t>建立操作规程，加强培训</w:t>
            </w:r>
          </w:p>
        </w:tc>
      </w:tr>
      <w:tr w14:paraId="5D7FD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5BA4B67">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21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1926165">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道路陡峭和关键部位无安全护栏、安全标志</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4A1907">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高处</w:t>
            </w:r>
          </w:p>
          <w:p w14:paraId="573445D8">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坠落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446AF86">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8B870E">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较严重</w:t>
            </w:r>
          </w:p>
        </w:tc>
        <w:tc>
          <w:tcPr>
            <w:tcW w:w="144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24ECED29">
            <w:pPr>
              <w:tabs>
                <w:tab w:val="left" w:pos="18"/>
              </w:tabs>
              <w:snapToGrid w:val="0"/>
              <w:spacing w:line="300" w:lineRule="exact"/>
              <w:ind w:firstLine="0" w:firstLineChars="0"/>
              <w:jc w:val="center"/>
              <w:rPr>
                <w:rFonts w:ascii="Times New Roman" w:hAnsi="Times New Roman" w:eastAsia="宋体" w:cs="Times New Roman"/>
                <w:color w:val="auto"/>
                <w:sz w:val="21"/>
                <w:szCs w:val="21"/>
              </w:rPr>
            </w:pPr>
            <w:r>
              <w:rPr>
                <w:rFonts w:hint="eastAsia" w:ascii="宋体" w:hAnsi="宋体" w:eastAsia="宋体" w:cs="宋体"/>
                <w:color w:val="auto"/>
                <w:sz w:val="21"/>
                <w:szCs w:val="21"/>
              </w:rPr>
              <w:t>Ⅲ</w:t>
            </w:r>
            <w:r>
              <w:rPr>
                <w:rFonts w:ascii="Times New Roman" w:hAnsi="Times New Roman" w:eastAsia="宋体" w:cs="Times New Roman"/>
                <w:color w:val="auto"/>
                <w:sz w:val="21"/>
                <w:szCs w:val="21"/>
              </w:rPr>
              <w:t>级</w:t>
            </w:r>
          </w:p>
        </w:tc>
        <w:tc>
          <w:tcPr>
            <w:tcW w:w="2160" w:type="dxa"/>
            <w:tcBorders>
              <w:top w:val="single" w:color="auto" w:sz="4" w:space="0"/>
              <w:left w:val="single" w:color="auto" w:sz="4" w:space="0"/>
              <w:bottom w:val="single" w:color="auto" w:sz="4" w:space="0"/>
              <w:right w:val="single" w:color="auto" w:sz="4" w:space="0"/>
            </w:tcBorders>
            <w:noWrap w:val="0"/>
            <w:vAlign w:val="top"/>
          </w:tcPr>
          <w:p w14:paraId="3848B412">
            <w:pPr>
              <w:spacing w:line="240" w:lineRule="auto"/>
              <w:ind w:firstLine="0" w:firstLineChars="0"/>
              <w:rPr>
                <w:rFonts w:ascii="Times New Roman" w:hAnsi="Times New Roman" w:eastAsia="宋体" w:cs="Times New Roman"/>
                <w:color w:val="auto"/>
                <w:sz w:val="21"/>
              </w:rPr>
            </w:pPr>
            <w:r>
              <w:rPr>
                <w:rFonts w:hint="eastAsia" w:ascii="Times New Roman" w:hAnsi="Times New Roman" w:eastAsia="宋体" w:cs="Times New Roman"/>
                <w:color w:val="auto"/>
                <w:sz w:val="21"/>
                <w:szCs w:val="21"/>
              </w:rPr>
              <w:t>建立操作规程，加强培训</w:t>
            </w:r>
          </w:p>
        </w:tc>
      </w:tr>
      <w:tr w14:paraId="7486E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C13917F">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21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E28CFED">
            <w:pPr>
              <w:widowControl/>
              <w:spacing w:line="300" w:lineRule="exact"/>
              <w:ind w:firstLine="0" w:firstLineChars="0"/>
              <w:jc w:val="left"/>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挖掘机、车辆行驶中刹车失灵</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5089494">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机械</w:t>
            </w:r>
          </w:p>
          <w:p w14:paraId="4FDCBE43">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伤害</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635CE36">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B5CB91">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较严重</w:t>
            </w:r>
          </w:p>
        </w:tc>
        <w:tc>
          <w:tcPr>
            <w:tcW w:w="144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4F8F0007">
            <w:pPr>
              <w:tabs>
                <w:tab w:val="left" w:pos="18"/>
              </w:tabs>
              <w:snapToGrid w:val="0"/>
              <w:spacing w:line="300" w:lineRule="exact"/>
              <w:ind w:firstLine="0" w:firstLineChars="0"/>
              <w:jc w:val="center"/>
              <w:rPr>
                <w:rFonts w:ascii="Times New Roman" w:hAnsi="Times New Roman" w:eastAsia="宋体" w:cs="Times New Roman"/>
                <w:color w:val="auto"/>
                <w:sz w:val="21"/>
                <w:szCs w:val="21"/>
              </w:rPr>
            </w:pPr>
            <w:r>
              <w:rPr>
                <w:rFonts w:hint="eastAsia" w:ascii="宋体" w:hAnsi="宋体" w:eastAsia="宋体" w:cs="宋体"/>
                <w:color w:val="auto"/>
                <w:sz w:val="21"/>
                <w:szCs w:val="21"/>
              </w:rPr>
              <w:t>Ⅲ</w:t>
            </w:r>
            <w:r>
              <w:rPr>
                <w:rFonts w:ascii="Times New Roman" w:hAnsi="Times New Roman" w:eastAsia="宋体" w:cs="Times New Roman"/>
                <w:color w:val="auto"/>
                <w:sz w:val="21"/>
                <w:szCs w:val="21"/>
              </w:rPr>
              <w:t>级</w:t>
            </w:r>
          </w:p>
        </w:tc>
        <w:tc>
          <w:tcPr>
            <w:tcW w:w="2160" w:type="dxa"/>
            <w:tcBorders>
              <w:top w:val="single" w:color="auto" w:sz="4" w:space="0"/>
              <w:left w:val="single" w:color="auto" w:sz="4" w:space="0"/>
              <w:bottom w:val="single" w:color="auto" w:sz="4" w:space="0"/>
              <w:right w:val="single" w:color="auto" w:sz="4" w:space="0"/>
            </w:tcBorders>
            <w:noWrap w:val="0"/>
            <w:vAlign w:val="top"/>
          </w:tcPr>
          <w:p w14:paraId="241233C5">
            <w:pPr>
              <w:spacing w:line="240" w:lineRule="auto"/>
              <w:ind w:firstLine="0" w:firstLineChars="0"/>
              <w:rPr>
                <w:rFonts w:ascii="Times New Roman" w:hAnsi="Times New Roman" w:eastAsia="宋体" w:cs="Times New Roman"/>
                <w:color w:val="auto"/>
                <w:sz w:val="21"/>
              </w:rPr>
            </w:pPr>
            <w:r>
              <w:rPr>
                <w:rFonts w:hint="eastAsia" w:ascii="Times New Roman" w:hAnsi="Times New Roman" w:eastAsia="宋体" w:cs="Times New Roman"/>
                <w:color w:val="auto"/>
                <w:sz w:val="21"/>
                <w:szCs w:val="21"/>
              </w:rPr>
              <w:t>建立操作规程，加强培训</w:t>
            </w:r>
          </w:p>
        </w:tc>
      </w:tr>
      <w:tr w14:paraId="6D05A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E04F628">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5</w:t>
            </w:r>
          </w:p>
        </w:tc>
        <w:tc>
          <w:tcPr>
            <w:tcW w:w="21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61489D1">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道路、坝体、滩面、排水井、其他地段照明不足</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1378FC2">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可能造成夜间巡查不畅或高处坠落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6FF673C">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577928E">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轻微</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7A2AA132">
            <w:pPr>
              <w:spacing w:line="240" w:lineRule="auto"/>
              <w:ind w:firstLine="0" w:firstLineChars="0"/>
              <w:jc w:val="center"/>
              <w:rPr>
                <w:rFonts w:ascii="Times New Roman" w:hAnsi="Times New Roman" w:eastAsia="宋体" w:cs="Times New Roman"/>
                <w:color w:val="auto"/>
                <w:sz w:val="21"/>
              </w:rPr>
            </w:pPr>
            <w:r>
              <w:rPr>
                <w:rFonts w:hint="eastAsia" w:ascii="宋体" w:hAnsi="宋体" w:eastAsia="宋体" w:cs="宋体"/>
                <w:color w:val="auto"/>
                <w:sz w:val="21"/>
                <w:szCs w:val="21"/>
              </w:rPr>
              <w:t>Ⅳ</w:t>
            </w:r>
            <w:r>
              <w:rPr>
                <w:rFonts w:ascii="Times New Roman" w:hAnsi="Times New Roman" w:eastAsia="宋体" w:cs="Times New Roman"/>
                <w:color w:val="auto"/>
                <w:sz w:val="21"/>
                <w:szCs w:val="21"/>
              </w:rPr>
              <w:t>级</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026BAF6B">
            <w:pPr>
              <w:tabs>
                <w:tab w:val="left" w:pos="18"/>
              </w:tabs>
              <w:snapToGrid w:val="0"/>
              <w:spacing w:line="300" w:lineRule="exact"/>
              <w:ind w:firstLine="0" w:firstLineChars="0"/>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建立操作规程、作业指导书，定期检查</w:t>
            </w:r>
          </w:p>
        </w:tc>
      </w:tr>
      <w:tr w14:paraId="105B5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6D06089">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w:t>
            </w:r>
          </w:p>
        </w:tc>
        <w:tc>
          <w:tcPr>
            <w:tcW w:w="21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6FB12F">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值班房、应急物资库、电气设备失火</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3E07B0">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火灾</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62D83E8">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6DD696A">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一般</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1BCA6AB4">
            <w:pPr>
              <w:spacing w:line="240" w:lineRule="auto"/>
              <w:ind w:firstLine="0" w:firstLineChars="0"/>
              <w:jc w:val="center"/>
              <w:rPr>
                <w:rFonts w:ascii="Times New Roman" w:hAnsi="Times New Roman" w:eastAsia="宋体" w:cs="Times New Roman"/>
                <w:color w:val="auto"/>
                <w:sz w:val="21"/>
              </w:rPr>
            </w:pPr>
            <w:r>
              <w:rPr>
                <w:rFonts w:hint="eastAsia" w:ascii="宋体" w:hAnsi="宋体" w:eastAsia="宋体" w:cs="宋体"/>
                <w:color w:val="auto"/>
                <w:sz w:val="21"/>
                <w:szCs w:val="21"/>
              </w:rPr>
              <w:t>Ⅳ</w:t>
            </w:r>
            <w:r>
              <w:rPr>
                <w:rFonts w:ascii="Times New Roman" w:hAnsi="Times New Roman" w:eastAsia="宋体" w:cs="Times New Roman"/>
                <w:color w:val="auto"/>
                <w:sz w:val="21"/>
                <w:szCs w:val="21"/>
              </w:rPr>
              <w:t>级</w:t>
            </w:r>
          </w:p>
        </w:tc>
        <w:tc>
          <w:tcPr>
            <w:tcW w:w="2160" w:type="dxa"/>
            <w:tcBorders>
              <w:top w:val="single" w:color="auto" w:sz="4" w:space="0"/>
              <w:left w:val="single" w:color="auto" w:sz="4" w:space="0"/>
              <w:bottom w:val="single" w:color="auto" w:sz="4" w:space="0"/>
              <w:right w:val="single" w:color="auto" w:sz="4" w:space="0"/>
            </w:tcBorders>
            <w:noWrap w:val="0"/>
            <w:vAlign w:val="top"/>
          </w:tcPr>
          <w:p w14:paraId="4753B51D">
            <w:pPr>
              <w:spacing w:line="240" w:lineRule="auto"/>
              <w:ind w:firstLine="0" w:firstLineChars="0"/>
              <w:rPr>
                <w:rFonts w:ascii="Times New Roman" w:hAnsi="Times New Roman" w:eastAsia="宋体" w:cs="Times New Roman"/>
                <w:color w:val="auto"/>
                <w:sz w:val="21"/>
              </w:rPr>
            </w:pPr>
            <w:r>
              <w:rPr>
                <w:rFonts w:hint="eastAsia" w:ascii="Times New Roman" w:hAnsi="Times New Roman" w:eastAsia="宋体" w:cs="Times New Roman"/>
                <w:color w:val="auto"/>
                <w:sz w:val="21"/>
                <w:szCs w:val="21"/>
              </w:rPr>
              <w:t>建立操作规程、作业指导书，定期检查</w:t>
            </w:r>
          </w:p>
        </w:tc>
      </w:tr>
      <w:tr w14:paraId="6789A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176F2B1">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7</w:t>
            </w:r>
          </w:p>
        </w:tc>
        <w:tc>
          <w:tcPr>
            <w:tcW w:w="21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F50FDC2">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安全标志、避灾线路标识缺失或不齐</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A986F60">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无法预知安全风险</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86C987B">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A90A7E">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轻微</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2838FB47">
            <w:pPr>
              <w:spacing w:line="240" w:lineRule="auto"/>
              <w:ind w:firstLine="0" w:firstLineChars="0"/>
              <w:jc w:val="center"/>
              <w:rPr>
                <w:rFonts w:ascii="Times New Roman" w:hAnsi="Times New Roman" w:eastAsia="宋体" w:cs="Times New Roman"/>
                <w:color w:val="auto"/>
                <w:sz w:val="21"/>
              </w:rPr>
            </w:pPr>
            <w:r>
              <w:rPr>
                <w:rFonts w:hint="eastAsia" w:ascii="宋体" w:hAnsi="宋体" w:eastAsia="宋体" w:cs="宋体"/>
                <w:color w:val="auto"/>
                <w:sz w:val="21"/>
                <w:szCs w:val="21"/>
              </w:rPr>
              <w:t>Ⅳ</w:t>
            </w:r>
            <w:r>
              <w:rPr>
                <w:rFonts w:ascii="Times New Roman" w:hAnsi="Times New Roman" w:eastAsia="宋体" w:cs="Times New Roman"/>
                <w:color w:val="auto"/>
                <w:sz w:val="21"/>
                <w:szCs w:val="21"/>
              </w:rPr>
              <w:t>级</w:t>
            </w:r>
          </w:p>
        </w:tc>
        <w:tc>
          <w:tcPr>
            <w:tcW w:w="2160" w:type="dxa"/>
            <w:tcBorders>
              <w:top w:val="single" w:color="auto" w:sz="4" w:space="0"/>
              <w:left w:val="single" w:color="auto" w:sz="4" w:space="0"/>
              <w:bottom w:val="single" w:color="auto" w:sz="4" w:space="0"/>
              <w:right w:val="single" w:color="auto" w:sz="4" w:space="0"/>
            </w:tcBorders>
            <w:noWrap w:val="0"/>
            <w:vAlign w:val="top"/>
          </w:tcPr>
          <w:p w14:paraId="48CB03EC">
            <w:pPr>
              <w:spacing w:line="240" w:lineRule="auto"/>
              <w:ind w:firstLine="0" w:firstLineChars="0"/>
              <w:rPr>
                <w:rFonts w:ascii="Times New Roman" w:hAnsi="Times New Roman" w:eastAsia="宋体" w:cs="Times New Roman"/>
                <w:color w:val="auto"/>
                <w:sz w:val="21"/>
              </w:rPr>
            </w:pPr>
            <w:r>
              <w:rPr>
                <w:rFonts w:hint="eastAsia" w:ascii="Times New Roman" w:hAnsi="Times New Roman" w:eastAsia="宋体" w:cs="Times New Roman"/>
                <w:color w:val="auto"/>
                <w:sz w:val="21"/>
                <w:szCs w:val="21"/>
              </w:rPr>
              <w:t>建立操作规程、作业指导书，定期检查</w:t>
            </w:r>
          </w:p>
        </w:tc>
      </w:tr>
      <w:tr w14:paraId="4E6E2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2B41F71">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8</w:t>
            </w:r>
          </w:p>
        </w:tc>
        <w:tc>
          <w:tcPr>
            <w:tcW w:w="21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BE24D60">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库房受洪水冲击，或大雪压垮</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C5A25F2">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垮塌</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90EFA97">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可能性小</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04C8326">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较严重</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2BFBBE06">
            <w:pPr>
              <w:spacing w:line="240" w:lineRule="auto"/>
              <w:ind w:firstLine="0" w:firstLineChars="0"/>
              <w:jc w:val="center"/>
              <w:rPr>
                <w:rFonts w:ascii="Times New Roman" w:hAnsi="Times New Roman" w:eastAsia="宋体" w:cs="Times New Roman"/>
                <w:color w:val="auto"/>
                <w:sz w:val="21"/>
              </w:rPr>
            </w:pPr>
            <w:r>
              <w:rPr>
                <w:rFonts w:hint="eastAsia" w:ascii="宋体" w:hAnsi="宋体" w:eastAsia="宋体" w:cs="宋体"/>
                <w:color w:val="auto"/>
                <w:sz w:val="21"/>
                <w:szCs w:val="21"/>
              </w:rPr>
              <w:t>Ⅳ</w:t>
            </w:r>
            <w:r>
              <w:rPr>
                <w:rFonts w:ascii="Times New Roman" w:hAnsi="Times New Roman" w:eastAsia="宋体" w:cs="Times New Roman"/>
                <w:color w:val="auto"/>
                <w:sz w:val="21"/>
                <w:szCs w:val="21"/>
              </w:rPr>
              <w:t>级</w:t>
            </w:r>
          </w:p>
        </w:tc>
        <w:tc>
          <w:tcPr>
            <w:tcW w:w="2160" w:type="dxa"/>
            <w:tcBorders>
              <w:top w:val="single" w:color="auto" w:sz="4" w:space="0"/>
              <w:left w:val="single" w:color="auto" w:sz="4" w:space="0"/>
              <w:bottom w:val="single" w:color="auto" w:sz="4" w:space="0"/>
              <w:right w:val="single" w:color="auto" w:sz="4" w:space="0"/>
            </w:tcBorders>
            <w:noWrap w:val="0"/>
            <w:vAlign w:val="top"/>
          </w:tcPr>
          <w:p w14:paraId="4CD0C498">
            <w:pPr>
              <w:spacing w:line="240" w:lineRule="auto"/>
              <w:ind w:firstLine="0" w:firstLineChars="0"/>
              <w:rPr>
                <w:rFonts w:ascii="Times New Roman" w:hAnsi="Times New Roman" w:eastAsia="宋体" w:cs="Times New Roman"/>
                <w:color w:val="auto"/>
                <w:sz w:val="21"/>
              </w:rPr>
            </w:pPr>
            <w:r>
              <w:rPr>
                <w:rFonts w:hint="eastAsia" w:ascii="Times New Roman" w:hAnsi="Times New Roman" w:eastAsia="宋体" w:cs="Times New Roman"/>
                <w:color w:val="auto"/>
                <w:sz w:val="21"/>
                <w:szCs w:val="21"/>
              </w:rPr>
              <w:t>建立操作规程、作业指导书，定期检查</w:t>
            </w:r>
          </w:p>
        </w:tc>
      </w:tr>
      <w:tr w14:paraId="58A32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5CB9CD">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9</w:t>
            </w:r>
          </w:p>
        </w:tc>
        <w:tc>
          <w:tcPr>
            <w:tcW w:w="21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4E2BBB6">
            <w:pPr>
              <w:widowControl/>
              <w:spacing w:line="300" w:lineRule="exact"/>
              <w:ind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未配备通讯设备，或通讯设备维护不当，无法使用</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D3D10CE">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预警</w:t>
            </w:r>
          </w:p>
          <w:p w14:paraId="59EB541A">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不及时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B4C0F8">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2F17668">
            <w:pPr>
              <w:tabs>
                <w:tab w:val="left" w:pos="945"/>
                <w:tab w:val="left" w:pos="1155"/>
              </w:tabs>
              <w:snapToGrid w:val="0"/>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轻微</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1173DA42">
            <w:pPr>
              <w:spacing w:line="240" w:lineRule="auto"/>
              <w:ind w:firstLine="0" w:firstLineChars="0"/>
              <w:jc w:val="center"/>
              <w:rPr>
                <w:rFonts w:ascii="Times New Roman" w:hAnsi="Times New Roman" w:eastAsia="宋体" w:cs="Times New Roman"/>
                <w:color w:val="auto"/>
                <w:sz w:val="21"/>
              </w:rPr>
            </w:pPr>
            <w:r>
              <w:rPr>
                <w:rFonts w:hint="eastAsia" w:ascii="宋体" w:hAnsi="宋体" w:eastAsia="宋体" w:cs="宋体"/>
                <w:color w:val="auto"/>
                <w:sz w:val="21"/>
                <w:szCs w:val="21"/>
              </w:rPr>
              <w:t>Ⅳ</w:t>
            </w:r>
            <w:r>
              <w:rPr>
                <w:rFonts w:ascii="Times New Roman" w:hAnsi="Times New Roman" w:eastAsia="宋体" w:cs="Times New Roman"/>
                <w:color w:val="auto"/>
                <w:sz w:val="21"/>
                <w:szCs w:val="21"/>
              </w:rPr>
              <w:t>级</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10F8FF1B">
            <w:pPr>
              <w:tabs>
                <w:tab w:val="left" w:pos="18"/>
              </w:tabs>
              <w:snapToGrid w:val="0"/>
              <w:spacing w:line="300" w:lineRule="exact"/>
              <w:ind w:firstLine="0" w:firstLineChars="0"/>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建立操作规程、作业指导书，定期检查</w:t>
            </w:r>
          </w:p>
        </w:tc>
      </w:tr>
    </w:tbl>
    <w:p w14:paraId="396FAEC4">
      <w:pPr>
        <w:bidi w:val="0"/>
        <w:rPr>
          <w:rFonts w:hint="default"/>
          <w:color w:val="auto"/>
          <w:lang w:val="en-US" w:eastAsia="zh-CN"/>
        </w:rPr>
      </w:pPr>
      <w:r>
        <w:rPr>
          <w:rFonts w:hint="default"/>
          <w:color w:val="auto"/>
          <w:lang w:val="en-US" w:eastAsia="zh-CN"/>
        </w:rPr>
        <w:t>可知，杨家店尾矿库辅助设施可能存在：应急物资缺失或不齐</w:t>
      </w:r>
      <w:r>
        <w:rPr>
          <w:rFonts w:hint="eastAsia"/>
          <w:color w:val="auto"/>
          <w:lang w:val="en-US" w:eastAsia="zh-CN"/>
        </w:rPr>
        <w:t>1</w:t>
      </w:r>
      <w:r>
        <w:rPr>
          <w:rFonts w:hint="default"/>
          <w:color w:val="auto"/>
          <w:lang w:val="en-US" w:eastAsia="zh-CN"/>
        </w:rPr>
        <w:t>类</w:t>
      </w:r>
      <w:r>
        <w:rPr>
          <w:rFonts w:hint="eastAsia" w:ascii="宋体" w:hAnsi="宋体" w:eastAsia="宋体" w:cs="宋体"/>
          <w:color w:val="auto"/>
          <w:lang w:val="en-US" w:eastAsia="zh-CN"/>
        </w:rPr>
        <w:t>Ⅱ</w:t>
      </w:r>
      <w:r>
        <w:rPr>
          <w:rFonts w:hint="default"/>
          <w:color w:val="auto"/>
          <w:lang w:val="en-US" w:eastAsia="zh-CN"/>
        </w:rPr>
        <w:t>级安全风险；道路宽度、坡度、路面不符合要求，道路陡峭和关键部位无安全护栏、安全标志，挖掘机、车辆行驶中刹车失灵等</w:t>
      </w:r>
      <w:r>
        <w:rPr>
          <w:rFonts w:hint="eastAsia"/>
          <w:color w:val="auto"/>
          <w:lang w:val="en-US" w:eastAsia="zh-CN"/>
        </w:rPr>
        <w:t>3</w:t>
      </w:r>
      <w:r>
        <w:rPr>
          <w:rFonts w:hint="default"/>
          <w:color w:val="auto"/>
          <w:lang w:val="en-US" w:eastAsia="zh-CN"/>
        </w:rPr>
        <w:t>类</w:t>
      </w:r>
      <w:r>
        <w:rPr>
          <w:rFonts w:hint="eastAsia" w:ascii="宋体" w:hAnsi="宋体" w:eastAsia="宋体" w:cs="宋体"/>
          <w:color w:val="auto"/>
          <w:lang w:val="en-US" w:eastAsia="zh-CN"/>
        </w:rPr>
        <w:t>Ⅲ</w:t>
      </w:r>
      <w:r>
        <w:rPr>
          <w:rFonts w:hint="default"/>
          <w:color w:val="auto"/>
          <w:lang w:val="en-US" w:eastAsia="zh-CN"/>
        </w:rPr>
        <w:t>级安全风险；道路、坝体、滩面、排水井、其他地段照明不足，值班房、应急物资库、电气设备失火，安全标志、避灾线路标识缺失或不齐，未配备通讯设备，或通讯设备维护不当、无法使用等</w:t>
      </w:r>
      <w:r>
        <w:rPr>
          <w:rFonts w:hint="eastAsia"/>
          <w:color w:val="auto"/>
          <w:lang w:val="en-US" w:eastAsia="zh-CN"/>
        </w:rPr>
        <w:t>4</w:t>
      </w:r>
      <w:r>
        <w:rPr>
          <w:rFonts w:hint="default"/>
          <w:color w:val="auto"/>
          <w:lang w:val="en-US" w:eastAsia="zh-CN"/>
        </w:rPr>
        <w:t>类</w:t>
      </w:r>
      <w:r>
        <w:rPr>
          <w:rFonts w:hint="eastAsia" w:ascii="宋体" w:hAnsi="宋体" w:eastAsia="宋体" w:cs="宋体"/>
          <w:color w:val="auto"/>
          <w:lang w:val="en-US" w:eastAsia="zh-CN"/>
        </w:rPr>
        <w:t>Ⅳ</w:t>
      </w:r>
      <w:r>
        <w:rPr>
          <w:rFonts w:hint="default"/>
          <w:color w:val="auto"/>
          <w:lang w:val="en-US" w:eastAsia="zh-CN"/>
        </w:rPr>
        <w:t>级安全风险。</w:t>
      </w:r>
    </w:p>
    <w:p w14:paraId="71C6FD2C">
      <w:pPr>
        <w:bidi w:val="0"/>
        <w:rPr>
          <w:rFonts w:hint="default"/>
          <w:color w:val="auto"/>
          <w:lang w:val="en-US" w:eastAsia="zh-CN"/>
        </w:rPr>
      </w:pPr>
      <w:r>
        <w:rPr>
          <w:rFonts w:hint="default"/>
          <w:color w:val="auto"/>
          <w:lang w:val="en-US" w:eastAsia="zh-CN"/>
        </w:rPr>
        <w:t>（5）采用LS法风险分析，杨家店尾矿库周边环境可能存在的事故类别及其风险等级详见下表。</w:t>
      </w:r>
    </w:p>
    <w:p w14:paraId="6E265568">
      <w:pPr>
        <w:bidi w:val="0"/>
        <w:ind w:left="0" w:leftChars="0" w:firstLine="0" w:firstLineChars="0"/>
        <w:jc w:val="center"/>
        <w:rPr>
          <w:rFonts w:hint="default"/>
          <w:color w:val="auto"/>
          <w:lang w:val="en-US" w:eastAsia="zh-CN"/>
        </w:rPr>
      </w:pPr>
      <w:r>
        <w:rPr>
          <w:rFonts w:hint="default"/>
          <w:color w:val="auto"/>
          <w:lang w:val="en-US" w:eastAsia="zh-CN"/>
        </w:rPr>
        <w:t>表5.5-</w:t>
      </w:r>
      <w:r>
        <w:rPr>
          <w:rFonts w:hint="eastAsia"/>
          <w:color w:val="auto"/>
          <w:lang w:val="en-US" w:eastAsia="zh-CN"/>
        </w:rPr>
        <w:t>5</w:t>
      </w:r>
      <w:r>
        <w:rPr>
          <w:rFonts w:hint="default"/>
          <w:color w:val="auto"/>
          <w:lang w:val="en-US" w:eastAsia="zh-CN"/>
        </w:rPr>
        <w:t xml:space="preserve"> LS法杨家店尾矿库周边环境事故类别与风险等级一览表</w:t>
      </w:r>
    </w:p>
    <w:tbl>
      <w:tblPr>
        <w:tblStyle w:val="19"/>
        <w:tblpPr w:leftFromText="180" w:rightFromText="180" w:vertAnchor="text" w:horzAnchor="margin" w:tblpX="-72" w:tblpY="313"/>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8"/>
        <w:gridCol w:w="1692"/>
        <w:gridCol w:w="1620"/>
        <w:gridCol w:w="900"/>
        <w:gridCol w:w="900"/>
        <w:gridCol w:w="1440"/>
        <w:gridCol w:w="2160"/>
      </w:tblGrid>
      <w:tr w14:paraId="380B4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468" w:type="dxa"/>
            <w:vMerge w:val="restart"/>
            <w:tcBorders>
              <w:top w:val="single" w:color="auto" w:sz="4" w:space="0"/>
              <w:left w:val="single" w:color="auto" w:sz="4" w:space="0"/>
              <w:right w:val="single" w:color="auto" w:sz="4" w:space="0"/>
            </w:tcBorders>
            <w:noWrap w:val="0"/>
            <w:vAlign w:val="center"/>
          </w:tcPr>
          <w:p w14:paraId="6BFDC101">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序号</w:t>
            </w:r>
          </w:p>
        </w:tc>
        <w:tc>
          <w:tcPr>
            <w:tcW w:w="1692" w:type="dxa"/>
            <w:vMerge w:val="restart"/>
            <w:tcBorders>
              <w:top w:val="single" w:color="auto" w:sz="4" w:space="0"/>
              <w:left w:val="single" w:color="auto" w:sz="4" w:space="0"/>
              <w:right w:val="single" w:color="auto" w:sz="4" w:space="0"/>
            </w:tcBorders>
            <w:noWrap w:val="0"/>
            <w:vAlign w:val="center"/>
          </w:tcPr>
          <w:p w14:paraId="259C4F1D">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危险源</w:t>
            </w:r>
          </w:p>
          <w:p w14:paraId="0A2305E8">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及风险</w:t>
            </w:r>
          </w:p>
        </w:tc>
        <w:tc>
          <w:tcPr>
            <w:tcW w:w="1620" w:type="dxa"/>
            <w:vMerge w:val="restart"/>
            <w:tcBorders>
              <w:top w:val="single" w:color="auto" w:sz="4" w:space="0"/>
              <w:left w:val="single" w:color="auto" w:sz="4" w:space="0"/>
              <w:right w:val="single" w:color="auto" w:sz="4" w:space="0"/>
            </w:tcBorders>
            <w:noWrap w:val="0"/>
            <w:vAlign w:val="center"/>
          </w:tcPr>
          <w:p w14:paraId="6F81F68D">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可能后果</w:t>
            </w:r>
          </w:p>
        </w:tc>
        <w:tc>
          <w:tcPr>
            <w:tcW w:w="900" w:type="dxa"/>
            <w:vMerge w:val="restart"/>
            <w:tcBorders>
              <w:top w:val="single" w:color="auto" w:sz="4" w:space="0"/>
              <w:left w:val="single" w:color="auto" w:sz="4" w:space="0"/>
              <w:right w:val="single" w:color="auto" w:sz="4" w:space="0"/>
            </w:tcBorders>
            <w:noWrap w:val="0"/>
            <w:vAlign w:val="center"/>
          </w:tcPr>
          <w:p w14:paraId="1D68F79F">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可能性</w:t>
            </w:r>
          </w:p>
        </w:tc>
        <w:tc>
          <w:tcPr>
            <w:tcW w:w="900" w:type="dxa"/>
            <w:vMerge w:val="restart"/>
            <w:tcBorders>
              <w:top w:val="single" w:color="auto" w:sz="4" w:space="0"/>
              <w:left w:val="single" w:color="auto" w:sz="4" w:space="0"/>
              <w:right w:val="single" w:color="auto" w:sz="4" w:space="0"/>
            </w:tcBorders>
            <w:noWrap w:val="0"/>
            <w:vAlign w:val="center"/>
          </w:tcPr>
          <w:p w14:paraId="52C0E183">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严重性</w:t>
            </w:r>
          </w:p>
        </w:tc>
        <w:tc>
          <w:tcPr>
            <w:tcW w:w="1440" w:type="dxa"/>
            <w:vMerge w:val="restart"/>
            <w:tcBorders>
              <w:top w:val="single" w:color="auto" w:sz="4" w:space="0"/>
              <w:left w:val="single" w:color="auto" w:sz="4" w:space="0"/>
              <w:right w:val="single" w:color="auto" w:sz="4" w:space="0"/>
            </w:tcBorders>
            <w:noWrap w:val="0"/>
            <w:vAlign w:val="center"/>
          </w:tcPr>
          <w:p w14:paraId="4F5110A8">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危险性程度（风险等级）</w:t>
            </w:r>
          </w:p>
        </w:tc>
        <w:tc>
          <w:tcPr>
            <w:tcW w:w="2160" w:type="dxa"/>
            <w:vMerge w:val="restart"/>
            <w:tcBorders>
              <w:top w:val="single" w:color="auto" w:sz="4" w:space="0"/>
              <w:left w:val="single" w:color="auto" w:sz="4" w:space="0"/>
              <w:right w:val="single" w:color="auto" w:sz="4" w:space="0"/>
            </w:tcBorders>
            <w:noWrap w:val="0"/>
            <w:vAlign w:val="center"/>
          </w:tcPr>
          <w:p w14:paraId="608ED8FB">
            <w:pPr>
              <w:tabs>
                <w:tab w:val="left" w:pos="18"/>
              </w:tabs>
              <w:snapToGrid w:val="0"/>
              <w:spacing w:line="300" w:lineRule="exact"/>
              <w:ind w:firstLine="0" w:firstLineChars="0"/>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处置方案</w:t>
            </w:r>
          </w:p>
        </w:tc>
      </w:tr>
      <w:tr w14:paraId="0B3BA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468" w:type="dxa"/>
            <w:vMerge w:val="continue"/>
            <w:tcBorders>
              <w:left w:val="single" w:color="auto" w:sz="4" w:space="0"/>
              <w:bottom w:val="single" w:color="auto" w:sz="4" w:space="0"/>
              <w:right w:val="single" w:color="auto" w:sz="4" w:space="0"/>
            </w:tcBorders>
            <w:noWrap w:val="0"/>
            <w:vAlign w:val="center"/>
          </w:tcPr>
          <w:p w14:paraId="72EC7BDA">
            <w:pPr>
              <w:tabs>
                <w:tab w:val="left" w:pos="18"/>
              </w:tabs>
              <w:snapToGrid w:val="0"/>
              <w:spacing w:line="300" w:lineRule="exact"/>
              <w:ind w:firstLine="0" w:firstLineChars="0"/>
              <w:jc w:val="center"/>
              <w:rPr>
                <w:rFonts w:hint="eastAsia" w:ascii="宋体" w:hAnsi="宋体" w:eastAsia="宋体" w:cs="宋体"/>
                <w:color w:val="auto"/>
                <w:sz w:val="21"/>
                <w:szCs w:val="21"/>
              </w:rPr>
            </w:pPr>
          </w:p>
        </w:tc>
        <w:tc>
          <w:tcPr>
            <w:tcW w:w="1692" w:type="dxa"/>
            <w:vMerge w:val="continue"/>
            <w:tcBorders>
              <w:left w:val="single" w:color="auto" w:sz="4" w:space="0"/>
              <w:bottom w:val="single" w:color="auto" w:sz="4" w:space="0"/>
              <w:right w:val="single" w:color="auto" w:sz="4" w:space="0"/>
            </w:tcBorders>
            <w:noWrap w:val="0"/>
            <w:vAlign w:val="center"/>
          </w:tcPr>
          <w:p w14:paraId="28E91462">
            <w:pPr>
              <w:tabs>
                <w:tab w:val="left" w:pos="18"/>
              </w:tabs>
              <w:snapToGrid w:val="0"/>
              <w:spacing w:line="300" w:lineRule="exact"/>
              <w:ind w:firstLine="0" w:firstLineChars="0"/>
              <w:jc w:val="center"/>
              <w:rPr>
                <w:rFonts w:hint="eastAsia" w:ascii="宋体" w:hAnsi="宋体" w:eastAsia="宋体" w:cs="宋体"/>
                <w:color w:val="auto"/>
                <w:sz w:val="21"/>
                <w:szCs w:val="21"/>
              </w:rPr>
            </w:pPr>
          </w:p>
        </w:tc>
        <w:tc>
          <w:tcPr>
            <w:tcW w:w="1620" w:type="dxa"/>
            <w:vMerge w:val="continue"/>
            <w:tcBorders>
              <w:left w:val="single" w:color="auto" w:sz="4" w:space="0"/>
              <w:bottom w:val="single" w:color="auto" w:sz="4" w:space="0"/>
              <w:right w:val="single" w:color="auto" w:sz="4" w:space="0"/>
            </w:tcBorders>
            <w:noWrap w:val="0"/>
            <w:vAlign w:val="center"/>
          </w:tcPr>
          <w:p w14:paraId="6F2C4E3C">
            <w:pPr>
              <w:tabs>
                <w:tab w:val="left" w:pos="18"/>
              </w:tabs>
              <w:snapToGrid w:val="0"/>
              <w:spacing w:line="300" w:lineRule="exact"/>
              <w:ind w:firstLine="0" w:firstLineChars="0"/>
              <w:jc w:val="center"/>
              <w:rPr>
                <w:rFonts w:hint="eastAsia" w:ascii="宋体" w:hAnsi="宋体" w:eastAsia="宋体" w:cs="宋体"/>
                <w:color w:val="auto"/>
                <w:sz w:val="21"/>
                <w:szCs w:val="21"/>
              </w:rPr>
            </w:pPr>
          </w:p>
        </w:tc>
        <w:tc>
          <w:tcPr>
            <w:tcW w:w="900" w:type="dxa"/>
            <w:vMerge w:val="continue"/>
            <w:tcBorders>
              <w:left w:val="single" w:color="auto" w:sz="4" w:space="0"/>
              <w:bottom w:val="single" w:color="auto" w:sz="4" w:space="0"/>
              <w:right w:val="single" w:color="auto" w:sz="4" w:space="0"/>
            </w:tcBorders>
            <w:noWrap w:val="0"/>
            <w:vAlign w:val="center"/>
          </w:tcPr>
          <w:p w14:paraId="58F4E71E">
            <w:pPr>
              <w:tabs>
                <w:tab w:val="left" w:pos="18"/>
              </w:tabs>
              <w:snapToGrid w:val="0"/>
              <w:spacing w:line="300" w:lineRule="exact"/>
              <w:ind w:firstLine="0" w:firstLineChars="0"/>
              <w:jc w:val="center"/>
              <w:rPr>
                <w:rFonts w:hint="eastAsia" w:ascii="宋体" w:hAnsi="宋体" w:eastAsia="宋体" w:cs="宋体"/>
                <w:color w:val="auto"/>
                <w:sz w:val="21"/>
                <w:szCs w:val="21"/>
              </w:rPr>
            </w:pPr>
          </w:p>
        </w:tc>
        <w:tc>
          <w:tcPr>
            <w:tcW w:w="900" w:type="dxa"/>
            <w:vMerge w:val="continue"/>
            <w:tcBorders>
              <w:left w:val="single" w:color="auto" w:sz="4" w:space="0"/>
              <w:bottom w:val="single" w:color="auto" w:sz="4" w:space="0"/>
              <w:right w:val="single" w:color="auto" w:sz="4" w:space="0"/>
            </w:tcBorders>
            <w:noWrap w:val="0"/>
            <w:vAlign w:val="center"/>
          </w:tcPr>
          <w:p w14:paraId="545C01AB">
            <w:pPr>
              <w:tabs>
                <w:tab w:val="left" w:pos="18"/>
              </w:tabs>
              <w:snapToGrid w:val="0"/>
              <w:spacing w:line="300" w:lineRule="exact"/>
              <w:ind w:firstLine="0" w:firstLineChars="0"/>
              <w:jc w:val="center"/>
              <w:rPr>
                <w:rFonts w:hint="eastAsia" w:ascii="宋体" w:hAnsi="宋体" w:eastAsia="宋体" w:cs="宋体"/>
                <w:color w:val="auto"/>
                <w:sz w:val="21"/>
                <w:szCs w:val="21"/>
              </w:rPr>
            </w:pPr>
          </w:p>
        </w:tc>
        <w:tc>
          <w:tcPr>
            <w:tcW w:w="1440" w:type="dxa"/>
            <w:vMerge w:val="continue"/>
            <w:tcBorders>
              <w:left w:val="single" w:color="auto" w:sz="4" w:space="0"/>
              <w:bottom w:val="single" w:color="auto" w:sz="4" w:space="0"/>
              <w:right w:val="single" w:color="auto" w:sz="4" w:space="0"/>
            </w:tcBorders>
            <w:noWrap w:val="0"/>
            <w:vAlign w:val="center"/>
          </w:tcPr>
          <w:p w14:paraId="04321979">
            <w:pPr>
              <w:tabs>
                <w:tab w:val="left" w:pos="18"/>
              </w:tabs>
              <w:snapToGrid w:val="0"/>
              <w:spacing w:line="300" w:lineRule="exact"/>
              <w:ind w:firstLine="0" w:firstLineChars="0"/>
              <w:jc w:val="center"/>
              <w:rPr>
                <w:rFonts w:hint="eastAsia" w:ascii="宋体" w:hAnsi="宋体" w:eastAsia="宋体" w:cs="宋体"/>
                <w:color w:val="auto"/>
                <w:sz w:val="21"/>
                <w:szCs w:val="21"/>
              </w:rPr>
            </w:pPr>
          </w:p>
        </w:tc>
        <w:tc>
          <w:tcPr>
            <w:tcW w:w="2160" w:type="dxa"/>
            <w:vMerge w:val="continue"/>
            <w:tcBorders>
              <w:left w:val="single" w:color="auto" w:sz="4" w:space="0"/>
              <w:bottom w:val="single" w:color="auto" w:sz="4" w:space="0"/>
              <w:right w:val="single" w:color="auto" w:sz="4" w:space="0"/>
            </w:tcBorders>
            <w:noWrap w:val="0"/>
            <w:vAlign w:val="center"/>
          </w:tcPr>
          <w:p w14:paraId="2920B24D">
            <w:pPr>
              <w:tabs>
                <w:tab w:val="left" w:pos="18"/>
              </w:tabs>
              <w:snapToGrid w:val="0"/>
              <w:spacing w:line="300" w:lineRule="exact"/>
              <w:ind w:firstLine="0" w:firstLineChars="0"/>
              <w:jc w:val="center"/>
              <w:rPr>
                <w:rFonts w:hint="eastAsia" w:ascii="宋体" w:hAnsi="宋体" w:eastAsia="宋体" w:cs="宋体"/>
                <w:color w:val="auto"/>
                <w:sz w:val="21"/>
                <w:szCs w:val="21"/>
              </w:rPr>
            </w:pPr>
          </w:p>
        </w:tc>
      </w:tr>
      <w:tr w14:paraId="56A3D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B61D70">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16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137ABD7">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构筑物基础位于不良地质区域</w:t>
            </w:r>
          </w:p>
        </w:tc>
        <w:tc>
          <w:tcPr>
            <w:tcW w:w="16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961BC7F">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塌陷、渗漏</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84BF83E">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35FC8D8">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严重</w:t>
            </w:r>
          </w:p>
        </w:tc>
        <w:tc>
          <w:tcPr>
            <w:tcW w:w="1440"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30A5A7A5">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Ⅱ级</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792C87AB">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建立运行控制程序，定期检查、评估</w:t>
            </w:r>
          </w:p>
        </w:tc>
      </w:tr>
      <w:tr w14:paraId="51E60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5FF1C0">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16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A3B3233">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库区上游及周边松散体</w:t>
            </w:r>
          </w:p>
        </w:tc>
        <w:tc>
          <w:tcPr>
            <w:tcW w:w="16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FF57358">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泥石流、排洪系统失效或漫顶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16620D7">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E9C57A1">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严重</w:t>
            </w:r>
          </w:p>
        </w:tc>
        <w:tc>
          <w:tcPr>
            <w:tcW w:w="144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536240CC">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Ⅲ级</w:t>
            </w:r>
          </w:p>
        </w:tc>
        <w:tc>
          <w:tcPr>
            <w:tcW w:w="2160" w:type="dxa"/>
            <w:tcBorders>
              <w:top w:val="single" w:color="auto" w:sz="4" w:space="0"/>
              <w:left w:val="single" w:color="auto" w:sz="4" w:space="0"/>
              <w:bottom w:val="single" w:color="auto" w:sz="4" w:space="0"/>
              <w:right w:val="single" w:color="auto" w:sz="4" w:space="0"/>
            </w:tcBorders>
            <w:noWrap w:val="0"/>
            <w:vAlign w:val="top"/>
          </w:tcPr>
          <w:p w14:paraId="39AACB9F">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建立操作规程，加强培训</w:t>
            </w:r>
          </w:p>
        </w:tc>
      </w:tr>
      <w:tr w14:paraId="4A298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4C67557">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3</w:t>
            </w:r>
          </w:p>
        </w:tc>
        <w:tc>
          <w:tcPr>
            <w:tcW w:w="16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745372A">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山体滑坡、泥石流</w:t>
            </w:r>
          </w:p>
        </w:tc>
        <w:tc>
          <w:tcPr>
            <w:tcW w:w="16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8DE7199">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排洪系统破坏、漫顶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430835">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BBECE1">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严重</w:t>
            </w:r>
          </w:p>
        </w:tc>
        <w:tc>
          <w:tcPr>
            <w:tcW w:w="144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7F746194">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Ⅲ级</w:t>
            </w:r>
          </w:p>
        </w:tc>
        <w:tc>
          <w:tcPr>
            <w:tcW w:w="2160" w:type="dxa"/>
            <w:tcBorders>
              <w:top w:val="single" w:color="auto" w:sz="4" w:space="0"/>
              <w:left w:val="single" w:color="auto" w:sz="4" w:space="0"/>
              <w:bottom w:val="single" w:color="auto" w:sz="4" w:space="0"/>
              <w:right w:val="single" w:color="auto" w:sz="4" w:space="0"/>
            </w:tcBorders>
            <w:noWrap w:val="0"/>
            <w:vAlign w:val="top"/>
          </w:tcPr>
          <w:p w14:paraId="48ADDE82">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建立操作规程，加强培训</w:t>
            </w:r>
          </w:p>
        </w:tc>
      </w:tr>
      <w:tr w14:paraId="7B09E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F09D6D">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4</w:t>
            </w:r>
          </w:p>
        </w:tc>
        <w:tc>
          <w:tcPr>
            <w:tcW w:w="16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1F7C38C">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下游进行建设或增加设施</w:t>
            </w:r>
          </w:p>
        </w:tc>
        <w:tc>
          <w:tcPr>
            <w:tcW w:w="16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1D255CC">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增加溃坝危害程度</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9632F5E">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EB93D6">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较严重</w:t>
            </w:r>
          </w:p>
        </w:tc>
        <w:tc>
          <w:tcPr>
            <w:tcW w:w="144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2F68BCA9">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Ⅲ级</w:t>
            </w:r>
          </w:p>
        </w:tc>
        <w:tc>
          <w:tcPr>
            <w:tcW w:w="2160" w:type="dxa"/>
            <w:tcBorders>
              <w:top w:val="single" w:color="auto" w:sz="4" w:space="0"/>
              <w:left w:val="single" w:color="auto" w:sz="4" w:space="0"/>
              <w:bottom w:val="single" w:color="auto" w:sz="4" w:space="0"/>
              <w:right w:val="single" w:color="auto" w:sz="4" w:space="0"/>
            </w:tcBorders>
            <w:noWrap w:val="0"/>
            <w:vAlign w:val="top"/>
          </w:tcPr>
          <w:p w14:paraId="294D9C52">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建立操作规程，加强培训</w:t>
            </w:r>
          </w:p>
        </w:tc>
      </w:tr>
      <w:tr w14:paraId="48935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F8AFEA">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5</w:t>
            </w:r>
          </w:p>
        </w:tc>
        <w:tc>
          <w:tcPr>
            <w:tcW w:w="16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9DE7358">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库区内采矿爆破</w:t>
            </w:r>
          </w:p>
        </w:tc>
        <w:tc>
          <w:tcPr>
            <w:tcW w:w="16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182CA01">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沙土液化</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87DF4D9">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可能性小</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764441">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较严重</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6ACFB520">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Ⅳ级</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5DAA1403">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建立操作规程、作业指导书，定期检查</w:t>
            </w:r>
          </w:p>
        </w:tc>
      </w:tr>
      <w:tr w14:paraId="06E1E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36452B">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6</w:t>
            </w:r>
          </w:p>
        </w:tc>
        <w:tc>
          <w:tcPr>
            <w:tcW w:w="16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40EDA7">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设计以外的尾矿、废料或废水入库</w:t>
            </w:r>
          </w:p>
        </w:tc>
        <w:tc>
          <w:tcPr>
            <w:tcW w:w="16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F53192B">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缩短干滩长度或超高</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3F5BDAD">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可能性小</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11DE90D">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严重</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6147600E">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Ⅳ级</w:t>
            </w:r>
          </w:p>
        </w:tc>
        <w:tc>
          <w:tcPr>
            <w:tcW w:w="2160" w:type="dxa"/>
            <w:tcBorders>
              <w:top w:val="single" w:color="auto" w:sz="4" w:space="0"/>
              <w:left w:val="single" w:color="auto" w:sz="4" w:space="0"/>
              <w:bottom w:val="single" w:color="auto" w:sz="4" w:space="0"/>
              <w:right w:val="single" w:color="auto" w:sz="4" w:space="0"/>
            </w:tcBorders>
            <w:noWrap w:val="0"/>
            <w:vAlign w:val="top"/>
          </w:tcPr>
          <w:p w14:paraId="7E16F898">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建立操作规程、作业指导书，定期检查</w:t>
            </w:r>
          </w:p>
        </w:tc>
      </w:tr>
    </w:tbl>
    <w:p w14:paraId="02757DFD">
      <w:pPr>
        <w:bidi w:val="0"/>
        <w:rPr>
          <w:rFonts w:hint="default"/>
          <w:color w:val="auto"/>
          <w:lang w:val="en-US" w:eastAsia="zh-CN"/>
        </w:rPr>
      </w:pPr>
      <w:r>
        <w:rPr>
          <w:rFonts w:hint="default"/>
          <w:color w:val="auto"/>
          <w:lang w:val="en-US" w:eastAsia="zh-CN"/>
        </w:rPr>
        <w:t>可知，杨家店尾矿库周边环境可能存在：构筑物基础位于不良地质区域</w:t>
      </w:r>
      <w:r>
        <w:rPr>
          <w:rFonts w:hint="eastAsia"/>
          <w:color w:val="auto"/>
          <w:lang w:val="en-US" w:eastAsia="zh-CN"/>
        </w:rPr>
        <w:t>1</w:t>
      </w:r>
      <w:r>
        <w:rPr>
          <w:rFonts w:hint="default"/>
          <w:color w:val="auto"/>
          <w:lang w:val="en-US" w:eastAsia="zh-CN"/>
        </w:rPr>
        <w:t>类</w:t>
      </w:r>
      <w:r>
        <w:rPr>
          <w:rFonts w:hint="eastAsia" w:ascii="宋体" w:hAnsi="宋体" w:eastAsia="宋体" w:cs="宋体"/>
          <w:color w:val="auto"/>
          <w:lang w:val="en-US" w:eastAsia="zh-CN"/>
        </w:rPr>
        <w:t>Ⅱ</w:t>
      </w:r>
      <w:r>
        <w:rPr>
          <w:rFonts w:hint="default"/>
          <w:color w:val="auto"/>
          <w:lang w:val="en-US" w:eastAsia="zh-CN"/>
        </w:rPr>
        <w:t>级安全风险；周边山体滑坡、泥石流，下游增设生产生活构筑物或设施等</w:t>
      </w:r>
      <w:r>
        <w:rPr>
          <w:rFonts w:hint="eastAsia"/>
          <w:color w:val="auto"/>
          <w:lang w:val="en-US" w:eastAsia="zh-CN"/>
        </w:rPr>
        <w:t>3</w:t>
      </w:r>
      <w:r>
        <w:rPr>
          <w:rFonts w:hint="default"/>
          <w:color w:val="auto"/>
          <w:lang w:val="en-US" w:eastAsia="zh-CN"/>
        </w:rPr>
        <w:t>类</w:t>
      </w:r>
      <w:r>
        <w:rPr>
          <w:rFonts w:hint="eastAsia" w:ascii="宋体" w:hAnsi="宋体" w:eastAsia="宋体" w:cs="宋体"/>
          <w:color w:val="auto"/>
          <w:lang w:val="en-US" w:eastAsia="zh-CN"/>
        </w:rPr>
        <w:t>Ⅲ</w:t>
      </w:r>
      <w:r>
        <w:rPr>
          <w:rFonts w:hint="default"/>
          <w:color w:val="auto"/>
          <w:lang w:val="en-US" w:eastAsia="zh-CN"/>
        </w:rPr>
        <w:t>级安全风险；库内采矿爆破、设计以外的尾矿、废料、废水入库</w:t>
      </w:r>
      <w:r>
        <w:rPr>
          <w:rFonts w:hint="eastAsia"/>
          <w:color w:val="auto"/>
          <w:lang w:val="en-US" w:eastAsia="zh-CN"/>
        </w:rPr>
        <w:t>2</w:t>
      </w:r>
      <w:r>
        <w:rPr>
          <w:rFonts w:hint="default"/>
          <w:color w:val="auto"/>
          <w:lang w:val="en-US" w:eastAsia="zh-CN"/>
        </w:rPr>
        <w:t>类</w:t>
      </w:r>
      <w:r>
        <w:rPr>
          <w:rFonts w:hint="eastAsia" w:ascii="宋体" w:hAnsi="宋体" w:eastAsia="宋体" w:cs="宋体"/>
          <w:color w:val="auto"/>
          <w:lang w:val="en-US" w:eastAsia="zh-CN"/>
        </w:rPr>
        <w:t>Ⅳ</w:t>
      </w:r>
      <w:r>
        <w:rPr>
          <w:rFonts w:hint="default"/>
          <w:color w:val="auto"/>
          <w:lang w:val="en-US" w:eastAsia="zh-CN"/>
        </w:rPr>
        <w:t>级安全风险。</w:t>
      </w:r>
    </w:p>
    <w:p w14:paraId="49913A1F">
      <w:pPr>
        <w:bidi w:val="0"/>
        <w:rPr>
          <w:rFonts w:hint="default"/>
          <w:color w:val="auto"/>
          <w:lang w:val="en-US" w:eastAsia="zh-CN"/>
        </w:rPr>
      </w:pPr>
      <w:r>
        <w:rPr>
          <w:rFonts w:hint="default"/>
          <w:color w:val="auto"/>
          <w:lang w:val="en-US" w:eastAsia="zh-CN"/>
        </w:rPr>
        <w:t>（6）采用LS法风险分析，杨家店尾矿库安全管理可能存在的事故类别及其风险等级详见下表。</w:t>
      </w:r>
    </w:p>
    <w:p w14:paraId="5E037D77">
      <w:pPr>
        <w:bidi w:val="0"/>
        <w:ind w:left="0" w:leftChars="0" w:firstLine="0" w:firstLineChars="0"/>
        <w:jc w:val="center"/>
        <w:rPr>
          <w:rFonts w:hint="default"/>
          <w:color w:val="auto"/>
          <w:lang w:val="en-US" w:eastAsia="zh-CN"/>
        </w:rPr>
      </w:pPr>
      <w:r>
        <w:rPr>
          <w:rFonts w:hint="eastAsia" w:ascii="Times New Roman" w:hAnsi="宋体" w:eastAsia="宋体" w:cs="Times New Roman"/>
          <w:color w:val="auto"/>
          <w:sz w:val="28"/>
          <w:szCs w:val="28"/>
        </w:rPr>
        <w:t>表</w:t>
      </w:r>
      <w:r>
        <w:rPr>
          <w:rFonts w:hint="default"/>
          <w:color w:val="auto"/>
          <w:lang w:val="en-US" w:eastAsia="zh-CN"/>
        </w:rPr>
        <w:t>5.5-</w:t>
      </w:r>
      <w:r>
        <w:rPr>
          <w:rFonts w:hint="eastAsia"/>
          <w:color w:val="auto"/>
          <w:lang w:val="en-US" w:eastAsia="zh-CN"/>
        </w:rPr>
        <w:t xml:space="preserve">6 </w:t>
      </w:r>
      <w:r>
        <w:rPr>
          <w:rFonts w:hint="default"/>
          <w:color w:val="auto"/>
          <w:lang w:val="en-US" w:eastAsia="zh-CN"/>
        </w:rPr>
        <w:t>LS法杨家店尾矿库安全管理事故类别与风险等级一览表</w:t>
      </w:r>
    </w:p>
    <w:tbl>
      <w:tblPr>
        <w:tblStyle w:val="19"/>
        <w:tblpPr w:leftFromText="180" w:rightFromText="180" w:vertAnchor="text" w:horzAnchor="margin" w:tblpX="-180" w:tblpY="313"/>
        <w:tblW w:w="94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2268"/>
        <w:gridCol w:w="1260"/>
        <w:gridCol w:w="900"/>
        <w:gridCol w:w="900"/>
        <w:gridCol w:w="1440"/>
        <w:gridCol w:w="2160"/>
      </w:tblGrid>
      <w:tr w14:paraId="32990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540" w:type="dxa"/>
            <w:vMerge w:val="restart"/>
            <w:tcBorders>
              <w:top w:val="single" w:color="auto" w:sz="4" w:space="0"/>
              <w:left w:val="single" w:color="auto" w:sz="4" w:space="0"/>
              <w:right w:val="single" w:color="auto" w:sz="4" w:space="0"/>
            </w:tcBorders>
            <w:noWrap w:val="0"/>
            <w:vAlign w:val="center"/>
          </w:tcPr>
          <w:p w14:paraId="1AB132DA">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序号</w:t>
            </w:r>
          </w:p>
        </w:tc>
        <w:tc>
          <w:tcPr>
            <w:tcW w:w="2268" w:type="dxa"/>
            <w:vMerge w:val="restart"/>
            <w:tcBorders>
              <w:top w:val="single" w:color="auto" w:sz="4" w:space="0"/>
              <w:left w:val="single" w:color="auto" w:sz="4" w:space="0"/>
              <w:right w:val="single" w:color="auto" w:sz="4" w:space="0"/>
            </w:tcBorders>
            <w:noWrap w:val="0"/>
            <w:vAlign w:val="center"/>
          </w:tcPr>
          <w:p w14:paraId="1EEC4B07">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危险源</w:t>
            </w:r>
          </w:p>
          <w:p w14:paraId="60AECBFC">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及风险</w:t>
            </w:r>
          </w:p>
        </w:tc>
        <w:tc>
          <w:tcPr>
            <w:tcW w:w="1260" w:type="dxa"/>
            <w:vMerge w:val="restart"/>
            <w:tcBorders>
              <w:top w:val="single" w:color="auto" w:sz="4" w:space="0"/>
              <w:left w:val="single" w:color="auto" w:sz="4" w:space="0"/>
              <w:right w:val="single" w:color="auto" w:sz="4" w:space="0"/>
            </w:tcBorders>
            <w:noWrap w:val="0"/>
            <w:vAlign w:val="center"/>
          </w:tcPr>
          <w:p w14:paraId="6667F2BD">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可能后果</w:t>
            </w:r>
          </w:p>
        </w:tc>
        <w:tc>
          <w:tcPr>
            <w:tcW w:w="900" w:type="dxa"/>
            <w:vMerge w:val="restart"/>
            <w:tcBorders>
              <w:top w:val="single" w:color="auto" w:sz="4" w:space="0"/>
              <w:left w:val="single" w:color="auto" w:sz="4" w:space="0"/>
              <w:right w:val="single" w:color="auto" w:sz="4" w:space="0"/>
            </w:tcBorders>
            <w:noWrap w:val="0"/>
            <w:vAlign w:val="center"/>
          </w:tcPr>
          <w:p w14:paraId="6129266E">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可能性</w:t>
            </w:r>
          </w:p>
        </w:tc>
        <w:tc>
          <w:tcPr>
            <w:tcW w:w="900" w:type="dxa"/>
            <w:vMerge w:val="restart"/>
            <w:tcBorders>
              <w:top w:val="single" w:color="auto" w:sz="4" w:space="0"/>
              <w:left w:val="single" w:color="auto" w:sz="4" w:space="0"/>
              <w:right w:val="single" w:color="auto" w:sz="4" w:space="0"/>
            </w:tcBorders>
            <w:noWrap w:val="0"/>
            <w:vAlign w:val="center"/>
          </w:tcPr>
          <w:p w14:paraId="4D657D1B">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严重性</w:t>
            </w:r>
          </w:p>
        </w:tc>
        <w:tc>
          <w:tcPr>
            <w:tcW w:w="1440" w:type="dxa"/>
            <w:vMerge w:val="restart"/>
            <w:tcBorders>
              <w:top w:val="single" w:color="auto" w:sz="4" w:space="0"/>
              <w:left w:val="single" w:color="auto" w:sz="4" w:space="0"/>
              <w:right w:val="single" w:color="auto" w:sz="4" w:space="0"/>
            </w:tcBorders>
            <w:noWrap w:val="0"/>
            <w:vAlign w:val="center"/>
          </w:tcPr>
          <w:p w14:paraId="76964E1C">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危险性程度（风险等级）</w:t>
            </w:r>
          </w:p>
        </w:tc>
        <w:tc>
          <w:tcPr>
            <w:tcW w:w="2160" w:type="dxa"/>
            <w:vMerge w:val="restart"/>
            <w:tcBorders>
              <w:top w:val="single" w:color="auto" w:sz="4" w:space="0"/>
              <w:left w:val="single" w:color="auto" w:sz="4" w:space="0"/>
              <w:right w:val="single" w:color="auto" w:sz="4" w:space="0"/>
            </w:tcBorders>
            <w:noWrap w:val="0"/>
            <w:vAlign w:val="center"/>
          </w:tcPr>
          <w:p w14:paraId="0346D114">
            <w:pPr>
              <w:tabs>
                <w:tab w:val="left" w:pos="18"/>
              </w:tabs>
              <w:snapToGrid w:val="0"/>
              <w:spacing w:line="300" w:lineRule="exact"/>
              <w:ind w:firstLine="0" w:firstLineChars="0"/>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处置方案</w:t>
            </w:r>
          </w:p>
        </w:tc>
      </w:tr>
      <w:tr w14:paraId="14A67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540" w:type="dxa"/>
            <w:vMerge w:val="continue"/>
            <w:tcBorders>
              <w:left w:val="single" w:color="auto" w:sz="4" w:space="0"/>
              <w:bottom w:val="single" w:color="auto" w:sz="4" w:space="0"/>
              <w:right w:val="single" w:color="auto" w:sz="4" w:space="0"/>
            </w:tcBorders>
            <w:noWrap w:val="0"/>
            <w:vAlign w:val="center"/>
          </w:tcPr>
          <w:p w14:paraId="7C82A9B0">
            <w:pPr>
              <w:tabs>
                <w:tab w:val="left" w:pos="18"/>
              </w:tabs>
              <w:snapToGrid w:val="0"/>
              <w:spacing w:line="300" w:lineRule="exact"/>
              <w:ind w:firstLine="0" w:firstLineChars="0"/>
              <w:jc w:val="center"/>
              <w:rPr>
                <w:rFonts w:hint="eastAsia" w:ascii="宋体" w:hAnsi="宋体" w:eastAsia="宋体" w:cs="宋体"/>
                <w:color w:val="auto"/>
                <w:sz w:val="21"/>
                <w:szCs w:val="21"/>
              </w:rPr>
            </w:pPr>
          </w:p>
        </w:tc>
        <w:tc>
          <w:tcPr>
            <w:tcW w:w="2268" w:type="dxa"/>
            <w:vMerge w:val="continue"/>
            <w:tcBorders>
              <w:left w:val="single" w:color="auto" w:sz="4" w:space="0"/>
              <w:bottom w:val="single" w:color="auto" w:sz="4" w:space="0"/>
              <w:right w:val="single" w:color="auto" w:sz="4" w:space="0"/>
            </w:tcBorders>
            <w:noWrap w:val="0"/>
            <w:vAlign w:val="center"/>
          </w:tcPr>
          <w:p w14:paraId="7F47681B">
            <w:pPr>
              <w:tabs>
                <w:tab w:val="left" w:pos="18"/>
              </w:tabs>
              <w:snapToGrid w:val="0"/>
              <w:spacing w:line="300" w:lineRule="exact"/>
              <w:ind w:firstLine="0" w:firstLineChars="0"/>
              <w:jc w:val="center"/>
              <w:rPr>
                <w:rFonts w:hint="eastAsia" w:ascii="宋体" w:hAnsi="宋体" w:eastAsia="宋体" w:cs="宋体"/>
                <w:color w:val="auto"/>
                <w:sz w:val="21"/>
                <w:szCs w:val="21"/>
              </w:rPr>
            </w:pPr>
          </w:p>
        </w:tc>
        <w:tc>
          <w:tcPr>
            <w:tcW w:w="1260" w:type="dxa"/>
            <w:vMerge w:val="continue"/>
            <w:tcBorders>
              <w:left w:val="single" w:color="auto" w:sz="4" w:space="0"/>
              <w:bottom w:val="single" w:color="auto" w:sz="4" w:space="0"/>
              <w:right w:val="single" w:color="auto" w:sz="4" w:space="0"/>
            </w:tcBorders>
            <w:noWrap w:val="0"/>
            <w:vAlign w:val="center"/>
          </w:tcPr>
          <w:p w14:paraId="0B7FDC10">
            <w:pPr>
              <w:tabs>
                <w:tab w:val="left" w:pos="18"/>
              </w:tabs>
              <w:snapToGrid w:val="0"/>
              <w:spacing w:line="300" w:lineRule="exact"/>
              <w:ind w:firstLine="0" w:firstLineChars="0"/>
              <w:jc w:val="center"/>
              <w:rPr>
                <w:rFonts w:hint="eastAsia" w:ascii="宋体" w:hAnsi="宋体" w:eastAsia="宋体" w:cs="宋体"/>
                <w:color w:val="auto"/>
                <w:sz w:val="21"/>
                <w:szCs w:val="21"/>
              </w:rPr>
            </w:pPr>
          </w:p>
        </w:tc>
        <w:tc>
          <w:tcPr>
            <w:tcW w:w="900" w:type="dxa"/>
            <w:vMerge w:val="continue"/>
            <w:tcBorders>
              <w:left w:val="single" w:color="auto" w:sz="4" w:space="0"/>
              <w:bottom w:val="single" w:color="auto" w:sz="4" w:space="0"/>
              <w:right w:val="single" w:color="auto" w:sz="4" w:space="0"/>
            </w:tcBorders>
            <w:noWrap w:val="0"/>
            <w:vAlign w:val="center"/>
          </w:tcPr>
          <w:p w14:paraId="1C9D36C3">
            <w:pPr>
              <w:tabs>
                <w:tab w:val="left" w:pos="18"/>
              </w:tabs>
              <w:snapToGrid w:val="0"/>
              <w:spacing w:line="300" w:lineRule="exact"/>
              <w:ind w:firstLine="0" w:firstLineChars="0"/>
              <w:jc w:val="center"/>
              <w:rPr>
                <w:rFonts w:hint="eastAsia" w:ascii="宋体" w:hAnsi="宋体" w:eastAsia="宋体" w:cs="宋体"/>
                <w:color w:val="auto"/>
                <w:sz w:val="21"/>
                <w:szCs w:val="21"/>
              </w:rPr>
            </w:pPr>
          </w:p>
        </w:tc>
        <w:tc>
          <w:tcPr>
            <w:tcW w:w="900" w:type="dxa"/>
            <w:vMerge w:val="continue"/>
            <w:tcBorders>
              <w:left w:val="single" w:color="auto" w:sz="4" w:space="0"/>
              <w:bottom w:val="single" w:color="auto" w:sz="4" w:space="0"/>
              <w:right w:val="single" w:color="auto" w:sz="4" w:space="0"/>
            </w:tcBorders>
            <w:noWrap w:val="0"/>
            <w:vAlign w:val="center"/>
          </w:tcPr>
          <w:p w14:paraId="04F558EB">
            <w:pPr>
              <w:tabs>
                <w:tab w:val="left" w:pos="18"/>
              </w:tabs>
              <w:snapToGrid w:val="0"/>
              <w:spacing w:line="300" w:lineRule="exact"/>
              <w:ind w:firstLine="0" w:firstLineChars="0"/>
              <w:jc w:val="center"/>
              <w:rPr>
                <w:rFonts w:hint="eastAsia" w:ascii="宋体" w:hAnsi="宋体" w:eastAsia="宋体" w:cs="宋体"/>
                <w:color w:val="auto"/>
                <w:sz w:val="21"/>
                <w:szCs w:val="21"/>
              </w:rPr>
            </w:pPr>
          </w:p>
        </w:tc>
        <w:tc>
          <w:tcPr>
            <w:tcW w:w="1440" w:type="dxa"/>
            <w:vMerge w:val="continue"/>
            <w:tcBorders>
              <w:left w:val="single" w:color="auto" w:sz="4" w:space="0"/>
              <w:bottom w:val="single" w:color="auto" w:sz="4" w:space="0"/>
              <w:right w:val="single" w:color="auto" w:sz="4" w:space="0"/>
            </w:tcBorders>
            <w:noWrap w:val="0"/>
            <w:vAlign w:val="center"/>
          </w:tcPr>
          <w:p w14:paraId="5E70E6E5">
            <w:pPr>
              <w:tabs>
                <w:tab w:val="left" w:pos="18"/>
              </w:tabs>
              <w:snapToGrid w:val="0"/>
              <w:spacing w:line="300" w:lineRule="exact"/>
              <w:ind w:firstLine="0" w:firstLineChars="0"/>
              <w:jc w:val="center"/>
              <w:rPr>
                <w:rFonts w:hint="eastAsia" w:ascii="宋体" w:hAnsi="宋体" w:eastAsia="宋体" w:cs="宋体"/>
                <w:color w:val="auto"/>
                <w:sz w:val="21"/>
                <w:szCs w:val="21"/>
              </w:rPr>
            </w:pPr>
          </w:p>
        </w:tc>
        <w:tc>
          <w:tcPr>
            <w:tcW w:w="2160" w:type="dxa"/>
            <w:vMerge w:val="continue"/>
            <w:tcBorders>
              <w:left w:val="single" w:color="auto" w:sz="4" w:space="0"/>
              <w:bottom w:val="single" w:color="auto" w:sz="4" w:space="0"/>
              <w:right w:val="single" w:color="auto" w:sz="4" w:space="0"/>
            </w:tcBorders>
            <w:noWrap w:val="0"/>
            <w:vAlign w:val="center"/>
          </w:tcPr>
          <w:p w14:paraId="298FDE19">
            <w:pPr>
              <w:tabs>
                <w:tab w:val="left" w:pos="18"/>
              </w:tabs>
              <w:snapToGrid w:val="0"/>
              <w:spacing w:line="300" w:lineRule="exact"/>
              <w:ind w:firstLine="0" w:firstLineChars="0"/>
              <w:jc w:val="center"/>
              <w:rPr>
                <w:rFonts w:hint="eastAsia" w:ascii="宋体" w:hAnsi="宋体" w:eastAsia="宋体" w:cs="宋体"/>
                <w:color w:val="auto"/>
                <w:sz w:val="21"/>
                <w:szCs w:val="21"/>
              </w:rPr>
            </w:pPr>
          </w:p>
        </w:tc>
      </w:tr>
      <w:tr w14:paraId="6278F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4685A8">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22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D916CFD">
            <w:pPr>
              <w:tabs>
                <w:tab w:val="left" w:pos="18"/>
              </w:tabs>
              <w:snapToGrid w:val="0"/>
              <w:spacing w:line="300" w:lineRule="exact"/>
              <w:ind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未设置安全管理机构，未配备安全管理人员</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A6372B">
            <w:pPr>
              <w:tabs>
                <w:tab w:val="left" w:pos="18"/>
              </w:tabs>
              <w:snapToGrid w:val="0"/>
              <w:spacing w:line="300" w:lineRule="exact"/>
              <w:ind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不</w:t>
            </w:r>
          </w:p>
          <w:p w14:paraId="1DD3F517">
            <w:pPr>
              <w:tabs>
                <w:tab w:val="left" w:pos="18"/>
              </w:tabs>
              <w:snapToGrid w:val="0"/>
              <w:spacing w:line="300" w:lineRule="exact"/>
              <w:ind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合规</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60A0178">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0C40CF0">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严重</w:t>
            </w:r>
          </w:p>
        </w:tc>
        <w:tc>
          <w:tcPr>
            <w:tcW w:w="1440"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3B25EE00">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Ⅱ级</w:t>
            </w:r>
          </w:p>
        </w:tc>
        <w:tc>
          <w:tcPr>
            <w:tcW w:w="2160" w:type="dxa"/>
            <w:tcBorders>
              <w:top w:val="single" w:color="auto" w:sz="4" w:space="0"/>
              <w:left w:val="single" w:color="auto" w:sz="4" w:space="0"/>
              <w:bottom w:val="single" w:color="auto" w:sz="4" w:space="0"/>
              <w:right w:val="single" w:color="auto" w:sz="4" w:space="0"/>
            </w:tcBorders>
            <w:noWrap w:val="0"/>
            <w:vAlign w:val="top"/>
          </w:tcPr>
          <w:p w14:paraId="32574898">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建立运行控制程序，定期检查、评估</w:t>
            </w:r>
          </w:p>
        </w:tc>
      </w:tr>
      <w:tr w14:paraId="44EA3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556ABD3">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22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2B83990">
            <w:pPr>
              <w:tabs>
                <w:tab w:val="left" w:pos="18"/>
              </w:tabs>
              <w:snapToGrid w:val="0"/>
              <w:spacing w:line="300" w:lineRule="exact"/>
              <w:ind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主要负责人、安全管理人员、尾矿工未持证上岗</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338A638">
            <w:pPr>
              <w:tabs>
                <w:tab w:val="left" w:pos="18"/>
              </w:tabs>
              <w:snapToGrid w:val="0"/>
              <w:spacing w:line="300" w:lineRule="exact"/>
              <w:ind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不</w:t>
            </w:r>
          </w:p>
          <w:p w14:paraId="1C2ED12F">
            <w:pPr>
              <w:tabs>
                <w:tab w:val="left" w:pos="18"/>
              </w:tabs>
              <w:snapToGrid w:val="0"/>
              <w:spacing w:line="300" w:lineRule="exact"/>
              <w:ind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合规</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3E767C5">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5138ED">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严重</w:t>
            </w:r>
          </w:p>
        </w:tc>
        <w:tc>
          <w:tcPr>
            <w:tcW w:w="1440" w:type="dxa"/>
            <w:tcBorders>
              <w:top w:val="single" w:color="auto" w:sz="4" w:space="0"/>
              <w:left w:val="single" w:color="auto" w:sz="4" w:space="0"/>
              <w:bottom w:val="single" w:color="auto" w:sz="4" w:space="0"/>
              <w:right w:val="single" w:color="auto" w:sz="4" w:space="0"/>
            </w:tcBorders>
            <w:shd w:val="clear" w:color="auto" w:fill="FF6600"/>
            <w:noWrap w:val="0"/>
            <w:vAlign w:val="top"/>
          </w:tcPr>
          <w:p w14:paraId="023A6967">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Ⅱ级</w:t>
            </w:r>
          </w:p>
        </w:tc>
        <w:tc>
          <w:tcPr>
            <w:tcW w:w="2160" w:type="dxa"/>
            <w:tcBorders>
              <w:top w:val="single" w:color="auto" w:sz="4" w:space="0"/>
              <w:left w:val="single" w:color="auto" w:sz="4" w:space="0"/>
              <w:bottom w:val="single" w:color="auto" w:sz="4" w:space="0"/>
              <w:right w:val="single" w:color="auto" w:sz="4" w:space="0"/>
            </w:tcBorders>
            <w:noWrap w:val="0"/>
            <w:vAlign w:val="top"/>
          </w:tcPr>
          <w:p w14:paraId="255BEF25">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建立运行控制程序，定期检查、评估</w:t>
            </w:r>
          </w:p>
        </w:tc>
      </w:tr>
      <w:tr w14:paraId="1F099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6932519">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3</w:t>
            </w:r>
          </w:p>
        </w:tc>
        <w:tc>
          <w:tcPr>
            <w:tcW w:w="22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4AD1958">
            <w:pPr>
              <w:tabs>
                <w:tab w:val="left" w:pos="18"/>
              </w:tabs>
              <w:snapToGrid w:val="0"/>
              <w:spacing w:line="300" w:lineRule="exact"/>
              <w:ind w:firstLine="0" w:firstLineChars="0"/>
              <w:jc w:val="center"/>
              <w:rPr>
                <w:rFonts w:hint="eastAsia" w:ascii="宋体" w:hAnsi="宋体" w:eastAsia="宋体" w:cs="宋体"/>
                <w:color w:val="auto"/>
                <w:sz w:val="21"/>
                <w:szCs w:val="21"/>
                <w:lang w:val="zh-CN" w:eastAsia="zh-CN"/>
              </w:rPr>
            </w:pPr>
            <w:r>
              <w:rPr>
                <w:rFonts w:hint="eastAsia" w:ascii="宋体" w:hAnsi="宋体" w:eastAsia="宋体" w:cs="宋体"/>
                <w:color w:val="auto"/>
                <w:sz w:val="21"/>
                <w:szCs w:val="21"/>
                <w:lang w:val="zh-CN" w:eastAsia="zh-CN"/>
              </w:rPr>
              <w:t>无安全设施设计或未审查批复；或重大设计变更未审查批复</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6D219DC">
            <w:pPr>
              <w:tabs>
                <w:tab w:val="left" w:pos="18"/>
              </w:tabs>
              <w:snapToGrid w:val="0"/>
              <w:spacing w:line="300" w:lineRule="exact"/>
              <w:ind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违规</w:t>
            </w:r>
          </w:p>
          <w:p w14:paraId="6A1C33F9">
            <w:pPr>
              <w:tabs>
                <w:tab w:val="left" w:pos="18"/>
              </w:tabs>
              <w:snapToGrid w:val="0"/>
              <w:spacing w:line="300" w:lineRule="exact"/>
              <w:ind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建设</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0F8E709">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ED2656A">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严重</w:t>
            </w:r>
          </w:p>
        </w:tc>
        <w:tc>
          <w:tcPr>
            <w:tcW w:w="1440"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51FE39F6">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Ⅱ级</w:t>
            </w:r>
          </w:p>
        </w:tc>
        <w:tc>
          <w:tcPr>
            <w:tcW w:w="2160" w:type="dxa"/>
            <w:tcBorders>
              <w:top w:val="single" w:color="auto" w:sz="4" w:space="0"/>
              <w:left w:val="single" w:color="auto" w:sz="4" w:space="0"/>
              <w:bottom w:val="single" w:color="auto" w:sz="4" w:space="0"/>
              <w:right w:val="single" w:color="auto" w:sz="4" w:space="0"/>
            </w:tcBorders>
            <w:noWrap w:val="0"/>
            <w:vAlign w:val="top"/>
          </w:tcPr>
          <w:p w14:paraId="544419C1">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建立运行控制程序，定期检查、评估</w:t>
            </w:r>
          </w:p>
        </w:tc>
      </w:tr>
      <w:tr w14:paraId="7CF23F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DE820C6">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4</w:t>
            </w:r>
          </w:p>
        </w:tc>
        <w:tc>
          <w:tcPr>
            <w:tcW w:w="22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0FF12F5">
            <w:pPr>
              <w:tabs>
                <w:tab w:val="left" w:pos="18"/>
              </w:tabs>
              <w:snapToGrid w:val="0"/>
              <w:spacing w:line="300" w:lineRule="exact"/>
              <w:ind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尾矿库安全生产许可证、安全生产标准化证书失效</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32DED71">
            <w:pPr>
              <w:tabs>
                <w:tab w:val="left" w:pos="18"/>
              </w:tabs>
              <w:snapToGrid w:val="0"/>
              <w:spacing w:line="300" w:lineRule="exact"/>
              <w:ind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不</w:t>
            </w:r>
          </w:p>
          <w:p w14:paraId="5B55F4AC">
            <w:pPr>
              <w:tabs>
                <w:tab w:val="left" w:pos="18"/>
              </w:tabs>
              <w:snapToGrid w:val="0"/>
              <w:spacing w:line="300" w:lineRule="exact"/>
              <w:ind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合规</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586F47">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ACC131B">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严重</w:t>
            </w:r>
          </w:p>
        </w:tc>
        <w:tc>
          <w:tcPr>
            <w:tcW w:w="1440"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3656383E">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Ⅱ级</w:t>
            </w:r>
          </w:p>
        </w:tc>
        <w:tc>
          <w:tcPr>
            <w:tcW w:w="2160" w:type="dxa"/>
            <w:tcBorders>
              <w:top w:val="single" w:color="auto" w:sz="4" w:space="0"/>
              <w:left w:val="single" w:color="auto" w:sz="4" w:space="0"/>
              <w:bottom w:val="single" w:color="auto" w:sz="4" w:space="0"/>
              <w:right w:val="single" w:color="auto" w:sz="4" w:space="0"/>
            </w:tcBorders>
            <w:noWrap w:val="0"/>
            <w:vAlign w:val="top"/>
          </w:tcPr>
          <w:p w14:paraId="29C01F8A">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建立运行控制程序，定期检查、评估</w:t>
            </w:r>
          </w:p>
        </w:tc>
      </w:tr>
      <w:tr w14:paraId="702CA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237454">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5</w:t>
            </w:r>
          </w:p>
        </w:tc>
        <w:tc>
          <w:tcPr>
            <w:tcW w:w="22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0B656C6">
            <w:pPr>
              <w:tabs>
                <w:tab w:val="left" w:pos="18"/>
              </w:tabs>
              <w:snapToGrid w:val="0"/>
              <w:spacing w:line="300" w:lineRule="exact"/>
              <w:ind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未开展安全教育培训</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D6C5D61">
            <w:pPr>
              <w:tabs>
                <w:tab w:val="left" w:pos="18"/>
              </w:tabs>
              <w:snapToGrid w:val="0"/>
              <w:spacing w:line="300" w:lineRule="exact"/>
              <w:ind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不</w:t>
            </w:r>
          </w:p>
          <w:p w14:paraId="3FB27800">
            <w:pPr>
              <w:tabs>
                <w:tab w:val="left" w:pos="18"/>
              </w:tabs>
              <w:snapToGrid w:val="0"/>
              <w:spacing w:line="300" w:lineRule="exact"/>
              <w:ind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合规</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DBC5016">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6F96C1C">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较严重</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72FA96F0">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Ⅳ级</w:t>
            </w:r>
          </w:p>
        </w:tc>
        <w:tc>
          <w:tcPr>
            <w:tcW w:w="2160" w:type="dxa"/>
            <w:tcBorders>
              <w:top w:val="single" w:color="auto" w:sz="4" w:space="0"/>
              <w:left w:val="single" w:color="auto" w:sz="4" w:space="0"/>
              <w:bottom w:val="single" w:color="auto" w:sz="4" w:space="0"/>
              <w:right w:val="single" w:color="auto" w:sz="4" w:space="0"/>
            </w:tcBorders>
            <w:noWrap w:val="0"/>
            <w:vAlign w:val="top"/>
          </w:tcPr>
          <w:p w14:paraId="72D9B7EF">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建立操作规程、作业指导书，定期检查</w:t>
            </w:r>
          </w:p>
        </w:tc>
      </w:tr>
      <w:tr w14:paraId="69E77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1CEBDD7">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6</w:t>
            </w:r>
          </w:p>
        </w:tc>
        <w:tc>
          <w:tcPr>
            <w:tcW w:w="22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12AC240">
            <w:pPr>
              <w:tabs>
                <w:tab w:val="left" w:pos="18"/>
              </w:tabs>
              <w:snapToGrid w:val="0"/>
              <w:spacing w:line="300" w:lineRule="exact"/>
              <w:ind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未开展安全检查、隐患排查治理与安全风险管控，并无相关记录</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20DD9E1">
            <w:pPr>
              <w:tabs>
                <w:tab w:val="left" w:pos="18"/>
              </w:tabs>
              <w:snapToGrid w:val="0"/>
              <w:spacing w:line="300" w:lineRule="exact"/>
              <w:ind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不</w:t>
            </w:r>
          </w:p>
          <w:p w14:paraId="65041AAE">
            <w:pPr>
              <w:tabs>
                <w:tab w:val="left" w:pos="18"/>
              </w:tabs>
              <w:snapToGrid w:val="0"/>
              <w:spacing w:line="300" w:lineRule="exact"/>
              <w:ind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合规</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51A8C2D">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223276F">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较严重</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top"/>
          </w:tcPr>
          <w:p w14:paraId="6EA84671">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Ⅳ级</w:t>
            </w:r>
          </w:p>
        </w:tc>
        <w:tc>
          <w:tcPr>
            <w:tcW w:w="2160" w:type="dxa"/>
            <w:tcBorders>
              <w:top w:val="single" w:color="auto" w:sz="4" w:space="0"/>
              <w:left w:val="single" w:color="auto" w:sz="4" w:space="0"/>
              <w:bottom w:val="single" w:color="auto" w:sz="4" w:space="0"/>
              <w:right w:val="single" w:color="auto" w:sz="4" w:space="0"/>
            </w:tcBorders>
            <w:noWrap w:val="0"/>
            <w:vAlign w:val="top"/>
          </w:tcPr>
          <w:p w14:paraId="72E7608D">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建立操作规程、作业指导书，定期检查</w:t>
            </w:r>
          </w:p>
        </w:tc>
      </w:tr>
      <w:tr w14:paraId="3A5B7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260360">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7</w:t>
            </w:r>
          </w:p>
        </w:tc>
        <w:tc>
          <w:tcPr>
            <w:tcW w:w="22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9DBD095">
            <w:pPr>
              <w:tabs>
                <w:tab w:val="left" w:pos="18"/>
              </w:tabs>
              <w:snapToGrid w:val="0"/>
              <w:spacing w:line="300" w:lineRule="exact"/>
              <w:ind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未制定应急预案，预案未备案；未配备应急物资，未建立应急救援队伍，未开展应急演练活动</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6D9A3D9">
            <w:pPr>
              <w:tabs>
                <w:tab w:val="left" w:pos="18"/>
              </w:tabs>
              <w:snapToGrid w:val="0"/>
              <w:spacing w:line="300" w:lineRule="exact"/>
              <w:ind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不合规</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75F07B">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4366760">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较严重</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top"/>
          </w:tcPr>
          <w:p w14:paraId="4FD37CCA">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Ⅳ级</w:t>
            </w:r>
          </w:p>
        </w:tc>
        <w:tc>
          <w:tcPr>
            <w:tcW w:w="2160" w:type="dxa"/>
            <w:tcBorders>
              <w:top w:val="single" w:color="auto" w:sz="4" w:space="0"/>
              <w:left w:val="single" w:color="auto" w:sz="4" w:space="0"/>
              <w:bottom w:val="single" w:color="auto" w:sz="4" w:space="0"/>
              <w:right w:val="single" w:color="auto" w:sz="4" w:space="0"/>
            </w:tcBorders>
            <w:noWrap w:val="0"/>
            <w:vAlign w:val="top"/>
          </w:tcPr>
          <w:p w14:paraId="11BD1F12">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建立操作规程、作业指导书，定期检查</w:t>
            </w:r>
          </w:p>
        </w:tc>
      </w:tr>
      <w:tr w14:paraId="1C98A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F1BA042">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8</w:t>
            </w:r>
          </w:p>
        </w:tc>
        <w:tc>
          <w:tcPr>
            <w:tcW w:w="22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2B6AC0B">
            <w:pPr>
              <w:tabs>
                <w:tab w:val="left" w:pos="18"/>
              </w:tabs>
              <w:snapToGrid w:val="0"/>
              <w:spacing w:line="300" w:lineRule="exact"/>
              <w:ind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未按规定提取和使用安全费用；未缴纳工伤保险和安全生产责任险</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A0D764B">
            <w:pPr>
              <w:tabs>
                <w:tab w:val="left" w:pos="18"/>
              </w:tabs>
              <w:snapToGrid w:val="0"/>
              <w:spacing w:line="300" w:lineRule="exact"/>
              <w:ind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不合规</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108226">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3E17CDA">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较严重</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top"/>
          </w:tcPr>
          <w:p w14:paraId="0A52843F">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Ⅳ级</w:t>
            </w:r>
          </w:p>
        </w:tc>
        <w:tc>
          <w:tcPr>
            <w:tcW w:w="2160" w:type="dxa"/>
            <w:tcBorders>
              <w:top w:val="single" w:color="auto" w:sz="4" w:space="0"/>
              <w:left w:val="single" w:color="auto" w:sz="4" w:space="0"/>
              <w:bottom w:val="single" w:color="auto" w:sz="4" w:space="0"/>
              <w:right w:val="single" w:color="auto" w:sz="4" w:space="0"/>
            </w:tcBorders>
            <w:noWrap w:val="0"/>
            <w:vAlign w:val="top"/>
          </w:tcPr>
          <w:p w14:paraId="07448FDF">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建立操作规程、作业指导书，定期检查</w:t>
            </w:r>
          </w:p>
        </w:tc>
      </w:tr>
      <w:tr w14:paraId="491B2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D5A381">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9</w:t>
            </w:r>
          </w:p>
        </w:tc>
        <w:tc>
          <w:tcPr>
            <w:tcW w:w="22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1B6EAC7">
            <w:pPr>
              <w:tabs>
                <w:tab w:val="left" w:pos="18"/>
              </w:tabs>
              <w:snapToGrid w:val="0"/>
              <w:spacing w:line="300" w:lineRule="exact"/>
              <w:ind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zh-CN" w:eastAsia="zh-CN"/>
              </w:rPr>
              <w:t>未购置、发放劳动保护用品与用具，或未督促教育从业人员按规定正确穿戴和使用劳动保护用品与用具</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6E66DB5">
            <w:pPr>
              <w:tabs>
                <w:tab w:val="left" w:pos="18"/>
              </w:tabs>
              <w:snapToGrid w:val="0"/>
              <w:spacing w:line="300" w:lineRule="exact"/>
              <w:ind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不</w:t>
            </w:r>
          </w:p>
          <w:p w14:paraId="70F08040">
            <w:pPr>
              <w:tabs>
                <w:tab w:val="left" w:pos="18"/>
              </w:tabs>
              <w:snapToGrid w:val="0"/>
              <w:spacing w:line="300" w:lineRule="exact"/>
              <w:ind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合规</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B5FCC00">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02299F2">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较严重</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0A8DBA5C">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Ⅳ级</w:t>
            </w:r>
          </w:p>
        </w:tc>
        <w:tc>
          <w:tcPr>
            <w:tcW w:w="2160" w:type="dxa"/>
            <w:tcBorders>
              <w:top w:val="single" w:color="auto" w:sz="4" w:space="0"/>
              <w:left w:val="single" w:color="auto" w:sz="4" w:space="0"/>
              <w:bottom w:val="single" w:color="auto" w:sz="4" w:space="0"/>
              <w:right w:val="single" w:color="auto" w:sz="4" w:space="0"/>
            </w:tcBorders>
            <w:noWrap w:val="0"/>
            <w:vAlign w:val="top"/>
          </w:tcPr>
          <w:p w14:paraId="5C64540F">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建立操作规程、作业指导书，定期检查</w:t>
            </w:r>
          </w:p>
        </w:tc>
      </w:tr>
      <w:tr w14:paraId="25130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603624">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10</w:t>
            </w:r>
          </w:p>
        </w:tc>
        <w:tc>
          <w:tcPr>
            <w:tcW w:w="22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A1FB4A">
            <w:pPr>
              <w:tabs>
                <w:tab w:val="left" w:pos="18"/>
              </w:tabs>
              <w:snapToGrid w:val="0"/>
              <w:spacing w:line="300" w:lineRule="exact"/>
              <w:ind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未制定尾矿库安全生产管理规章制度、安全生产责任制、操作规程</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5742206">
            <w:pPr>
              <w:tabs>
                <w:tab w:val="left" w:pos="18"/>
              </w:tabs>
              <w:snapToGrid w:val="0"/>
              <w:spacing w:line="300" w:lineRule="exact"/>
              <w:ind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不</w:t>
            </w:r>
          </w:p>
          <w:p w14:paraId="7E31DA67">
            <w:pPr>
              <w:tabs>
                <w:tab w:val="left" w:pos="18"/>
              </w:tabs>
              <w:snapToGrid w:val="0"/>
              <w:spacing w:line="300" w:lineRule="exact"/>
              <w:ind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合规</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DCD85C5">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02441DF">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较严重</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top"/>
          </w:tcPr>
          <w:p w14:paraId="077E012A">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Ⅳ级</w:t>
            </w:r>
          </w:p>
        </w:tc>
        <w:tc>
          <w:tcPr>
            <w:tcW w:w="2160" w:type="dxa"/>
            <w:tcBorders>
              <w:top w:val="single" w:color="auto" w:sz="4" w:space="0"/>
              <w:left w:val="single" w:color="auto" w:sz="4" w:space="0"/>
              <w:bottom w:val="single" w:color="auto" w:sz="4" w:space="0"/>
              <w:right w:val="single" w:color="auto" w:sz="4" w:space="0"/>
            </w:tcBorders>
            <w:noWrap w:val="0"/>
            <w:vAlign w:val="top"/>
          </w:tcPr>
          <w:p w14:paraId="0B6B295F">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建立操作规程、作业指导书，定期检查</w:t>
            </w:r>
          </w:p>
        </w:tc>
      </w:tr>
      <w:tr w14:paraId="3D0D9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9444359">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11</w:t>
            </w:r>
          </w:p>
        </w:tc>
        <w:tc>
          <w:tcPr>
            <w:tcW w:w="22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E4759B7">
            <w:pPr>
              <w:tabs>
                <w:tab w:val="left" w:pos="18"/>
              </w:tabs>
              <w:snapToGrid w:val="0"/>
              <w:spacing w:line="300" w:lineRule="exact"/>
              <w:ind w:firstLine="0" w:firstLineChars="0"/>
              <w:jc w:val="center"/>
              <w:rPr>
                <w:rFonts w:hint="eastAsia" w:ascii="宋体" w:hAnsi="宋体" w:eastAsia="宋体" w:cs="宋体"/>
                <w:color w:val="auto"/>
                <w:sz w:val="21"/>
                <w:szCs w:val="21"/>
                <w:lang w:val="zh-CN" w:eastAsia="zh-CN"/>
              </w:rPr>
            </w:pPr>
            <w:r>
              <w:rPr>
                <w:rFonts w:hint="eastAsia" w:ascii="宋体" w:hAnsi="宋体" w:eastAsia="宋体" w:cs="宋体"/>
                <w:color w:val="auto"/>
                <w:sz w:val="21"/>
                <w:szCs w:val="21"/>
                <w:lang w:val="zh-CN" w:eastAsia="zh-CN"/>
              </w:rPr>
              <w:t>无近期实测的尾矿库现状图及尾矿年排放计划</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0EC8D3F">
            <w:pPr>
              <w:tabs>
                <w:tab w:val="left" w:pos="18"/>
              </w:tabs>
              <w:snapToGrid w:val="0"/>
              <w:spacing w:line="300" w:lineRule="exact"/>
              <w:ind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不</w:t>
            </w:r>
          </w:p>
          <w:p w14:paraId="453C3666">
            <w:pPr>
              <w:tabs>
                <w:tab w:val="left" w:pos="18"/>
              </w:tabs>
              <w:snapToGrid w:val="0"/>
              <w:spacing w:line="300" w:lineRule="exact"/>
              <w:ind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合规</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B3ECE4F">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BC06AB1">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一般</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1F134960">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Ⅳ级</w:t>
            </w:r>
          </w:p>
        </w:tc>
        <w:tc>
          <w:tcPr>
            <w:tcW w:w="2160" w:type="dxa"/>
            <w:tcBorders>
              <w:top w:val="single" w:color="auto" w:sz="4" w:space="0"/>
              <w:left w:val="single" w:color="auto" w:sz="4" w:space="0"/>
              <w:bottom w:val="single" w:color="auto" w:sz="4" w:space="0"/>
              <w:right w:val="single" w:color="auto" w:sz="4" w:space="0"/>
            </w:tcBorders>
            <w:noWrap w:val="0"/>
            <w:vAlign w:val="top"/>
          </w:tcPr>
          <w:p w14:paraId="629B6291">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建立操作规程、作业指导书，定期检查</w:t>
            </w:r>
          </w:p>
        </w:tc>
      </w:tr>
      <w:tr w14:paraId="4E60C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D09596">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12</w:t>
            </w:r>
          </w:p>
        </w:tc>
        <w:tc>
          <w:tcPr>
            <w:tcW w:w="22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D1788F">
            <w:pPr>
              <w:tabs>
                <w:tab w:val="left" w:pos="18"/>
              </w:tabs>
              <w:snapToGrid w:val="0"/>
              <w:spacing w:line="300" w:lineRule="exact"/>
              <w:ind w:firstLine="0" w:firstLineChars="0"/>
              <w:jc w:val="center"/>
              <w:rPr>
                <w:rFonts w:hint="eastAsia" w:ascii="宋体" w:hAnsi="宋体" w:eastAsia="宋体" w:cs="宋体"/>
                <w:color w:val="auto"/>
                <w:sz w:val="21"/>
                <w:szCs w:val="21"/>
                <w:lang w:val="zh-CN" w:eastAsia="zh-CN"/>
              </w:rPr>
            </w:pPr>
            <w:r>
              <w:rPr>
                <w:rFonts w:hint="eastAsia" w:ascii="宋体" w:hAnsi="宋体" w:eastAsia="宋体" w:cs="宋体"/>
                <w:color w:val="auto"/>
                <w:sz w:val="21"/>
                <w:szCs w:val="21"/>
                <w:lang w:val="zh-CN" w:eastAsia="zh-CN"/>
              </w:rPr>
              <w:t>未进行尾矿库地质工程勘察和稳定性分析</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6A609B9">
            <w:pPr>
              <w:tabs>
                <w:tab w:val="left" w:pos="18"/>
              </w:tabs>
              <w:snapToGrid w:val="0"/>
              <w:spacing w:line="300" w:lineRule="exact"/>
              <w:ind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不</w:t>
            </w:r>
          </w:p>
          <w:p w14:paraId="6199A940">
            <w:pPr>
              <w:tabs>
                <w:tab w:val="left" w:pos="18"/>
              </w:tabs>
              <w:snapToGrid w:val="0"/>
              <w:spacing w:line="300" w:lineRule="exact"/>
              <w:ind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合规</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2DF7D72">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B4CE528">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较严重</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1A2FC6CA">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Ⅳ级</w:t>
            </w:r>
          </w:p>
        </w:tc>
        <w:tc>
          <w:tcPr>
            <w:tcW w:w="2160" w:type="dxa"/>
            <w:tcBorders>
              <w:top w:val="single" w:color="auto" w:sz="4" w:space="0"/>
              <w:left w:val="single" w:color="auto" w:sz="4" w:space="0"/>
              <w:bottom w:val="single" w:color="auto" w:sz="4" w:space="0"/>
              <w:right w:val="single" w:color="auto" w:sz="4" w:space="0"/>
            </w:tcBorders>
            <w:noWrap w:val="0"/>
            <w:vAlign w:val="top"/>
          </w:tcPr>
          <w:p w14:paraId="581C59C5">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建立操作规程、作业指导书，定期检查</w:t>
            </w:r>
          </w:p>
        </w:tc>
      </w:tr>
      <w:tr w14:paraId="62F8E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A4ECB4">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13</w:t>
            </w:r>
          </w:p>
        </w:tc>
        <w:tc>
          <w:tcPr>
            <w:tcW w:w="22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BA6D549">
            <w:pPr>
              <w:tabs>
                <w:tab w:val="left" w:pos="18"/>
              </w:tabs>
              <w:snapToGrid w:val="0"/>
              <w:spacing w:line="300" w:lineRule="exact"/>
              <w:ind w:firstLine="0" w:firstLineChars="0"/>
              <w:jc w:val="center"/>
              <w:rPr>
                <w:rFonts w:hint="eastAsia" w:ascii="宋体" w:hAnsi="宋体" w:eastAsia="宋体" w:cs="宋体"/>
                <w:color w:val="auto"/>
                <w:sz w:val="21"/>
                <w:szCs w:val="21"/>
                <w:lang w:val="zh-CN" w:eastAsia="zh-CN"/>
              </w:rPr>
            </w:pPr>
            <w:r>
              <w:rPr>
                <w:rFonts w:hint="eastAsia" w:ascii="宋体" w:hAnsi="宋体" w:eastAsia="宋体" w:cs="宋体"/>
                <w:color w:val="auto"/>
                <w:sz w:val="21"/>
                <w:szCs w:val="21"/>
                <w:lang w:val="zh-CN" w:eastAsia="zh-CN"/>
              </w:rPr>
              <w:t>未进行安全风险评估和安全评价及调洪演算</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55733C">
            <w:pPr>
              <w:tabs>
                <w:tab w:val="left" w:pos="18"/>
              </w:tabs>
              <w:snapToGrid w:val="0"/>
              <w:spacing w:line="300" w:lineRule="exact"/>
              <w:ind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不</w:t>
            </w:r>
          </w:p>
          <w:p w14:paraId="2E30EBFE">
            <w:pPr>
              <w:tabs>
                <w:tab w:val="left" w:pos="18"/>
              </w:tabs>
              <w:snapToGrid w:val="0"/>
              <w:spacing w:line="300" w:lineRule="exact"/>
              <w:ind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合规</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983A41">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36516F6">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较严重</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1266F000">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Ⅳ级</w:t>
            </w:r>
          </w:p>
        </w:tc>
        <w:tc>
          <w:tcPr>
            <w:tcW w:w="2160" w:type="dxa"/>
            <w:tcBorders>
              <w:top w:val="single" w:color="auto" w:sz="4" w:space="0"/>
              <w:left w:val="single" w:color="auto" w:sz="4" w:space="0"/>
              <w:bottom w:val="single" w:color="auto" w:sz="4" w:space="0"/>
              <w:right w:val="single" w:color="auto" w:sz="4" w:space="0"/>
            </w:tcBorders>
            <w:noWrap w:val="0"/>
            <w:vAlign w:val="top"/>
          </w:tcPr>
          <w:p w14:paraId="066BF4D8">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建立操作规程、作业指导书，定期检查</w:t>
            </w:r>
          </w:p>
        </w:tc>
      </w:tr>
      <w:tr w14:paraId="105B72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5A53CC">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14</w:t>
            </w:r>
          </w:p>
        </w:tc>
        <w:tc>
          <w:tcPr>
            <w:tcW w:w="22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DBB5849">
            <w:pPr>
              <w:tabs>
                <w:tab w:val="left" w:pos="18"/>
              </w:tabs>
              <w:snapToGrid w:val="0"/>
              <w:spacing w:line="300" w:lineRule="exact"/>
              <w:ind w:firstLine="0" w:firstLineChars="0"/>
              <w:jc w:val="center"/>
              <w:rPr>
                <w:rFonts w:hint="eastAsia" w:ascii="宋体" w:hAnsi="宋体" w:eastAsia="宋体" w:cs="宋体"/>
                <w:color w:val="auto"/>
                <w:sz w:val="21"/>
                <w:szCs w:val="21"/>
                <w:lang w:val="zh-CN" w:eastAsia="zh-CN"/>
              </w:rPr>
            </w:pPr>
            <w:r>
              <w:rPr>
                <w:rFonts w:hint="eastAsia" w:ascii="宋体" w:hAnsi="宋体" w:eastAsia="宋体" w:cs="宋体"/>
                <w:color w:val="auto"/>
                <w:sz w:val="21"/>
                <w:szCs w:val="21"/>
                <w:lang w:val="zh-CN" w:eastAsia="zh-CN"/>
              </w:rPr>
              <w:t>未进行入库尾矿指标检测；未定期开展尾矿库测绘；未进行安全监测数据分析</w:t>
            </w:r>
          </w:p>
        </w:tc>
        <w:tc>
          <w:tcPr>
            <w:tcW w:w="12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FCC8BE0">
            <w:pPr>
              <w:tabs>
                <w:tab w:val="left" w:pos="18"/>
              </w:tabs>
              <w:snapToGrid w:val="0"/>
              <w:spacing w:line="300" w:lineRule="exact"/>
              <w:ind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不</w:t>
            </w:r>
          </w:p>
          <w:p w14:paraId="10B6886C">
            <w:pPr>
              <w:tabs>
                <w:tab w:val="left" w:pos="18"/>
              </w:tabs>
              <w:snapToGrid w:val="0"/>
              <w:spacing w:line="300" w:lineRule="exact"/>
              <w:ind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合规</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A701F8F">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F933C1F">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一般</w:t>
            </w:r>
          </w:p>
        </w:tc>
        <w:tc>
          <w:tcPr>
            <w:tcW w:w="144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333EE293">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Ⅳ级</w:t>
            </w:r>
          </w:p>
        </w:tc>
        <w:tc>
          <w:tcPr>
            <w:tcW w:w="2160" w:type="dxa"/>
            <w:tcBorders>
              <w:top w:val="single" w:color="auto" w:sz="4" w:space="0"/>
              <w:left w:val="single" w:color="auto" w:sz="4" w:space="0"/>
              <w:bottom w:val="single" w:color="auto" w:sz="4" w:space="0"/>
              <w:right w:val="single" w:color="auto" w:sz="4" w:space="0"/>
            </w:tcBorders>
            <w:noWrap w:val="0"/>
            <w:vAlign w:val="top"/>
          </w:tcPr>
          <w:p w14:paraId="25A1A84A">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建立操作规程、作业指导书，定期检查</w:t>
            </w:r>
          </w:p>
        </w:tc>
      </w:tr>
    </w:tbl>
    <w:p w14:paraId="29B0DA92">
      <w:pPr>
        <w:bidi w:val="0"/>
        <w:rPr>
          <w:rFonts w:hint="default"/>
          <w:color w:val="auto"/>
          <w:lang w:val="en-US" w:eastAsia="zh-CN"/>
        </w:rPr>
      </w:pPr>
      <w:r>
        <w:rPr>
          <w:rFonts w:hint="default"/>
          <w:color w:val="auto"/>
          <w:lang w:val="en-US" w:eastAsia="zh-CN"/>
        </w:rPr>
        <w:t>可知，杨家店尾矿库安全管理可能存在：未设置安全管理机构，未配备安全管理人员，主要负责人、安全管理人员、尾矿工未持证上岗，无安全设施设计或未审查批复，或重大设计变更未审查批复，尾矿库安全生产许可证、安全生产标准化证书失效等</w:t>
      </w:r>
      <w:r>
        <w:rPr>
          <w:rFonts w:hint="eastAsia"/>
          <w:color w:val="auto"/>
          <w:lang w:val="en-US" w:eastAsia="zh-CN"/>
        </w:rPr>
        <w:t>4</w:t>
      </w:r>
      <w:r>
        <w:rPr>
          <w:rFonts w:hint="default"/>
          <w:color w:val="auto"/>
          <w:lang w:val="en-US" w:eastAsia="zh-CN"/>
        </w:rPr>
        <w:t>类</w:t>
      </w:r>
      <w:r>
        <w:rPr>
          <w:rFonts w:hint="eastAsia" w:ascii="宋体" w:hAnsi="宋体" w:eastAsia="宋体" w:cs="宋体"/>
          <w:color w:val="auto"/>
          <w:lang w:val="en-US" w:eastAsia="zh-CN"/>
        </w:rPr>
        <w:t>Ⅱ</w:t>
      </w:r>
      <w:r>
        <w:rPr>
          <w:rFonts w:hint="default"/>
          <w:color w:val="auto"/>
          <w:lang w:val="en-US" w:eastAsia="zh-CN"/>
        </w:rPr>
        <w:t>级安全风险；未开展安全教育培训、安全检查、隐患排查治理与安全风险管控，并无相关记录等</w:t>
      </w:r>
      <w:r>
        <w:rPr>
          <w:rFonts w:hint="eastAsia"/>
          <w:color w:val="auto"/>
          <w:lang w:val="en-US" w:eastAsia="zh-CN"/>
        </w:rPr>
        <w:t>10</w:t>
      </w:r>
      <w:r>
        <w:rPr>
          <w:rFonts w:hint="default"/>
          <w:color w:val="auto"/>
          <w:lang w:val="en-US" w:eastAsia="zh-CN"/>
        </w:rPr>
        <w:t>类</w:t>
      </w:r>
      <w:r>
        <w:rPr>
          <w:rFonts w:hint="eastAsia" w:ascii="宋体" w:hAnsi="宋体" w:eastAsia="宋体" w:cs="宋体"/>
          <w:color w:val="auto"/>
          <w:lang w:val="en-US" w:eastAsia="zh-CN"/>
        </w:rPr>
        <w:t>Ⅳ</w:t>
      </w:r>
      <w:r>
        <w:rPr>
          <w:rFonts w:hint="default"/>
          <w:color w:val="auto"/>
          <w:lang w:val="en-US" w:eastAsia="zh-CN"/>
        </w:rPr>
        <w:t>级安全风险。</w:t>
      </w:r>
    </w:p>
    <w:p w14:paraId="1D7B97E2">
      <w:pPr>
        <w:pStyle w:val="3"/>
        <w:bidi w:val="0"/>
        <w:rPr>
          <w:rFonts w:hint="default"/>
          <w:color w:val="auto"/>
          <w:lang w:val="en-US" w:eastAsia="zh-CN"/>
        </w:rPr>
      </w:pPr>
      <w:bookmarkStart w:id="138" w:name="_Toc12076"/>
      <w:r>
        <w:rPr>
          <w:rFonts w:hint="default"/>
          <w:color w:val="auto"/>
          <w:lang w:val="en-US" w:eastAsia="zh-CN"/>
        </w:rPr>
        <w:t>5.6</w:t>
      </w:r>
      <w:r>
        <w:rPr>
          <w:rFonts w:hint="eastAsia"/>
          <w:color w:val="auto"/>
          <w:lang w:val="en-US" w:eastAsia="zh-CN"/>
        </w:rPr>
        <w:t xml:space="preserve"> </w:t>
      </w:r>
      <w:r>
        <w:rPr>
          <w:rFonts w:hint="default"/>
          <w:color w:val="auto"/>
          <w:lang w:val="en-US" w:eastAsia="zh-CN"/>
        </w:rPr>
        <w:t>风险分级管控</w:t>
      </w:r>
      <w:bookmarkEnd w:id="138"/>
    </w:p>
    <w:p w14:paraId="1EC38A55">
      <w:pPr>
        <w:pStyle w:val="4"/>
        <w:bidi w:val="0"/>
        <w:rPr>
          <w:rFonts w:hint="default"/>
          <w:color w:val="auto"/>
          <w:lang w:val="en-US" w:eastAsia="zh-CN"/>
        </w:rPr>
      </w:pPr>
      <w:bookmarkStart w:id="139" w:name="_Toc3037"/>
      <w:r>
        <w:rPr>
          <w:rFonts w:hint="default"/>
          <w:color w:val="auto"/>
          <w:lang w:val="en-US" w:eastAsia="zh-CN"/>
        </w:rPr>
        <w:t>5.6.1</w:t>
      </w:r>
      <w:r>
        <w:rPr>
          <w:rFonts w:hint="eastAsia"/>
          <w:color w:val="auto"/>
          <w:lang w:val="en-US" w:eastAsia="zh-CN"/>
        </w:rPr>
        <w:t xml:space="preserve"> </w:t>
      </w:r>
      <w:r>
        <w:rPr>
          <w:rFonts w:hint="default"/>
          <w:color w:val="auto"/>
          <w:lang w:val="en-US" w:eastAsia="zh-CN"/>
        </w:rPr>
        <w:t>组织管理</w:t>
      </w:r>
      <w:bookmarkEnd w:id="139"/>
    </w:p>
    <w:p w14:paraId="09F5C4F7">
      <w:pPr>
        <w:bidi w:val="0"/>
        <w:rPr>
          <w:rFonts w:hint="default"/>
          <w:color w:val="auto"/>
          <w:lang w:val="en-US" w:eastAsia="zh-CN"/>
        </w:rPr>
      </w:pPr>
      <w:r>
        <w:rPr>
          <w:rFonts w:hint="default"/>
          <w:color w:val="auto"/>
          <w:lang w:val="en-US" w:eastAsia="zh-CN"/>
        </w:rPr>
        <w:t>一、尾矿库风险管控组织管理</w:t>
      </w:r>
    </w:p>
    <w:p w14:paraId="0D96DE40">
      <w:pPr>
        <w:bidi w:val="0"/>
        <w:rPr>
          <w:rFonts w:hint="default"/>
          <w:color w:val="auto"/>
          <w:lang w:val="en-US" w:eastAsia="zh-CN"/>
        </w:rPr>
      </w:pPr>
      <w:r>
        <w:rPr>
          <w:rFonts w:hint="default"/>
          <w:color w:val="auto"/>
          <w:lang w:val="en-US" w:eastAsia="zh-CN"/>
        </w:rPr>
        <w:t>江西浒坑钨业有限责任公司成立安全风险管控领导小组，负责全公司风险管控工作的全面实施，制定工作方案，总体工作可划分为前期体系完善的预控阶段和随后的常态化循环管控阶段。</w:t>
      </w:r>
    </w:p>
    <w:p w14:paraId="731A9190">
      <w:pPr>
        <w:bidi w:val="0"/>
        <w:rPr>
          <w:rFonts w:hint="default"/>
          <w:color w:val="auto"/>
          <w:lang w:val="en-US" w:eastAsia="zh-CN"/>
        </w:rPr>
      </w:pPr>
      <w:r>
        <w:rPr>
          <w:rFonts w:hint="default"/>
          <w:color w:val="auto"/>
          <w:lang w:val="en-US" w:eastAsia="zh-CN"/>
        </w:rPr>
        <w:t>在第一阶段，首先组织安全环保部、生产技术部、安全环保部、选厂等部室，对杨家店尾矿库进行危险源辨识及风险分析，明确风险点、风险等级、风险类型，建立了</w:t>
      </w:r>
      <w:r>
        <w:rPr>
          <w:rFonts w:hint="eastAsia"/>
          <w:color w:val="auto"/>
          <w:lang w:val="en-US" w:eastAsia="zh-CN"/>
        </w:rPr>
        <w:t>“</w:t>
      </w:r>
      <w:r>
        <w:rPr>
          <w:rFonts w:hint="default"/>
          <w:color w:val="auto"/>
          <w:lang w:val="en-US" w:eastAsia="zh-CN"/>
        </w:rPr>
        <w:t>一表一卡、两图、叁清单</w:t>
      </w:r>
      <w:r>
        <w:rPr>
          <w:rFonts w:hint="eastAsia"/>
          <w:color w:val="auto"/>
          <w:lang w:val="en-US" w:eastAsia="zh-CN"/>
        </w:rPr>
        <w:t>”</w:t>
      </w:r>
      <w:r>
        <w:rPr>
          <w:rFonts w:hint="default"/>
          <w:color w:val="auto"/>
          <w:lang w:val="en-US" w:eastAsia="zh-CN"/>
        </w:rPr>
        <w:t>。</w:t>
      </w:r>
      <w:r>
        <w:rPr>
          <w:rFonts w:hint="eastAsia"/>
          <w:color w:val="auto"/>
          <w:lang w:val="en-US" w:eastAsia="zh-CN"/>
        </w:rPr>
        <w:t>“</w:t>
      </w:r>
      <w:r>
        <w:rPr>
          <w:rFonts w:hint="default"/>
          <w:color w:val="auto"/>
          <w:lang w:val="en-US" w:eastAsia="zh-CN"/>
        </w:rPr>
        <w:t>一表</w:t>
      </w:r>
      <w:r>
        <w:rPr>
          <w:rFonts w:hint="eastAsia"/>
          <w:color w:val="auto"/>
          <w:lang w:val="en-US" w:eastAsia="zh-CN"/>
        </w:rPr>
        <w:t>”</w:t>
      </w:r>
      <w:r>
        <w:rPr>
          <w:rFonts w:hint="default"/>
          <w:color w:val="auto"/>
          <w:lang w:val="en-US" w:eastAsia="zh-CN"/>
        </w:rPr>
        <w:t>即岗位风险等级分布信息表；</w:t>
      </w:r>
      <w:r>
        <w:rPr>
          <w:rFonts w:hint="eastAsia"/>
          <w:color w:val="auto"/>
          <w:lang w:val="en-US" w:eastAsia="zh-CN"/>
        </w:rPr>
        <w:t>“</w:t>
      </w:r>
      <w:r>
        <w:rPr>
          <w:rFonts w:hint="default"/>
          <w:color w:val="auto"/>
          <w:lang w:val="en-US" w:eastAsia="zh-CN"/>
        </w:rPr>
        <w:t>一卡</w:t>
      </w:r>
      <w:r>
        <w:rPr>
          <w:rFonts w:hint="eastAsia"/>
          <w:color w:val="auto"/>
          <w:lang w:val="en-US" w:eastAsia="zh-CN"/>
        </w:rPr>
        <w:t>”</w:t>
      </w:r>
      <w:r>
        <w:rPr>
          <w:rFonts w:hint="default"/>
          <w:color w:val="auto"/>
          <w:lang w:val="en-US" w:eastAsia="zh-CN"/>
        </w:rPr>
        <w:t>即现场应急处置卡；</w:t>
      </w:r>
      <w:r>
        <w:rPr>
          <w:rFonts w:hint="eastAsia"/>
          <w:color w:val="auto"/>
          <w:lang w:val="en-US" w:eastAsia="zh-CN"/>
        </w:rPr>
        <w:t>“</w:t>
      </w:r>
      <w:r>
        <w:rPr>
          <w:rFonts w:hint="default"/>
          <w:color w:val="auto"/>
          <w:lang w:val="en-US" w:eastAsia="zh-CN"/>
        </w:rPr>
        <w:t>两图</w:t>
      </w:r>
      <w:r>
        <w:rPr>
          <w:rFonts w:hint="eastAsia"/>
          <w:color w:val="auto"/>
          <w:lang w:val="en-US" w:eastAsia="zh-CN"/>
        </w:rPr>
        <w:t>”</w:t>
      </w:r>
      <w:r>
        <w:rPr>
          <w:rFonts w:hint="default"/>
          <w:color w:val="auto"/>
          <w:lang w:val="en-US" w:eastAsia="zh-CN"/>
        </w:rPr>
        <w:t>：四色（红橙黄蓝）安全风险空间分布图、避灾线路图；“叁清单”：一是管控责任清单，明确管控层级（公司、车间、班组、岗位），落实具体的责任单位、责任人；二是管控措施清单，制定具体的管控措施、管理措施、教育措施和个体防护措施，确保安全风险始终处于受控范围内；三是应急处置措施清单。并予以审查、修订、完善。同时，相关部室和尾矿库专家联系、沟通、研究建立多级风险预警指标，建立动态预警工作制度。</w:t>
      </w:r>
    </w:p>
    <w:p w14:paraId="3F828A9C">
      <w:pPr>
        <w:bidi w:val="0"/>
        <w:rPr>
          <w:rFonts w:hint="default"/>
          <w:color w:val="auto"/>
          <w:lang w:val="en-US" w:eastAsia="zh-CN"/>
        </w:rPr>
      </w:pPr>
      <w:r>
        <w:rPr>
          <w:rFonts w:hint="default"/>
          <w:color w:val="auto"/>
          <w:lang w:val="en-US" w:eastAsia="zh-CN"/>
        </w:rPr>
        <w:t>遵循“一岗双责，齐抓共管”的原则，按职能、专业建立健全多层级风险管控组织机构，优化尾矿库安全管理流程，精准落实管控任务；同时各部室、单位及时落实完善后的风险管控清单，公司相关部门提供相关资源保障和协助，将风险管控从点拓展到面，构建完整高效的尾矿库安全风险管控体系。</w:t>
      </w:r>
    </w:p>
    <w:p w14:paraId="4477796B">
      <w:pPr>
        <w:bidi w:val="0"/>
        <w:rPr>
          <w:rFonts w:hint="default"/>
          <w:color w:val="auto"/>
          <w:lang w:val="en-US" w:eastAsia="zh-CN"/>
        </w:rPr>
      </w:pPr>
      <w:r>
        <w:rPr>
          <w:rFonts w:hint="default"/>
          <w:color w:val="auto"/>
          <w:lang w:val="en-US" w:eastAsia="zh-CN"/>
        </w:rPr>
        <w:t>在完成体系提升预控后，尾矿库各责任单位按风险管控清单要求，各尽其责，按规定的任务、频率开展常态化的风险管控，密切关注管控措施落实和预警指标偏差变化，依据偏差状态及时启动纠正措施；在遭遇突发紧急情况，启动应急处置措施，将风险控制在受控状态。</w:t>
      </w:r>
    </w:p>
    <w:p w14:paraId="1021C9DB">
      <w:pPr>
        <w:bidi w:val="0"/>
        <w:rPr>
          <w:rFonts w:hint="default"/>
          <w:color w:val="auto"/>
          <w:lang w:val="en-US" w:eastAsia="zh-CN"/>
        </w:rPr>
      </w:pPr>
      <w:r>
        <w:rPr>
          <w:rFonts w:hint="default"/>
          <w:color w:val="auto"/>
          <w:lang w:val="en-US" w:eastAsia="zh-CN"/>
        </w:rPr>
        <w:t>二、风险管控职责</w:t>
      </w:r>
    </w:p>
    <w:p w14:paraId="644D5C2E">
      <w:pPr>
        <w:bidi w:val="0"/>
        <w:rPr>
          <w:rFonts w:hint="default"/>
          <w:color w:val="auto"/>
          <w:lang w:val="en-US" w:eastAsia="zh-CN"/>
        </w:rPr>
      </w:pPr>
      <w:r>
        <w:rPr>
          <w:rFonts w:hint="default"/>
          <w:color w:val="auto"/>
          <w:lang w:val="en-US" w:eastAsia="zh-CN"/>
        </w:rPr>
        <w:t>总经理对风险管控工作负总责，分管副总经理（安全总监）负责制定风险管控制度、风险管控具体落实工作，安全环保部负责风险管控总体工作方案部署、检查和协调，负责危险源辨识与风险分析、风险管控清单、管控措施的完善和技术指导，对措施的可行性、合理性、可靠性、可操作性进行分析、论证，组织外部专家和相关人员进行风险管控清单、管控措施评审，并修订完善。生产技术部等部室负责防控措施技术要求细化和工程措施建设；安全环保部、选厂和相关职能部门配合协助方案落实和资源保障；选厂负责尾矿库班组、岗位风险管控措施检查、预警、纠正措施落实，其他单位和部门按清单划定的责任实施管控。</w:t>
      </w:r>
    </w:p>
    <w:p w14:paraId="1C932DE6">
      <w:pPr>
        <w:pStyle w:val="4"/>
        <w:bidi w:val="0"/>
        <w:rPr>
          <w:rFonts w:hint="default"/>
          <w:color w:val="auto"/>
          <w:lang w:val="en-US" w:eastAsia="zh-CN"/>
        </w:rPr>
      </w:pPr>
      <w:bookmarkStart w:id="140" w:name="_Toc1327"/>
      <w:r>
        <w:rPr>
          <w:rFonts w:hint="default"/>
          <w:color w:val="auto"/>
          <w:lang w:val="en-US" w:eastAsia="zh-CN"/>
        </w:rPr>
        <w:t>5.6.2</w:t>
      </w:r>
      <w:r>
        <w:rPr>
          <w:rFonts w:hint="eastAsia"/>
          <w:color w:val="auto"/>
          <w:lang w:val="en-US" w:eastAsia="zh-CN"/>
        </w:rPr>
        <w:t xml:space="preserve"> </w:t>
      </w:r>
      <w:r>
        <w:rPr>
          <w:rFonts w:hint="default"/>
          <w:color w:val="auto"/>
          <w:lang w:val="en-US" w:eastAsia="zh-CN"/>
        </w:rPr>
        <w:t>安全风险管控实施流程</w:t>
      </w:r>
      <w:bookmarkEnd w:id="140"/>
    </w:p>
    <w:p w14:paraId="371F5E3C">
      <w:pPr>
        <w:bidi w:val="0"/>
        <w:rPr>
          <w:rFonts w:hint="default"/>
          <w:color w:val="auto"/>
          <w:lang w:val="en-US" w:eastAsia="zh-CN"/>
        </w:rPr>
      </w:pPr>
      <w:r>
        <w:rPr>
          <w:rFonts w:hint="default"/>
          <w:color w:val="auto"/>
          <w:lang w:val="en-US" w:eastAsia="zh-CN"/>
        </w:rPr>
        <w:t>一、管控措施完善</w:t>
      </w:r>
    </w:p>
    <w:p w14:paraId="55A788AB">
      <w:pPr>
        <w:bidi w:val="0"/>
        <w:rPr>
          <w:rFonts w:hint="default"/>
          <w:color w:val="auto"/>
          <w:lang w:val="en-US" w:eastAsia="zh-CN"/>
        </w:rPr>
      </w:pPr>
      <w:r>
        <w:rPr>
          <w:rFonts w:hint="default"/>
          <w:color w:val="auto"/>
          <w:lang w:val="en-US" w:eastAsia="zh-CN"/>
        </w:rPr>
        <w:t>江西浒坑钨业有限责任公司在前期风险评估的基础上，对风险防控措施进行全面梳理，系统完善安全风险管控措施。实施过程中，已各部门、车间、岗位相关人员进行交流沟通，针对评估出的每一项安全风险，采取消除、终止、替代、隔离、规避等技术管理措施分类施策、消除风险；也可以通过改造技术、个体防护手段降低风险；单项措施不足以有效管控安全风险时，选择多种措施组合使用，确保措施精准、有力有效；所有措施应符合规章标准对设备设施及作业活动技术和管理要求，保证管控措施的合规性、可行性、有效性。此外，管控措施紧密结合生产实际情况，与各个环节现有的生产管理措施充分融合，确保安全风险控制在可接受范围和管控目标的实现。</w:t>
      </w:r>
    </w:p>
    <w:p w14:paraId="2E0A3628">
      <w:pPr>
        <w:bidi w:val="0"/>
        <w:rPr>
          <w:rFonts w:hint="default"/>
          <w:color w:val="auto"/>
          <w:lang w:val="en-US" w:eastAsia="zh-CN"/>
        </w:rPr>
      </w:pPr>
      <w:r>
        <w:rPr>
          <w:rFonts w:hint="default"/>
          <w:color w:val="auto"/>
          <w:lang w:val="en-US" w:eastAsia="zh-CN"/>
        </w:rPr>
        <w:t>风险管控措施完善后，填入风险管控清单中风险管控措施栏；完善后的工程技术措施，由安全环保部汇总，按专业和职责分别组织实施；其它措施按清单规定执行。</w:t>
      </w:r>
    </w:p>
    <w:p w14:paraId="2EF832EF">
      <w:pPr>
        <w:bidi w:val="0"/>
        <w:rPr>
          <w:rFonts w:hint="default"/>
          <w:color w:val="auto"/>
          <w:lang w:val="en-US" w:eastAsia="zh-CN"/>
        </w:rPr>
      </w:pPr>
      <w:r>
        <w:rPr>
          <w:rFonts w:hint="default"/>
          <w:color w:val="auto"/>
          <w:lang w:val="en-US" w:eastAsia="zh-CN"/>
        </w:rPr>
        <w:t>二、管控流程重建</w:t>
      </w:r>
    </w:p>
    <w:p w14:paraId="16864A91">
      <w:pPr>
        <w:bidi w:val="0"/>
        <w:rPr>
          <w:rFonts w:hint="default"/>
          <w:color w:val="auto"/>
          <w:lang w:val="en-US" w:eastAsia="zh-CN"/>
        </w:rPr>
      </w:pPr>
      <w:r>
        <w:rPr>
          <w:rFonts w:hint="default"/>
          <w:color w:val="auto"/>
          <w:lang w:val="en-US" w:eastAsia="zh-CN"/>
        </w:rPr>
        <w:t>江西浒坑钨业有限责任公司依据风险管控的原理对现有管理流程进行梳理，优化完善安全管理体系相关要求和制度，将安全风险分级管控整合到现有管理体系，尤其是安全生产标准化体系中，融入到企业整个生产活动与业务流程中，并将管理的重点由安全检查转向隐患排查治理、风险管控双重预防机制，构建安全可控、富有弹性的管理体系。为此，根据安全风险分级结果、风险及变化特征研究制定定性或定量风险预警指标体系，风险预警指标应能够敏感反映风险状态的变化且分类、分专业、分层建立，不同层级（决策层、管理层、操作层）预警指标对应不同预警等级。预警指标的设定应基于预控的指导思想，如杨家店尾矿库设计要求最小干滩长度为70m（正常工矿下），那么班组级可以设在75m、选厂可以设在80m、公司级可以设在85m分别进行预警，以确保提前采取措施实现干滩长度不低于70m，始终保持在正常工作状态。依据当前杨家店尾矿库实际情况，初步设定三级预警指标，其中一级预警最高，三级预警最低，预警从三级开始。根据风险等级实施不同的管控策略，其中重大风险实施一级风险、较大风险实施二级预警、一般（低）风险实施三级风险，预警/偏差参数由公司研究确定。</w:t>
      </w:r>
    </w:p>
    <w:p w14:paraId="7F5B6663">
      <w:pPr>
        <w:bidi w:val="0"/>
        <w:rPr>
          <w:rFonts w:hint="default"/>
          <w:color w:val="auto"/>
          <w:lang w:val="en-US" w:eastAsia="zh-CN"/>
        </w:rPr>
      </w:pPr>
      <w:r>
        <w:rPr>
          <w:rFonts w:hint="default"/>
          <w:color w:val="auto"/>
          <w:lang w:val="en-US" w:eastAsia="zh-CN"/>
        </w:rPr>
        <w:t>在管控过程中采用检查、观测（监测）手段监控风险和相应指标的变化，如定期巡查，人工与在线监测系统实时监控等。根据风险状态的变化和偏差程度及时启动纠偏和预防行动，确保风险管控体系集成高效，能够</w:t>
      </w:r>
      <w:r>
        <w:rPr>
          <w:rFonts w:hint="eastAsia"/>
          <w:color w:val="auto"/>
          <w:lang w:val="en-US" w:eastAsia="zh-CN"/>
        </w:rPr>
        <w:t>“</w:t>
      </w:r>
      <w:r>
        <w:rPr>
          <w:rFonts w:hint="default"/>
          <w:color w:val="auto"/>
          <w:lang w:val="en-US" w:eastAsia="zh-CN"/>
        </w:rPr>
        <w:t>管住水、护住坡、看住井、应得急</w:t>
      </w:r>
      <w:r>
        <w:rPr>
          <w:rFonts w:hint="eastAsia"/>
          <w:color w:val="auto"/>
          <w:lang w:val="en-US" w:eastAsia="zh-CN"/>
        </w:rPr>
        <w:t>”“</w:t>
      </w:r>
      <w:r>
        <w:rPr>
          <w:rFonts w:hint="default"/>
          <w:color w:val="auto"/>
          <w:lang w:val="en-US" w:eastAsia="zh-CN"/>
        </w:rPr>
        <w:t>抓的准、管的住</w:t>
      </w:r>
      <w:r>
        <w:rPr>
          <w:rFonts w:hint="eastAsia"/>
          <w:color w:val="auto"/>
          <w:lang w:val="en-US" w:eastAsia="zh-CN"/>
        </w:rPr>
        <w:t>”</w:t>
      </w:r>
      <w:r>
        <w:rPr>
          <w:rFonts w:hint="default"/>
          <w:color w:val="auto"/>
          <w:lang w:val="en-US" w:eastAsia="zh-CN"/>
        </w:rPr>
        <w:t>，以主动的防控来保证尾矿库安全。</w:t>
      </w:r>
    </w:p>
    <w:p w14:paraId="44C89025">
      <w:pPr>
        <w:bidi w:val="0"/>
        <w:rPr>
          <w:rFonts w:hint="default"/>
          <w:color w:val="auto"/>
          <w:lang w:val="en-US" w:eastAsia="zh-CN"/>
        </w:rPr>
      </w:pPr>
      <w:r>
        <w:rPr>
          <w:rFonts w:hint="default"/>
          <w:color w:val="auto"/>
          <w:lang w:val="en-US" w:eastAsia="zh-CN"/>
        </w:rPr>
        <w:t>三、管控结构优化</w:t>
      </w:r>
    </w:p>
    <w:p w14:paraId="492DDD79">
      <w:pPr>
        <w:bidi w:val="0"/>
        <w:rPr>
          <w:rFonts w:hint="default"/>
          <w:color w:val="auto"/>
          <w:lang w:val="en-US" w:eastAsia="zh-CN"/>
        </w:rPr>
      </w:pPr>
      <w:r>
        <w:rPr>
          <w:rFonts w:hint="default"/>
          <w:color w:val="auto"/>
          <w:lang w:val="en-US" w:eastAsia="zh-CN"/>
        </w:rPr>
        <w:t>为了克服尾矿库风险管理职责不清晰，防止缺位、错位、越位，部分风险管控责任不到位等情况，计划重新组建管控结构并与现有安全管理体系融合。风险管控建立以岗位、班组、车间为基础，部门、公司领导层叠加的垂直层级管理架构，每个风险以其风险等级确定管控层级，管控从最高层级责任者向下延伸至岗位级。建立以风险为中心，全员参与、资源整合、整体运行，多层级管控、多支点支撑的一体化风险管控架构。</w:t>
      </w:r>
    </w:p>
    <w:p w14:paraId="65A74626">
      <w:pPr>
        <w:bidi w:val="0"/>
        <w:rPr>
          <w:rFonts w:hint="default"/>
          <w:color w:val="auto"/>
          <w:lang w:val="en-US" w:eastAsia="zh-CN"/>
        </w:rPr>
      </w:pPr>
      <w:r>
        <w:rPr>
          <w:rFonts w:hint="default"/>
          <w:color w:val="auto"/>
          <w:lang w:val="en-US" w:eastAsia="zh-CN"/>
        </w:rPr>
        <w:t>四、管控责任体系完善</w:t>
      </w:r>
    </w:p>
    <w:p w14:paraId="26D662A4">
      <w:pPr>
        <w:bidi w:val="0"/>
        <w:rPr>
          <w:rFonts w:hint="default"/>
          <w:color w:val="auto"/>
          <w:lang w:val="en-US" w:eastAsia="zh-CN"/>
        </w:rPr>
      </w:pPr>
      <w:r>
        <w:rPr>
          <w:rFonts w:hint="default"/>
          <w:color w:val="auto"/>
          <w:lang w:val="en-US" w:eastAsia="zh-CN"/>
        </w:rPr>
        <w:t>江西浒坑钨业有限责任公司根据安全风险分级结果和管控结构的调整，明确管控层级和责任人，落实各风险管控主体和责任，明确各风险相对应的部门、车间、班组和岗位人员，将管控责任和任务清单精准分解到与尾矿库运行相关的部门、车间、班组的每个人，并根据风险等级确定风险检查、监测管控的频次，最终形成</w:t>
      </w:r>
      <w:r>
        <w:rPr>
          <w:rFonts w:hint="eastAsia"/>
          <w:color w:val="auto"/>
          <w:lang w:val="en-US" w:eastAsia="zh-CN"/>
        </w:rPr>
        <w:t>“</w:t>
      </w:r>
      <w:r>
        <w:rPr>
          <w:rFonts w:hint="default"/>
          <w:color w:val="auto"/>
          <w:lang w:val="en-US" w:eastAsia="zh-CN"/>
        </w:rPr>
        <w:t>一库一策</w:t>
      </w:r>
      <w:r>
        <w:rPr>
          <w:rFonts w:hint="eastAsia"/>
          <w:color w:val="auto"/>
          <w:lang w:val="en-US" w:eastAsia="zh-CN"/>
        </w:rPr>
        <w:t>”</w:t>
      </w:r>
      <w:r>
        <w:rPr>
          <w:rFonts w:hint="default"/>
          <w:color w:val="auto"/>
          <w:lang w:val="en-US" w:eastAsia="zh-CN"/>
        </w:rPr>
        <w:t>管控清单，形成的风险管控清单按规定上报属地应急管理部门。对于重大风险实施多级联合管控，确保管控措施落实到位，形成立体的尾矿库安全风险分级管控责任体系。</w:t>
      </w:r>
    </w:p>
    <w:p w14:paraId="64DE3DAD">
      <w:pPr>
        <w:bidi w:val="0"/>
        <w:rPr>
          <w:rFonts w:hint="default"/>
          <w:color w:val="auto"/>
          <w:lang w:val="en-US" w:eastAsia="zh-CN"/>
        </w:rPr>
      </w:pPr>
      <w:r>
        <w:rPr>
          <w:rFonts w:hint="default"/>
          <w:color w:val="auto"/>
          <w:lang w:val="en-US" w:eastAsia="zh-CN"/>
        </w:rPr>
        <w:t>五、安全风险管控实施</w:t>
      </w:r>
    </w:p>
    <w:p w14:paraId="033FAD03">
      <w:pPr>
        <w:bidi w:val="0"/>
        <w:rPr>
          <w:rFonts w:hint="default"/>
          <w:color w:val="auto"/>
          <w:lang w:val="en-US" w:eastAsia="zh-CN"/>
        </w:rPr>
      </w:pPr>
      <w:r>
        <w:rPr>
          <w:rFonts w:hint="default"/>
          <w:color w:val="auto"/>
          <w:lang w:val="en-US" w:eastAsia="zh-CN"/>
        </w:rPr>
        <w:t>在完成风险管控体系完善、相应管控预防措施到位后，风险管控就进入常态化安全风险管控是企业生产经营安全管理活动的延伸、细化，也是安全检查、监测反馈响应向前延伸，“关口前移”即通过定期检查、监测，实时感知，及时发现风险管控的偏差，或安全风险管控措施落实不到位的情况，经原因分析，对发现的偏差提前逐项纠正，使其不致演化成隐患，消灭在萌芽状态，始终保持受控状态。同时，建立完整的管控记录，确保风险的持续改进和变化管理、闭环管理。安全风险管控与隐患排查治理是安全管理的一体两面，做好风险管控，提高尾矿库安全本质程度、提升安全管理水平，就能减少隐患产生几率，使尾矿库持续保持良好安全状态。</w:t>
      </w:r>
    </w:p>
    <w:p w14:paraId="186F621F">
      <w:pPr>
        <w:bidi w:val="0"/>
        <w:rPr>
          <w:rFonts w:hint="default"/>
          <w:color w:val="auto"/>
          <w:lang w:val="en-US" w:eastAsia="zh-CN"/>
        </w:rPr>
      </w:pPr>
      <w:r>
        <w:rPr>
          <w:rFonts w:hint="default"/>
          <w:color w:val="auto"/>
          <w:lang w:val="en-US" w:eastAsia="zh-CN"/>
        </w:rPr>
        <w:t>岗位风险管控是尾矿库安全管理的核心和基础。在员工进入作业岗位时，必须按安全风险管控清单对其责任范围内的安全风险状况和各项措施予以安全确认；风险预知、设备设施检查、监测等活动，做到任务到人、责任到人、管控到位；同时其他责任人也应按责任要求按时进行检查、监测，公司主管领导要做好安全风险管控的复核检查，不走过场、不留死角、不漏盲区，确保管控措施全面、有效落实。</w:t>
      </w:r>
    </w:p>
    <w:p w14:paraId="1F4EEBF0">
      <w:pPr>
        <w:pStyle w:val="4"/>
        <w:bidi w:val="0"/>
        <w:rPr>
          <w:rFonts w:hint="default"/>
          <w:color w:val="auto"/>
          <w:lang w:val="en-US" w:eastAsia="zh-CN"/>
        </w:rPr>
      </w:pPr>
      <w:bookmarkStart w:id="141" w:name="_Toc32185"/>
      <w:r>
        <w:rPr>
          <w:rFonts w:hint="default"/>
          <w:color w:val="auto"/>
          <w:lang w:val="en-US" w:eastAsia="zh-CN"/>
        </w:rPr>
        <w:t>5.6.3</w:t>
      </w:r>
      <w:r>
        <w:rPr>
          <w:rFonts w:hint="eastAsia"/>
          <w:color w:val="auto"/>
          <w:lang w:val="en-US" w:eastAsia="zh-CN"/>
        </w:rPr>
        <w:t xml:space="preserve"> </w:t>
      </w:r>
      <w:r>
        <w:rPr>
          <w:rFonts w:hint="default"/>
          <w:color w:val="auto"/>
          <w:lang w:val="en-US" w:eastAsia="zh-CN"/>
        </w:rPr>
        <w:t>安全风险公告与培训</w:t>
      </w:r>
      <w:bookmarkEnd w:id="141"/>
    </w:p>
    <w:p w14:paraId="60713F9E">
      <w:pPr>
        <w:bidi w:val="0"/>
        <w:rPr>
          <w:rFonts w:hint="default"/>
          <w:color w:val="auto"/>
          <w:lang w:val="en-US" w:eastAsia="zh-CN"/>
        </w:rPr>
      </w:pPr>
      <w:r>
        <w:rPr>
          <w:rFonts w:hint="default"/>
          <w:color w:val="auto"/>
          <w:lang w:val="en-US" w:eastAsia="zh-CN"/>
        </w:rPr>
        <w:t>一、安全风险公告栏和岗位风险告知卡</w:t>
      </w:r>
    </w:p>
    <w:p w14:paraId="66F9CA48">
      <w:pPr>
        <w:bidi w:val="0"/>
        <w:rPr>
          <w:rFonts w:hint="default"/>
          <w:color w:val="auto"/>
          <w:lang w:val="en-US" w:eastAsia="zh-CN"/>
        </w:rPr>
      </w:pPr>
      <w:r>
        <w:rPr>
          <w:rFonts w:hint="default"/>
          <w:color w:val="auto"/>
          <w:lang w:val="en-US" w:eastAsia="zh-CN"/>
        </w:rPr>
        <w:t>江西浒坑钨业有限责任公司建立完善尾矿库安全风险公告制度。在尾矿库显眼处、重点区域分别设置安全风险公告栏（牌）及风险管控四色图、避灾线路图，将危险有害因素、事故类型、后果、影响范围、风险等级、管控措施、应急处置措施、责任人、有效期、报告电话等信息标识清楚，公告内容及时更新和建档。</w:t>
      </w:r>
    </w:p>
    <w:p w14:paraId="73237B29">
      <w:pPr>
        <w:bidi w:val="0"/>
        <w:rPr>
          <w:rFonts w:hint="default"/>
          <w:color w:val="auto"/>
          <w:lang w:val="en-US" w:eastAsia="zh-CN"/>
        </w:rPr>
      </w:pPr>
      <w:r>
        <w:rPr>
          <w:rFonts w:hint="default"/>
          <w:color w:val="auto"/>
          <w:lang w:val="en-US" w:eastAsia="zh-CN"/>
        </w:rPr>
        <w:t>制作岗位风险告知卡（现场应急处置卡），标明岗位安全操作要点、主要安全风险、可能引发的事故类别、管控措施及应急措施等内容，便于员工随时进行安全风险确认，指导员工安全规范操作。</w:t>
      </w:r>
    </w:p>
    <w:p w14:paraId="4CB8DC94">
      <w:pPr>
        <w:bidi w:val="0"/>
        <w:rPr>
          <w:rFonts w:hint="default"/>
          <w:color w:val="auto"/>
          <w:lang w:val="en-US" w:eastAsia="zh-CN"/>
        </w:rPr>
      </w:pPr>
      <w:r>
        <w:rPr>
          <w:rFonts w:hint="default"/>
          <w:color w:val="auto"/>
          <w:lang w:val="en-US" w:eastAsia="zh-CN"/>
        </w:rPr>
        <w:t>二、风险信息化建设与管理</w:t>
      </w:r>
    </w:p>
    <w:p w14:paraId="13E3A2E3">
      <w:pPr>
        <w:bidi w:val="0"/>
        <w:rPr>
          <w:rFonts w:hint="default"/>
          <w:color w:val="auto"/>
          <w:lang w:val="en-US" w:eastAsia="zh-CN"/>
        </w:rPr>
      </w:pPr>
      <w:r>
        <w:rPr>
          <w:rFonts w:hint="default"/>
          <w:color w:val="auto"/>
          <w:lang w:val="en-US" w:eastAsia="zh-CN"/>
        </w:rPr>
        <w:t>江西浒坑钨业有限责任公司建立风险管控信息平台和数据库——尾矿库在线监测系统，与省级尾矿库安全生产风险监测预警平台联网，可以远程登录、远程访问、远程管理、远程控制及远程维护（可视化监控），实现库区安全监测信息在企业内部及主管部门的实时查询、数据共享、互联互通，保证各级管理者、作业人员能够快捷、便利地掌握尾矿库风险变化状况，快速决策、快速响应，显著提升风险管控体系运行效率和管控质量，进一步优化了风险管控的持续改进工作机制。</w:t>
      </w:r>
    </w:p>
    <w:p w14:paraId="12BFC631">
      <w:pPr>
        <w:bidi w:val="0"/>
        <w:rPr>
          <w:rFonts w:hint="default"/>
          <w:color w:val="auto"/>
          <w:lang w:val="en-US" w:eastAsia="zh-CN"/>
        </w:rPr>
      </w:pPr>
      <w:r>
        <w:rPr>
          <w:rFonts w:hint="default"/>
          <w:color w:val="auto"/>
          <w:lang w:val="en-US" w:eastAsia="zh-CN"/>
        </w:rPr>
        <w:t>三、风险管控培训</w:t>
      </w:r>
    </w:p>
    <w:p w14:paraId="365F7BB8">
      <w:pPr>
        <w:bidi w:val="0"/>
        <w:rPr>
          <w:rFonts w:hint="default"/>
          <w:color w:val="auto"/>
          <w:lang w:val="en-US" w:eastAsia="zh-CN"/>
        </w:rPr>
      </w:pPr>
      <w:r>
        <w:rPr>
          <w:rFonts w:hint="default"/>
          <w:color w:val="auto"/>
          <w:lang w:val="en-US" w:eastAsia="zh-CN"/>
        </w:rPr>
        <w:t>以实施风险管控为契机，对应风险管控清单开展安全风险管控培训，将风险管控清单细化为</w:t>
      </w:r>
      <w:r>
        <w:rPr>
          <w:rFonts w:hint="eastAsia"/>
          <w:color w:val="auto"/>
          <w:lang w:val="en-US" w:eastAsia="zh-CN"/>
        </w:rPr>
        <w:t>“</w:t>
      </w:r>
      <w:r>
        <w:rPr>
          <w:rFonts w:hint="default"/>
          <w:color w:val="auto"/>
          <w:lang w:val="en-US" w:eastAsia="zh-CN"/>
        </w:rPr>
        <w:t>一岗一册</w:t>
      </w:r>
      <w:r>
        <w:rPr>
          <w:rFonts w:hint="eastAsia"/>
          <w:color w:val="auto"/>
          <w:lang w:val="en-US" w:eastAsia="zh-CN"/>
        </w:rPr>
        <w:t>”</w:t>
      </w:r>
      <w:r>
        <w:rPr>
          <w:rFonts w:hint="default"/>
          <w:color w:val="auto"/>
          <w:lang w:val="en-US" w:eastAsia="zh-CN"/>
        </w:rPr>
        <w:t>，并分发到各个岗位人员手上，广泛地告知和培训，确保每个员工能够全面掌握尾矿库风险基本情况、防范对策和应急措施，进一步增强员工安全风险意识，提高员工安全防控技能和处置能力，使防控措施能够有效落实。</w:t>
      </w:r>
    </w:p>
    <w:p w14:paraId="7C5F4D6D">
      <w:pPr>
        <w:pStyle w:val="4"/>
        <w:bidi w:val="0"/>
        <w:rPr>
          <w:rFonts w:hint="default"/>
          <w:color w:val="auto"/>
          <w:lang w:val="en-US" w:eastAsia="zh-CN"/>
        </w:rPr>
      </w:pPr>
      <w:bookmarkStart w:id="142" w:name="_Toc28295"/>
      <w:r>
        <w:rPr>
          <w:rFonts w:hint="default"/>
          <w:color w:val="auto"/>
          <w:lang w:val="en-US" w:eastAsia="zh-CN"/>
        </w:rPr>
        <w:t>5.6.4</w:t>
      </w:r>
      <w:r>
        <w:rPr>
          <w:rFonts w:hint="eastAsia"/>
          <w:color w:val="auto"/>
          <w:lang w:val="en-US" w:eastAsia="zh-CN"/>
        </w:rPr>
        <w:t xml:space="preserve"> </w:t>
      </w:r>
      <w:r>
        <w:rPr>
          <w:rFonts w:hint="default"/>
          <w:color w:val="auto"/>
          <w:lang w:val="en-US" w:eastAsia="zh-CN"/>
        </w:rPr>
        <w:t>安全风险管控绩效考核</w:t>
      </w:r>
      <w:bookmarkEnd w:id="142"/>
    </w:p>
    <w:p w14:paraId="4F7C6A71">
      <w:pPr>
        <w:bidi w:val="0"/>
        <w:rPr>
          <w:rFonts w:hint="default"/>
          <w:color w:val="auto"/>
          <w:lang w:val="en-US" w:eastAsia="zh-CN"/>
        </w:rPr>
      </w:pPr>
      <w:r>
        <w:rPr>
          <w:rFonts w:hint="default"/>
          <w:color w:val="auto"/>
          <w:lang w:val="en-US" w:eastAsia="zh-CN"/>
        </w:rPr>
        <w:t>一、强化检查督促落实</w:t>
      </w:r>
    </w:p>
    <w:p w14:paraId="1B5C71F1">
      <w:pPr>
        <w:bidi w:val="0"/>
        <w:rPr>
          <w:rFonts w:hint="default"/>
          <w:color w:val="auto"/>
          <w:lang w:val="en-US" w:eastAsia="zh-CN"/>
        </w:rPr>
      </w:pPr>
      <w:r>
        <w:rPr>
          <w:rFonts w:hint="default"/>
          <w:color w:val="auto"/>
          <w:lang w:val="en-US" w:eastAsia="zh-CN"/>
        </w:rPr>
        <w:t>根据职责分工，全面落实、履行安全生产风险管控“一岗双责”要求，从公司领导层、部室和车间负责人、管理人员、班组长直至操作工，层层带头示范，在日常管理中，对相关部室、单位、责任人通过查阅相关记录、抽样检查、现场考核、交叉评比、对标打分等方式，对其安全风险管控认知、岗位风险识别、管控措施落实等方面进行检查，并认真做好检查记录，检查记录真实、准确、可追溯、可查询，确保各项风险管控措施落到实处，避免出现重形式、轻实效的问题。</w:t>
      </w:r>
    </w:p>
    <w:p w14:paraId="4A88C0C9">
      <w:pPr>
        <w:bidi w:val="0"/>
        <w:rPr>
          <w:rFonts w:hint="default"/>
          <w:color w:val="auto"/>
          <w:lang w:val="en-US" w:eastAsia="zh-CN"/>
        </w:rPr>
      </w:pPr>
      <w:r>
        <w:rPr>
          <w:rFonts w:hint="default"/>
          <w:color w:val="auto"/>
          <w:lang w:val="en-US" w:eastAsia="zh-CN"/>
        </w:rPr>
        <w:t>二、强化实施绩效考核</w:t>
      </w:r>
    </w:p>
    <w:p w14:paraId="0E4A2FBE">
      <w:pPr>
        <w:bidi w:val="0"/>
        <w:rPr>
          <w:rFonts w:hint="default"/>
          <w:color w:val="auto"/>
          <w:lang w:val="en-US" w:eastAsia="zh-CN"/>
        </w:rPr>
      </w:pPr>
      <w:r>
        <w:rPr>
          <w:rFonts w:hint="default"/>
          <w:color w:val="auto"/>
          <w:lang w:val="en-US" w:eastAsia="zh-CN"/>
        </w:rPr>
        <w:t>江西浒坑钨业有限责任公司制定风险管控工作考核管理办法和经济责任制考核细则。公司管理层及风险管理领导小组定期对各部门、选厂风险管控实施情况检查考核，选厂对各班组检查考核。重点从风险评估与实施职责落实、风险管理流程覆盖的深度和广度、风险管控措施落实情况、实际安全绩效等方面进行综合考核，将考核结果与年度安全绩效考核挂钩，并进行必要的奖惩激励，做到任务到位、责任到位、落实到位、考核到位。</w:t>
      </w:r>
    </w:p>
    <w:p w14:paraId="53464D77">
      <w:pPr>
        <w:pStyle w:val="4"/>
        <w:bidi w:val="0"/>
        <w:rPr>
          <w:rFonts w:hint="default"/>
          <w:color w:val="auto"/>
          <w:lang w:val="en-US" w:eastAsia="zh-CN"/>
        </w:rPr>
      </w:pPr>
      <w:bookmarkStart w:id="143" w:name="_Toc13577"/>
      <w:r>
        <w:rPr>
          <w:rFonts w:hint="default"/>
          <w:color w:val="auto"/>
          <w:lang w:val="en-US" w:eastAsia="zh-CN"/>
        </w:rPr>
        <w:t>5.6.5</w:t>
      </w:r>
      <w:r>
        <w:rPr>
          <w:rFonts w:hint="eastAsia"/>
          <w:color w:val="auto"/>
          <w:lang w:val="en-US" w:eastAsia="zh-CN"/>
        </w:rPr>
        <w:t xml:space="preserve"> </w:t>
      </w:r>
      <w:r>
        <w:rPr>
          <w:rFonts w:hint="default"/>
          <w:color w:val="auto"/>
          <w:lang w:val="en-US" w:eastAsia="zh-CN"/>
        </w:rPr>
        <w:t>安全风险管控措施清单</w:t>
      </w:r>
      <w:bookmarkEnd w:id="143"/>
    </w:p>
    <w:p w14:paraId="3D3A0491">
      <w:pPr>
        <w:bidi w:val="0"/>
        <w:rPr>
          <w:rFonts w:hint="default"/>
          <w:color w:val="auto"/>
          <w:lang w:val="en-US" w:eastAsia="zh-CN"/>
        </w:rPr>
      </w:pPr>
      <w:r>
        <w:rPr>
          <w:rFonts w:hint="default"/>
          <w:color w:val="auto"/>
          <w:lang w:val="en-US" w:eastAsia="zh-CN"/>
        </w:rPr>
        <w:t>依据危害因素辨析、LEC法、LS法及重大危险源辨识、安全监管风险分级评定，汇总分别形成下列记录：</w:t>
      </w:r>
    </w:p>
    <w:p w14:paraId="4434243F">
      <w:pPr>
        <w:bidi w:val="0"/>
        <w:rPr>
          <w:rFonts w:hint="default"/>
          <w:color w:val="auto"/>
          <w:lang w:val="en-US" w:eastAsia="zh-CN"/>
        </w:rPr>
      </w:pPr>
      <w:r>
        <w:rPr>
          <w:rFonts w:hint="default"/>
          <w:color w:val="auto"/>
          <w:lang w:val="en-US" w:eastAsia="zh-CN"/>
        </w:rPr>
        <w:t>1. 尾矿库风险分级管控措施告知牌；</w:t>
      </w:r>
    </w:p>
    <w:p w14:paraId="668D21C1">
      <w:pPr>
        <w:bidi w:val="0"/>
        <w:rPr>
          <w:rFonts w:hint="default"/>
          <w:color w:val="auto"/>
          <w:lang w:val="en-US" w:eastAsia="zh-CN"/>
        </w:rPr>
      </w:pPr>
      <w:r>
        <w:rPr>
          <w:rFonts w:hint="default"/>
          <w:color w:val="auto"/>
          <w:lang w:val="en-US" w:eastAsia="zh-CN"/>
        </w:rPr>
        <w:t>2.</w:t>
      </w:r>
      <w:r>
        <w:rPr>
          <w:rFonts w:hint="eastAsia"/>
          <w:color w:val="auto"/>
          <w:lang w:val="en-US" w:eastAsia="zh-CN"/>
        </w:rPr>
        <w:t xml:space="preserve"> </w:t>
      </w:r>
      <w:r>
        <w:rPr>
          <w:rFonts w:hint="default"/>
          <w:color w:val="auto"/>
          <w:lang w:val="en-US" w:eastAsia="zh-CN"/>
        </w:rPr>
        <w:t>尾矿工作业过程危险有害因素辨别与评价记录表；</w:t>
      </w:r>
    </w:p>
    <w:p w14:paraId="1585A099">
      <w:pPr>
        <w:bidi w:val="0"/>
        <w:rPr>
          <w:rFonts w:hint="default"/>
          <w:color w:val="auto"/>
          <w:lang w:val="en-US" w:eastAsia="zh-CN"/>
        </w:rPr>
      </w:pPr>
      <w:r>
        <w:rPr>
          <w:rFonts w:hint="default"/>
          <w:color w:val="auto"/>
          <w:lang w:val="en-US" w:eastAsia="zh-CN"/>
        </w:rPr>
        <w:t>3. 管道工作业过程危险有害因素辨别与评价记录表；</w:t>
      </w:r>
    </w:p>
    <w:p w14:paraId="2C724555">
      <w:pPr>
        <w:bidi w:val="0"/>
        <w:rPr>
          <w:rFonts w:hint="default"/>
          <w:color w:val="auto"/>
          <w:lang w:val="en-US" w:eastAsia="zh-CN"/>
        </w:rPr>
      </w:pPr>
      <w:r>
        <w:rPr>
          <w:rFonts w:hint="default"/>
          <w:color w:val="auto"/>
          <w:lang w:val="en-US" w:eastAsia="zh-CN"/>
        </w:rPr>
        <w:t>4. 特殊情况作业过程危险有害因素辨识与评价记录；</w:t>
      </w:r>
    </w:p>
    <w:p w14:paraId="126045D9">
      <w:pPr>
        <w:bidi w:val="0"/>
        <w:rPr>
          <w:rFonts w:hint="default"/>
          <w:color w:val="auto"/>
          <w:lang w:val="en-US" w:eastAsia="zh-CN"/>
        </w:rPr>
      </w:pPr>
      <w:r>
        <w:rPr>
          <w:rFonts w:hint="default"/>
          <w:color w:val="auto"/>
          <w:lang w:val="en-US" w:eastAsia="zh-CN"/>
        </w:rPr>
        <w:t>5. 作业过程中职业危险有害因素辨别与评价记录表；</w:t>
      </w:r>
    </w:p>
    <w:p w14:paraId="55E64D95">
      <w:pPr>
        <w:bidi w:val="0"/>
        <w:rPr>
          <w:rFonts w:hint="default"/>
          <w:color w:val="auto"/>
          <w:lang w:val="en-US" w:eastAsia="zh-CN"/>
        </w:rPr>
      </w:pPr>
      <w:r>
        <w:rPr>
          <w:rFonts w:hint="default"/>
          <w:color w:val="auto"/>
          <w:lang w:val="en-US" w:eastAsia="zh-CN"/>
        </w:rPr>
        <w:t>6. 紧急情况作业过程危险有害因素辨别与评价记录表；</w:t>
      </w:r>
    </w:p>
    <w:p w14:paraId="472CA493">
      <w:pPr>
        <w:bidi w:val="0"/>
        <w:rPr>
          <w:rFonts w:hint="default"/>
          <w:color w:val="auto"/>
          <w:lang w:val="en-US" w:eastAsia="zh-CN"/>
        </w:rPr>
      </w:pPr>
      <w:r>
        <w:rPr>
          <w:rFonts w:hint="default"/>
          <w:color w:val="auto"/>
          <w:lang w:val="en-US" w:eastAsia="zh-CN"/>
        </w:rPr>
        <w:t>7. 尾矿库安全风险管控清单；</w:t>
      </w:r>
    </w:p>
    <w:p w14:paraId="734A69CC">
      <w:pPr>
        <w:bidi w:val="0"/>
        <w:rPr>
          <w:rFonts w:hint="default"/>
          <w:color w:val="auto"/>
          <w:lang w:val="en-US" w:eastAsia="zh-CN"/>
        </w:rPr>
      </w:pPr>
      <w:r>
        <w:rPr>
          <w:rFonts w:hint="default"/>
          <w:color w:val="auto"/>
          <w:lang w:val="en-US" w:eastAsia="zh-CN"/>
        </w:rPr>
        <w:t>8. 尾矿库安全管理风险管控清单。</w:t>
      </w:r>
    </w:p>
    <w:p w14:paraId="45F63642">
      <w:pPr>
        <w:bidi w:val="0"/>
        <w:rPr>
          <w:rFonts w:hint="default"/>
          <w:color w:val="auto"/>
          <w:lang w:val="en-US" w:eastAsia="zh-CN"/>
        </w:rPr>
        <w:sectPr>
          <w:headerReference r:id="rId10" w:type="default"/>
          <w:footerReference r:id="rId11" w:type="default"/>
          <w:pgSz w:w="11906" w:h="16839"/>
          <w:pgMar w:top="1417" w:right="1417" w:bottom="1417" w:left="1417" w:header="850" w:footer="992" w:gutter="0"/>
          <w:pgNumType w:fmt="decimal" w:start="90"/>
          <w:cols w:space="425" w:num="1"/>
          <w:rtlGutter w:val="0"/>
          <w:docGrid w:linePitch="312" w:charSpace="0"/>
        </w:sectPr>
      </w:pPr>
    </w:p>
    <w:p w14:paraId="77D7F9D2">
      <w:pPr>
        <w:bidi w:val="0"/>
        <w:ind w:left="0" w:leftChars="0" w:firstLine="0" w:firstLineChars="0"/>
        <w:jc w:val="center"/>
        <w:rPr>
          <w:rFonts w:hint="default"/>
          <w:color w:val="auto"/>
          <w:lang w:val="en-US" w:eastAsia="zh-CN"/>
        </w:rPr>
      </w:pPr>
      <w:r>
        <w:rPr>
          <w:rFonts w:hint="eastAsia"/>
          <w:color w:val="auto"/>
          <w:lang w:val="en-US" w:eastAsia="zh-CN"/>
        </w:rPr>
        <w:t xml:space="preserve">表5.6-1 </w:t>
      </w:r>
      <w:r>
        <w:rPr>
          <w:rFonts w:hint="default"/>
          <w:color w:val="auto"/>
          <w:lang w:val="en-US" w:eastAsia="zh-CN"/>
        </w:rPr>
        <w:t>尾矿库风险分级管控告知牌</w:t>
      </w:r>
    </w:p>
    <w:tbl>
      <w:tblPr>
        <w:tblStyle w:val="19"/>
        <w:tblW w:w="144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447"/>
        <w:gridCol w:w="1260"/>
        <w:gridCol w:w="1440"/>
        <w:gridCol w:w="5025"/>
        <w:gridCol w:w="15"/>
        <w:gridCol w:w="4140"/>
        <w:gridCol w:w="2165"/>
      </w:tblGrid>
      <w:tr w14:paraId="3C948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5" w:hRule="atLeast"/>
          <w:jc w:val="center"/>
        </w:trPr>
        <w:tc>
          <w:tcPr>
            <w:tcW w:w="447" w:type="dxa"/>
            <w:vMerge w:val="restart"/>
            <w:shd w:val="clear" w:color="000000" w:fill="FFFFFF"/>
            <w:noWrap w:val="0"/>
            <w:tcMar>
              <w:left w:w="108" w:type="dxa"/>
              <w:right w:w="108" w:type="dxa"/>
            </w:tcMar>
            <w:vAlign w:val="center"/>
          </w:tcPr>
          <w:p w14:paraId="6D66BFEF">
            <w:pPr>
              <w:spacing w:line="300" w:lineRule="atLeast"/>
              <w:ind w:firstLine="0" w:firstLineChars="0"/>
              <w:jc w:val="center"/>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序号</w:t>
            </w:r>
          </w:p>
        </w:tc>
        <w:tc>
          <w:tcPr>
            <w:tcW w:w="1260" w:type="dxa"/>
            <w:vMerge w:val="restart"/>
            <w:shd w:val="clear" w:color="000000" w:fill="FFFFFF"/>
            <w:noWrap w:val="0"/>
            <w:tcMar>
              <w:left w:w="108" w:type="dxa"/>
              <w:right w:w="108" w:type="dxa"/>
            </w:tcMar>
            <w:vAlign w:val="center"/>
          </w:tcPr>
          <w:p w14:paraId="431E7C59">
            <w:pPr>
              <w:spacing w:line="300" w:lineRule="atLeast"/>
              <w:ind w:firstLine="0" w:firstLineChars="0"/>
              <w:jc w:val="center"/>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活动/场所</w:t>
            </w:r>
          </w:p>
        </w:tc>
        <w:tc>
          <w:tcPr>
            <w:tcW w:w="1440" w:type="dxa"/>
            <w:vMerge w:val="restart"/>
            <w:shd w:val="clear" w:color="000000" w:fill="FFFFFF"/>
            <w:noWrap w:val="0"/>
            <w:tcMar>
              <w:left w:w="108" w:type="dxa"/>
              <w:right w:w="108" w:type="dxa"/>
            </w:tcMar>
            <w:vAlign w:val="center"/>
          </w:tcPr>
          <w:p w14:paraId="1C714D0F">
            <w:pPr>
              <w:spacing w:line="300" w:lineRule="atLeast"/>
              <w:ind w:firstLine="0" w:firstLineChars="0"/>
              <w:jc w:val="center"/>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风险</w:t>
            </w:r>
          </w:p>
          <w:p w14:paraId="1B240844">
            <w:pPr>
              <w:spacing w:line="300" w:lineRule="atLeast"/>
              <w:ind w:firstLine="0" w:firstLineChars="0"/>
              <w:jc w:val="center"/>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等级</w:t>
            </w:r>
          </w:p>
        </w:tc>
        <w:tc>
          <w:tcPr>
            <w:tcW w:w="11345" w:type="dxa"/>
            <w:gridSpan w:val="4"/>
            <w:shd w:val="clear" w:color="000000" w:fill="FFFFFF"/>
            <w:noWrap w:val="0"/>
            <w:tcMar>
              <w:left w:w="108" w:type="dxa"/>
              <w:right w:w="108" w:type="dxa"/>
            </w:tcMar>
            <w:vAlign w:val="center"/>
          </w:tcPr>
          <w:p w14:paraId="64211244">
            <w:pPr>
              <w:spacing w:line="300" w:lineRule="atLeast"/>
              <w:ind w:firstLine="0" w:firstLineChars="0"/>
              <w:jc w:val="center"/>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风险管控措施</w:t>
            </w:r>
          </w:p>
        </w:tc>
      </w:tr>
      <w:tr w14:paraId="0A9DCD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15" w:hRule="atLeast"/>
          <w:jc w:val="center"/>
        </w:trPr>
        <w:tc>
          <w:tcPr>
            <w:tcW w:w="447" w:type="dxa"/>
            <w:vMerge w:val="continue"/>
            <w:shd w:val="clear" w:color="000000" w:fill="FFFFFF"/>
            <w:noWrap w:val="0"/>
            <w:tcMar>
              <w:left w:w="108" w:type="dxa"/>
              <w:right w:w="108" w:type="dxa"/>
            </w:tcMar>
            <w:vAlign w:val="top"/>
          </w:tcPr>
          <w:p w14:paraId="2D53C840">
            <w:pPr>
              <w:spacing w:line="300" w:lineRule="atLeast"/>
              <w:ind w:firstLine="0" w:firstLineChars="0"/>
              <w:jc w:val="center"/>
              <w:rPr>
                <w:rFonts w:ascii="Times New Roman" w:hAnsi="Times New Roman" w:eastAsia="宋体" w:cs="Times New Roman"/>
                <w:bCs/>
                <w:color w:val="auto"/>
                <w:sz w:val="21"/>
                <w:szCs w:val="21"/>
              </w:rPr>
            </w:pPr>
          </w:p>
        </w:tc>
        <w:tc>
          <w:tcPr>
            <w:tcW w:w="1260" w:type="dxa"/>
            <w:vMerge w:val="continue"/>
            <w:shd w:val="clear" w:color="000000" w:fill="FFFFFF"/>
            <w:noWrap w:val="0"/>
            <w:tcMar>
              <w:left w:w="108" w:type="dxa"/>
              <w:right w:w="108" w:type="dxa"/>
            </w:tcMar>
            <w:vAlign w:val="top"/>
          </w:tcPr>
          <w:p w14:paraId="2B893848">
            <w:pPr>
              <w:spacing w:line="300" w:lineRule="atLeast"/>
              <w:ind w:firstLine="0" w:firstLineChars="0"/>
              <w:jc w:val="center"/>
              <w:rPr>
                <w:rFonts w:ascii="Times New Roman" w:hAnsi="Times New Roman" w:eastAsia="宋体" w:cs="Times New Roman"/>
                <w:bCs/>
                <w:color w:val="auto"/>
                <w:sz w:val="21"/>
                <w:szCs w:val="21"/>
              </w:rPr>
            </w:pPr>
          </w:p>
        </w:tc>
        <w:tc>
          <w:tcPr>
            <w:tcW w:w="1440" w:type="dxa"/>
            <w:vMerge w:val="continue"/>
            <w:shd w:val="clear" w:color="000000" w:fill="FFFFFF"/>
            <w:noWrap w:val="0"/>
            <w:tcMar>
              <w:left w:w="108" w:type="dxa"/>
              <w:right w:w="108" w:type="dxa"/>
            </w:tcMar>
            <w:vAlign w:val="top"/>
          </w:tcPr>
          <w:p w14:paraId="73235B10">
            <w:pPr>
              <w:spacing w:line="300" w:lineRule="atLeast"/>
              <w:ind w:firstLine="0" w:firstLineChars="0"/>
              <w:jc w:val="center"/>
              <w:rPr>
                <w:rFonts w:ascii="Times New Roman" w:hAnsi="Times New Roman" w:eastAsia="宋体" w:cs="Times New Roman"/>
                <w:bCs/>
                <w:color w:val="auto"/>
                <w:sz w:val="21"/>
                <w:szCs w:val="21"/>
              </w:rPr>
            </w:pPr>
          </w:p>
        </w:tc>
        <w:tc>
          <w:tcPr>
            <w:tcW w:w="5025" w:type="dxa"/>
            <w:shd w:val="clear" w:color="000000" w:fill="FFFFFF"/>
            <w:noWrap w:val="0"/>
            <w:tcMar>
              <w:left w:w="108" w:type="dxa"/>
              <w:right w:w="108" w:type="dxa"/>
            </w:tcMar>
            <w:vAlign w:val="center"/>
          </w:tcPr>
          <w:p w14:paraId="3B501448">
            <w:pPr>
              <w:spacing w:line="300" w:lineRule="atLeast"/>
              <w:ind w:firstLine="0" w:firstLineChars="0"/>
              <w:jc w:val="center"/>
              <w:rPr>
                <w:rFonts w:ascii="Times New Roman" w:hAnsi="Times New Roman" w:eastAsia="宋体" w:cs="Times New Roman"/>
                <w:bCs/>
                <w:color w:val="auto"/>
                <w:sz w:val="21"/>
                <w:szCs w:val="21"/>
              </w:rPr>
            </w:pPr>
            <w:r>
              <w:rPr>
                <w:rFonts w:ascii="Times New Roman" w:hAnsi="宋体" w:eastAsia="宋体" w:cs="Times New Roman"/>
                <w:bCs/>
                <w:color w:val="auto"/>
                <w:sz w:val="21"/>
                <w:szCs w:val="21"/>
              </w:rPr>
              <w:t>①</w:t>
            </w:r>
            <w:r>
              <w:rPr>
                <w:rFonts w:ascii="Times New Roman" w:hAnsi="Times New Roman" w:eastAsia="宋体" w:cs="Times New Roman"/>
                <w:bCs/>
                <w:color w:val="auto"/>
                <w:sz w:val="21"/>
                <w:szCs w:val="21"/>
              </w:rPr>
              <w:t>工程技术措施</w:t>
            </w:r>
          </w:p>
        </w:tc>
        <w:tc>
          <w:tcPr>
            <w:tcW w:w="4155" w:type="dxa"/>
            <w:gridSpan w:val="2"/>
            <w:shd w:val="clear" w:color="000000" w:fill="FFFFFF"/>
            <w:noWrap w:val="0"/>
            <w:tcMar>
              <w:left w:w="108" w:type="dxa"/>
              <w:right w:w="108" w:type="dxa"/>
            </w:tcMar>
            <w:vAlign w:val="center"/>
          </w:tcPr>
          <w:p w14:paraId="5D01C706">
            <w:pPr>
              <w:spacing w:line="300" w:lineRule="atLeast"/>
              <w:ind w:firstLine="0" w:firstLineChars="0"/>
              <w:jc w:val="center"/>
              <w:rPr>
                <w:rFonts w:ascii="Times New Roman" w:hAnsi="Times New Roman" w:eastAsia="宋体" w:cs="Times New Roman"/>
                <w:bCs/>
                <w:color w:val="auto"/>
                <w:sz w:val="21"/>
                <w:szCs w:val="21"/>
              </w:rPr>
            </w:pPr>
            <w:r>
              <w:rPr>
                <w:rFonts w:ascii="Times New Roman" w:hAnsi="宋体" w:eastAsia="宋体" w:cs="Times New Roman"/>
                <w:bCs/>
                <w:color w:val="auto"/>
                <w:sz w:val="21"/>
                <w:szCs w:val="21"/>
              </w:rPr>
              <w:t>②</w:t>
            </w:r>
            <w:r>
              <w:rPr>
                <w:rFonts w:ascii="Times New Roman" w:hAnsi="Times New Roman" w:eastAsia="宋体" w:cs="Times New Roman"/>
                <w:bCs/>
                <w:color w:val="auto"/>
                <w:sz w:val="21"/>
                <w:szCs w:val="21"/>
              </w:rPr>
              <w:t>管理措施</w:t>
            </w:r>
          </w:p>
        </w:tc>
        <w:tc>
          <w:tcPr>
            <w:tcW w:w="2165" w:type="dxa"/>
            <w:shd w:val="clear" w:color="000000" w:fill="FFFFFF"/>
            <w:noWrap w:val="0"/>
            <w:tcMar>
              <w:left w:w="108" w:type="dxa"/>
              <w:right w:w="108" w:type="dxa"/>
            </w:tcMar>
            <w:vAlign w:val="center"/>
          </w:tcPr>
          <w:p w14:paraId="76ABB31F">
            <w:pPr>
              <w:spacing w:line="300" w:lineRule="atLeast"/>
              <w:ind w:firstLine="0" w:firstLineChars="0"/>
              <w:jc w:val="center"/>
              <w:rPr>
                <w:rFonts w:ascii="Times New Roman" w:hAnsi="Times New Roman" w:eastAsia="宋体" w:cs="Times New Roman"/>
                <w:bCs/>
                <w:color w:val="auto"/>
                <w:sz w:val="21"/>
                <w:szCs w:val="21"/>
              </w:rPr>
            </w:pPr>
            <w:r>
              <w:rPr>
                <w:rFonts w:ascii="Times New Roman" w:hAnsi="宋体" w:eastAsia="宋体" w:cs="Times New Roman"/>
                <w:bCs/>
                <w:color w:val="auto"/>
                <w:sz w:val="21"/>
                <w:szCs w:val="21"/>
              </w:rPr>
              <w:t>③</w:t>
            </w:r>
            <w:r>
              <w:rPr>
                <w:rFonts w:ascii="Times New Roman" w:hAnsi="Times New Roman" w:eastAsia="宋体" w:cs="Times New Roman"/>
                <w:bCs/>
                <w:color w:val="auto"/>
                <w:sz w:val="21"/>
                <w:szCs w:val="21"/>
              </w:rPr>
              <w:t>个体防护措施</w:t>
            </w:r>
          </w:p>
        </w:tc>
      </w:tr>
      <w:tr w14:paraId="53A7E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33" w:hRule="atLeast"/>
          <w:jc w:val="center"/>
        </w:trPr>
        <w:tc>
          <w:tcPr>
            <w:tcW w:w="447" w:type="dxa"/>
            <w:vMerge w:val="restart"/>
            <w:shd w:val="clear" w:color="000000" w:fill="FFFFFF"/>
            <w:noWrap w:val="0"/>
            <w:tcMar>
              <w:left w:w="108" w:type="dxa"/>
              <w:right w:w="108" w:type="dxa"/>
            </w:tcMar>
            <w:vAlign w:val="center"/>
          </w:tcPr>
          <w:p w14:paraId="7530F6A3">
            <w:pPr>
              <w:spacing w:line="300" w:lineRule="atLeas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1260" w:type="dxa"/>
            <w:shd w:val="clear" w:color="000000" w:fill="FFFFFF"/>
            <w:noWrap w:val="0"/>
            <w:tcMar>
              <w:left w:w="108" w:type="dxa"/>
              <w:right w:w="108" w:type="dxa"/>
            </w:tcMar>
            <w:vAlign w:val="center"/>
          </w:tcPr>
          <w:p w14:paraId="2651B581">
            <w:pPr>
              <w:spacing w:line="300" w:lineRule="atLeast"/>
              <w:ind w:firstLine="0" w:firstLineChars="0"/>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尾矿库运输道路</w:t>
            </w:r>
            <w:r>
              <w:rPr>
                <w:rFonts w:hint="eastAsia" w:ascii="Times New Roman" w:hAnsi="Times New Roman" w:eastAsia="宋体" w:cs="Times New Roman"/>
                <w:bCs/>
                <w:color w:val="auto"/>
                <w:sz w:val="21"/>
                <w:szCs w:val="21"/>
              </w:rPr>
              <w:t>（</w:t>
            </w:r>
            <w:r>
              <w:rPr>
                <w:rFonts w:ascii="Times New Roman" w:hAnsi="Times New Roman" w:eastAsia="宋体" w:cs="Times New Roman"/>
                <w:bCs/>
                <w:color w:val="auto"/>
                <w:sz w:val="21"/>
                <w:szCs w:val="21"/>
              </w:rPr>
              <w:t>车辆伤害</w:t>
            </w:r>
            <w:r>
              <w:rPr>
                <w:rFonts w:hint="eastAsia" w:ascii="Times New Roman" w:hAnsi="Times New Roman" w:eastAsia="宋体" w:cs="Times New Roman"/>
                <w:bCs/>
                <w:color w:val="auto"/>
                <w:sz w:val="21"/>
                <w:szCs w:val="21"/>
              </w:rPr>
              <w:t>）</w:t>
            </w:r>
          </w:p>
        </w:tc>
        <w:tc>
          <w:tcPr>
            <w:tcW w:w="1440" w:type="dxa"/>
            <w:shd w:val="clear" w:color="auto" w:fill="0000FF"/>
            <w:noWrap w:val="0"/>
            <w:tcMar>
              <w:left w:w="108" w:type="dxa"/>
              <w:right w:w="108" w:type="dxa"/>
            </w:tcMar>
            <w:vAlign w:val="center"/>
          </w:tcPr>
          <w:p w14:paraId="309EB47F">
            <w:pPr>
              <w:spacing w:line="300" w:lineRule="atLeast"/>
              <w:ind w:firstLine="0" w:firstLineChars="0"/>
              <w:jc w:val="center"/>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蓝色风险</w:t>
            </w:r>
          </w:p>
          <w:p w14:paraId="2DEDCF7F">
            <w:pPr>
              <w:spacing w:line="300" w:lineRule="atLeast"/>
              <w:ind w:firstLine="0" w:firstLineChars="0"/>
              <w:jc w:val="center"/>
              <w:rPr>
                <w:rFonts w:ascii="Times New Roman" w:hAnsi="Times New Roman" w:eastAsia="宋体" w:cs="Times New Roman"/>
                <w:bCs/>
                <w:color w:val="auto"/>
                <w:sz w:val="21"/>
                <w:szCs w:val="21"/>
              </w:rPr>
            </w:pPr>
            <w:r>
              <w:rPr>
                <w:rFonts w:hint="eastAsia" w:ascii="Times New Roman" w:hAnsi="Times New Roman" w:eastAsia="宋体" w:cs="Times New Roman"/>
                <w:bCs/>
                <w:color w:val="auto"/>
                <w:sz w:val="21"/>
                <w:szCs w:val="21"/>
              </w:rPr>
              <w:t>（</w:t>
            </w:r>
            <w:r>
              <w:rPr>
                <w:rFonts w:ascii="Times New Roman" w:hAnsi="Times New Roman" w:eastAsia="宋体" w:cs="Times New Roman"/>
                <w:bCs/>
                <w:color w:val="auto"/>
                <w:sz w:val="21"/>
                <w:szCs w:val="21"/>
              </w:rPr>
              <w:t>低风险</w:t>
            </w:r>
            <w:r>
              <w:rPr>
                <w:rFonts w:hint="eastAsia" w:ascii="Times New Roman" w:hAnsi="Times New Roman" w:eastAsia="宋体" w:cs="Times New Roman"/>
                <w:bCs/>
                <w:color w:val="auto"/>
                <w:sz w:val="21"/>
                <w:szCs w:val="21"/>
              </w:rPr>
              <w:t>）</w:t>
            </w:r>
          </w:p>
        </w:tc>
        <w:tc>
          <w:tcPr>
            <w:tcW w:w="5040" w:type="dxa"/>
            <w:gridSpan w:val="2"/>
            <w:shd w:val="clear" w:color="000000" w:fill="FFFFFF"/>
            <w:noWrap w:val="0"/>
            <w:tcMar>
              <w:left w:w="108" w:type="dxa"/>
              <w:right w:w="108" w:type="dxa"/>
            </w:tcMar>
            <w:vAlign w:val="center"/>
          </w:tcPr>
          <w:p w14:paraId="02D0D8EC">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1.在尾矿库尾矿库运输道路旁设置限速标志；</w:t>
            </w:r>
          </w:p>
          <w:p w14:paraId="14F09868">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2.道路路面的宽度、坡度、转弯半径应满足安全要求；</w:t>
            </w:r>
          </w:p>
          <w:p w14:paraId="68C40C01">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3.行驶到转弯道路应及时鸣笛，遇到行人必须避让。</w:t>
            </w:r>
          </w:p>
        </w:tc>
        <w:tc>
          <w:tcPr>
            <w:tcW w:w="4140" w:type="dxa"/>
            <w:shd w:val="clear" w:color="000000" w:fill="FFFFFF"/>
            <w:noWrap w:val="0"/>
            <w:tcMar>
              <w:left w:w="108" w:type="dxa"/>
              <w:right w:w="108" w:type="dxa"/>
            </w:tcMar>
            <w:vAlign w:val="center"/>
          </w:tcPr>
          <w:p w14:paraId="65A8D627">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1.设置限速标志，限速为5km/h；</w:t>
            </w:r>
          </w:p>
          <w:p w14:paraId="0E242A3F">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2.对运输汽车定期要进行维护检修，尤其是刹车系统和动力系统。</w:t>
            </w:r>
          </w:p>
          <w:p w14:paraId="225C4407">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3.运输司机持证上岗，严禁酒驾、疲劳驾驶。</w:t>
            </w:r>
          </w:p>
        </w:tc>
        <w:tc>
          <w:tcPr>
            <w:tcW w:w="2165" w:type="dxa"/>
            <w:shd w:val="clear" w:color="000000" w:fill="FFFFFF"/>
            <w:noWrap w:val="0"/>
            <w:tcMar>
              <w:left w:w="108" w:type="dxa"/>
              <w:right w:w="108" w:type="dxa"/>
            </w:tcMar>
            <w:vAlign w:val="center"/>
          </w:tcPr>
          <w:p w14:paraId="2DCBBF21">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1.系好安全带；</w:t>
            </w:r>
          </w:p>
          <w:p w14:paraId="52EACA6F">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2.穿戴安全帽、工作服、防护鞋、防护手套。</w:t>
            </w:r>
          </w:p>
        </w:tc>
      </w:tr>
      <w:tr w14:paraId="47551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869" w:hRule="atLeast"/>
          <w:jc w:val="center"/>
        </w:trPr>
        <w:tc>
          <w:tcPr>
            <w:tcW w:w="447" w:type="dxa"/>
            <w:vMerge w:val="continue"/>
            <w:shd w:val="clear" w:color="000000" w:fill="FFFFFF"/>
            <w:noWrap w:val="0"/>
            <w:tcMar>
              <w:left w:w="108" w:type="dxa"/>
              <w:right w:w="108" w:type="dxa"/>
            </w:tcMar>
            <w:vAlign w:val="center"/>
          </w:tcPr>
          <w:p w14:paraId="182C20EF">
            <w:pPr>
              <w:spacing w:line="300" w:lineRule="atLeast"/>
              <w:ind w:firstLine="0" w:firstLineChars="0"/>
              <w:jc w:val="center"/>
              <w:rPr>
                <w:rFonts w:ascii="Times New Roman" w:hAnsi="Times New Roman" w:eastAsia="宋体" w:cs="Times New Roman"/>
                <w:color w:val="auto"/>
                <w:sz w:val="21"/>
                <w:szCs w:val="21"/>
              </w:rPr>
            </w:pPr>
          </w:p>
        </w:tc>
        <w:tc>
          <w:tcPr>
            <w:tcW w:w="1260" w:type="dxa"/>
            <w:shd w:val="clear" w:color="000000" w:fill="FFFFFF"/>
            <w:noWrap w:val="0"/>
            <w:tcMar>
              <w:left w:w="108" w:type="dxa"/>
              <w:right w:w="108" w:type="dxa"/>
            </w:tcMar>
            <w:vAlign w:val="center"/>
          </w:tcPr>
          <w:p w14:paraId="6F79D572">
            <w:pPr>
              <w:spacing w:line="300" w:lineRule="atLeast"/>
              <w:ind w:firstLine="0" w:firstLineChars="0"/>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值班房、库内用电设施</w:t>
            </w:r>
            <w:r>
              <w:rPr>
                <w:rFonts w:hint="eastAsia" w:ascii="Times New Roman" w:hAnsi="Times New Roman" w:eastAsia="宋体" w:cs="Times New Roman"/>
                <w:bCs/>
                <w:color w:val="auto"/>
                <w:sz w:val="21"/>
                <w:szCs w:val="21"/>
              </w:rPr>
              <w:t>（</w:t>
            </w:r>
            <w:r>
              <w:rPr>
                <w:rFonts w:ascii="Times New Roman" w:hAnsi="Times New Roman" w:eastAsia="宋体" w:cs="Times New Roman"/>
                <w:bCs/>
                <w:color w:val="auto"/>
                <w:sz w:val="21"/>
                <w:szCs w:val="21"/>
              </w:rPr>
              <w:t>触电</w:t>
            </w:r>
            <w:r>
              <w:rPr>
                <w:rFonts w:hint="eastAsia" w:ascii="Times New Roman" w:hAnsi="Times New Roman" w:eastAsia="宋体" w:cs="Times New Roman"/>
                <w:bCs/>
                <w:color w:val="auto"/>
                <w:sz w:val="21"/>
                <w:szCs w:val="21"/>
              </w:rPr>
              <w:t>）</w:t>
            </w:r>
          </w:p>
        </w:tc>
        <w:tc>
          <w:tcPr>
            <w:tcW w:w="1440" w:type="dxa"/>
            <w:shd w:val="clear" w:color="auto" w:fill="0000FF"/>
            <w:noWrap w:val="0"/>
            <w:tcMar>
              <w:left w:w="108" w:type="dxa"/>
              <w:right w:w="108" w:type="dxa"/>
            </w:tcMar>
            <w:vAlign w:val="center"/>
          </w:tcPr>
          <w:p w14:paraId="00AD688D">
            <w:pPr>
              <w:spacing w:line="300" w:lineRule="atLeast"/>
              <w:ind w:firstLine="0" w:firstLineChars="0"/>
              <w:jc w:val="center"/>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蓝色风险</w:t>
            </w:r>
          </w:p>
          <w:p w14:paraId="01CB19B8">
            <w:pPr>
              <w:spacing w:line="300" w:lineRule="atLeast"/>
              <w:ind w:firstLine="0" w:firstLineChars="0"/>
              <w:jc w:val="center"/>
              <w:rPr>
                <w:rFonts w:ascii="Times New Roman" w:hAnsi="Times New Roman" w:eastAsia="宋体" w:cs="Times New Roman"/>
                <w:bCs/>
                <w:color w:val="auto"/>
                <w:sz w:val="21"/>
                <w:szCs w:val="21"/>
              </w:rPr>
            </w:pPr>
            <w:r>
              <w:rPr>
                <w:rFonts w:hint="eastAsia" w:ascii="Times New Roman" w:hAnsi="Times New Roman" w:eastAsia="宋体" w:cs="Times New Roman"/>
                <w:bCs/>
                <w:color w:val="auto"/>
                <w:sz w:val="21"/>
                <w:szCs w:val="21"/>
              </w:rPr>
              <w:t>（</w:t>
            </w:r>
            <w:r>
              <w:rPr>
                <w:rFonts w:ascii="Times New Roman" w:hAnsi="Times New Roman" w:eastAsia="宋体" w:cs="Times New Roman"/>
                <w:bCs/>
                <w:color w:val="auto"/>
                <w:sz w:val="21"/>
                <w:szCs w:val="21"/>
              </w:rPr>
              <w:t>低风险</w:t>
            </w:r>
            <w:r>
              <w:rPr>
                <w:rFonts w:hint="eastAsia" w:ascii="Times New Roman" w:hAnsi="Times New Roman" w:eastAsia="宋体" w:cs="Times New Roman"/>
                <w:bCs/>
                <w:color w:val="auto"/>
                <w:sz w:val="21"/>
                <w:szCs w:val="21"/>
              </w:rPr>
              <w:t>）</w:t>
            </w:r>
          </w:p>
        </w:tc>
        <w:tc>
          <w:tcPr>
            <w:tcW w:w="5040" w:type="dxa"/>
            <w:gridSpan w:val="2"/>
            <w:shd w:val="clear" w:color="000000" w:fill="FFFFFF"/>
            <w:noWrap w:val="0"/>
            <w:tcMar>
              <w:left w:w="108" w:type="dxa"/>
              <w:right w:w="108" w:type="dxa"/>
            </w:tcMar>
            <w:vAlign w:val="center"/>
          </w:tcPr>
          <w:p w14:paraId="312521AE">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1.要制定电工安全操作规程；</w:t>
            </w:r>
          </w:p>
          <w:p w14:paraId="26CD3F2F">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2.电工要取得电工证方能上岗作业；</w:t>
            </w:r>
          </w:p>
          <w:p w14:paraId="478EE1F2">
            <w:pPr>
              <w:widowControl/>
              <w:spacing w:line="300" w:lineRule="atLeast"/>
              <w:ind w:firstLine="0" w:firstLineChars="0"/>
              <w:textAlignment w:val="center"/>
              <w:rPr>
                <w:rFonts w:hint="eastAsia" w:ascii="Times New Roman" w:hAnsi="Times New Roman" w:eastAsia="宋体" w:cs="Times New Roman"/>
                <w:color w:val="auto"/>
                <w:sz w:val="21"/>
                <w:szCs w:val="21"/>
              </w:rPr>
            </w:pPr>
            <w:r>
              <w:rPr>
                <w:rFonts w:ascii="Times New Roman" w:hAnsi="Times New Roman" w:eastAsia="宋体" w:cs="Times New Roman"/>
                <w:color w:val="auto"/>
                <w:sz w:val="21"/>
                <w:szCs w:val="21"/>
              </w:rPr>
              <w:t>3.线路安装必须执行施工现场用电安全技术规范。</w:t>
            </w:r>
          </w:p>
          <w:p w14:paraId="7177BC85">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4.临时配电线路必须按规范架设，架空线必须采用绝缘导线，不得采用塑胶软线，不得成束架空敷设，不得沿地面明敷。</w:t>
            </w:r>
          </w:p>
        </w:tc>
        <w:tc>
          <w:tcPr>
            <w:tcW w:w="4140" w:type="dxa"/>
            <w:shd w:val="clear" w:color="000000" w:fill="FFFFFF"/>
            <w:noWrap w:val="0"/>
            <w:tcMar>
              <w:left w:w="108" w:type="dxa"/>
              <w:right w:w="108" w:type="dxa"/>
            </w:tcMar>
            <w:vAlign w:val="center"/>
          </w:tcPr>
          <w:p w14:paraId="3A7C7874">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1.建立临时用电检查制度，按临时用电管理规定对现场的各种线路和设施进行检查和不定期抽查，并将检查、抽查记录存档；</w:t>
            </w:r>
          </w:p>
          <w:p w14:paraId="799D5F8D">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2.配电箱要标明名称、控制的各线路编号、用途。</w:t>
            </w:r>
          </w:p>
        </w:tc>
        <w:tc>
          <w:tcPr>
            <w:tcW w:w="2165" w:type="dxa"/>
            <w:shd w:val="clear" w:color="000000" w:fill="FFFFFF"/>
            <w:noWrap w:val="0"/>
            <w:tcMar>
              <w:left w:w="108" w:type="dxa"/>
              <w:right w:w="108" w:type="dxa"/>
            </w:tcMar>
            <w:vAlign w:val="center"/>
          </w:tcPr>
          <w:p w14:paraId="51DA8562">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检查和操作人员必须规定穿戴绝缘胶鞋、绝缘手套，必须使用电工专用绝缘工具。</w:t>
            </w:r>
          </w:p>
        </w:tc>
      </w:tr>
      <w:tr w14:paraId="18472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04" w:hRule="atLeast"/>
          <w:jc w:val="center"/>
        </w:trPr>
        <w:tc>
          <w:tcPr>
            <w:tcW w:w="447" w:type="dxa"/>
            <w:vMerge w:val="continue"/>
            <w:shd w:val="clear" w:color="000000" w:fill="FFFFFF"/>
            <w:noWrap w:val="0"/>
            <w:tcMar>
              <w:left w:w="108" w:type="dxa"/>
              <w:right w:w="108" w:type="dxa"/>
            </w:tcMar>
            <w:vAlign w:val="center"/>
          </w:tcPr>
          <w:p w14:paraId="1FB18CAE">
            <w:pPr>
              <w:spacing w:line="300" w:lineRule="atLeast"/>
              <w:ind w:firstLine="0" w:firstLineChars="0"/>
              <w:jc w:val="center"/>
              <w:rPr>
                <w:rFonts w:ascii="Times New Roman" w:hAnsi="Times New Roman" w:eastAsia="宋体" w:cs="Times New Roman"/>
                <w:color w:val="auto"/>
                <w:sz w:val="21"/>
                <w:szCs w:val="21"/>
              </w:rPr>
            </w:pPr>
          </w:p>
        </w:tc>
        <w:tc>
          <w:tcPr>
            <w:tcW w:w="1260" w:type="dxa"/>
            <w:shd w:val="clear" w:color="000000" w:fill="FFFFFF"/>
            <w:noWrap w:val="0"/>
            <w:tcMar>
              <w:left w:w="108" w:type="dxa"/>
              <w:right w:w="108" w:type="dxa"/>
            </w:tcMar>
            <w:vAlign w:val="center"/>
          </w:tcPr>
          <w:p w14:paraId="593E09F0">
            <w:pPr>
              <w:spacing w:line="300" w:lineRule="atLeast"/>
              <w:ind w:firstLine="0" w:firstLineChars="0"/>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巡坝、安全检查</w:t>
            </w:r>
            <w:r>
              <w:rPr>
                <w:rFonts w:hint="eastAsia" w:ascii="Times New Roman" w:hAnsi="Times New Roman" w:eastAsia="宋体" w:cs="Times New Roman"/>
                <w:bCs/>
                <w:color w:val="auto"/>
                <w:sz w:val="21"/>
                <w:szCs w:val="21"/>
              </w:rPr>
              <w:t>（</w:t>
            </w:r>
            <w:r>
              <w:rPr>
                <w:rFonts w:ascii="Times New Roman" w:hAnsi="Times New Roman" w:eastAsia="宋体" w:cs="Times New Roman"/>
                <w:bCs/>
                <w:color w:val="auto"/>
                <w:sz w:val="21"/>
                <w:szCs w:val="21"/>
              </w:rPr>
              <w:t>高处坠落</w:t>
            </w:r>
            <w:r>
              <w:rPr>
                <w:rFonts w:hint="eastAsia" w:ascii="Times New Roman" w:hAnsi="Times New Roman" w:eastAsia="宋体" w:cs="Times New Roman"/>
                <w:bCs/>
                <w:color w:val="auto"/>
                <w:sz w:val="21"/>
                <w:szCs w:val="21"/>
              </w:rPr>
              <w:t>）</w:t>
            </w:r>
          </w:p>
        </w:tc>
        <w:tc>
          <w:tcPr>
            <w:tcW w:w="1440" w:type="dxa"/>
            <w:shd w:val="clear" w:color="auto" w:fill="0000FF"/>
            <w:noWrap w:val="0"/>
            <w:tcMar>
              <w:left w:w="108" w:type="dxa"/>
              <w:right w:w="108" w:type="dxa"/>
            </w:tcMar>
            <w:vAlign w:val="center"/>
          </w:tcPr>
          <w:p w14:paraId="6926D292">
            <w:pPr>
              <w:spacing w:line="300" w:lineRule="atLeast"/>
              <w:ind w:firstLine="0" w:firstLineChars="0"/>
              <w:jc w:val="center"/>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蓝色风险</w:t>
            </w:r>
          </w:p>
          <w:p w14:paraId="435B3513">
            <w:pPr>
              <w:spacing w:line="300" w:lineRule="atLeast"/>
              <w:ind w:firstLine="0" w:firstLineChars="0"/>
              <w:jc w:val="center"/>
              <w:rPr>
                <w:rFonts w:hint="eastAsia" w:ascii="Times New Roman" w:hAnsi="Times New Roman" w:eastAsia="宋体" w:cs="Times New Roman"/>
                <w:bCs/>
                <w:color w:val="auto"/>
                <w:sz w:val="21"/>
                <w:szCs w:val="21"/>
              </w:rPr>
            </w:pPr>
            <w:r>
              <w:rPr>
                <w:rFonts w:hint="eastAsia" w:ascii="Times New Roman" w:hAnsi="Times New Roman" w:eastAsia="宋体" w:cs="Times New Roman"/>
                <w:bCs/>
                <w:color w:val="auto"/>
                <w:sz w:val="21"/>
                <w:szCs w:val="21"/>
              </w:rPr>
              <w:t>（低</w:t>
            </w:r>
            <w:r>
              <w:rPr>
                <w:rFonts w:ascii="Times New Roman" w:hAnsi="Times New Roman" w:eastAsia="宋体" w:cs="Times New Roman"/>
                <w:bCs/>
                <w:color w:val="auto"/>
                <w:sz w:val="21"/>
                <w:szCs w:val="21"/>
              </w:rPr>
              <w:t>风险</w:t>
            </w:r>
            <w:r>
              <w:rPr>
                <w:rFonts w:hint="eastAsia" w:ascii="Times New Roman" w:hAnsi="Times New Roman" w:eastAsia="宋体" w:cs="Times New Roman"/>
                <w:bCs/>
                <w:color w:val="auto"/>
                <w:sz w:val="21"/>
                <w:szCs w:val="21"/>
              </w:rPr>
              <w:t>）</w:t>
            </w:r>
          </w:p>
        </w:tc>
        <w:tc>
          <w:tcPr>
            <w:tcW w:w="5025" w:type="dxa"/>
            <w:shd w:val="clear" w:color="000000" w:fill="FFFFFF"/>
            <w:noWrap w:val="0"/>
            <w:tcMar>
              <w:left w:w="108" w:type="dxa"/>
              <w:right w:w="108" w:type="dxa"/>
            </w:tcMar>
            <w:vAlign w:val="center"/>
          </w:tcPr>
          <w:p w14:paraId="211BCF11">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在坝顶、库内设置高处坠落警示标志。</w:t>
            </w:r>
          </w:p>
        </w:tc>
        <w:tc>
          <w:tcPr>
            <w:tcW w:w="4155" w:type="dxa"/>
            <w:gridSpan w:val="2"/>
            <w:shd w:val="clear" w:color="000000" w:fill="FFFFFF"/>
            <w:noWrap w:val="0"/>
            <w:tcMar>
              <w:left w:w="108" w:type="dxa"/>
              <w:right w:w="108" w:type="dxa"/>
            </w:tcMar>
            <w:vAlign w:val="center"/>
          </w:tcPr>
          <w:p w14:paraId="49E7E689">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定期对坝顶、库内警示标志进行检查，如有缺失要及时完善。</w:t>
            </w:r>
          </w:p>
        </w:tc>
        <w:tc>
          <w:tcPr>
            <w:tcW w:w="2165" w:type="dxa"/>
            <w:shd w:val="clear" w:color="000000" w:fill="FFFFFF"/>
            <w:noWrap w:val="0"/>
            <w:tcMar>
              <w:left w:w="108" w:type="dxa"/>
              <w:right w:w="108" w:type="dxa"/>
            </w:tcMar>
            <w:vAlign w:val="center"/>
          </w:tcPr>
          <w:p w14:paraId="27B526B6">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穿戴安全帽、工作服、防护鞋、防护手套。</w:t>
            </w:r>
          </w:p>
        </w:tc>
      </w:tr>
      <w:tr w14:paraId="029CB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67" w:hRule="atLeast"/>
          <w:jc w:val="center"/>
        </w:trPr>
        <w:tc>
          <w:tcPr>
            <w:tcW w:w="447" w:type="dxa"/>
            <w:vMerge w:val="restart"/>
            <w:shd w:val="clear" w:color="000000" w:fill="FFFFFF"/>
            <w:noWrap w:val="0"/>
            <w:tcMar>
              <w:left w:w="108" w:type="dxa"/>
              <w:right w:w="108" w:type="dxa"/>
            </w:tcMar>
            <w:vAlign w:val="center"/>
          </w:tcPr>
          <w:p w14:paraId="0FBE4F83">
            <w:pPr>
              <w:spacing w:line="300" w:lineRule="atLeas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w:t>
            </w:r>
          </w:p>
        </w:tc>
        <w:tc>
          <w:tcPr>
            <w:tcW w:w="1260" w:type="dxa"/>
            <w:shd w:val="clear" w:color="000000" w:fill="FFFFFF"/>
            <w:noWrap w:val="0"/>
            <w:tcMar>
              <w:left w:w="108" w:type="dxa"/>
              <w:right w:w="108" w:type="dxa"/>
            </w:tcMar>
            <w:vAlign w:val="center"/>
          </w:tcPr>
          <w:p w14:paraId="3C9BFA31">
            <w:pPr>
              <w:spacing w:line="300" w:lineRule="atLeast"/>
              <w:ind w:firstLine="0" w:firstLineChars="0"/>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库内</w:t>
            </w:r>
            <w:r>
              <w:rPr>
                <w:rFonts w:hint="eastAsia" w:ascii="Times New Roman" w:hAnsi="Times New Roman" w:eastAsia="宋体" w:cs="Times New Roman"/>
                <w:bCs/>
                <w:color w:val="auto"/>
                <w:sz w:val="21"/>
                <w:szCs w:val="21"/>
              </w:rPr>
              <w:t>活动（</w:t>
            </w:r>
            <w:r>
              <w:rPr>
                <w:rFonts w:ascii="Times New Roman" w:hAnsi="Times New Roman" w:eastAsia="宋体" w:cs="Times New Roman"/>
                <w:bCs/>
                <w:color w:val="auto"/>
                <w:sz w:val="21"/>
                <w:szCs w:val="21"/>
              </w:rPr>
              <w:t>淹溺</w:t>
            </w:r>
            <w:r>
              <w:rPr>
                <w:rFonts w:hint="eastAsia" w:ascii="Times New Roman" w:hAnsi="Times New Roman" w:eastAsia="宋体" w:cs="Times New Roman"/>
                <w:bCs/>
                <w:color w:val="auto"/>
                <w:sz w:val="21"/>
                <w:szCs w:val="21"/>
              </w:rPr>
              <w:t>）</w:t>
            </w:r>
          </w:p>
        </w:tc>
        <w:tc>
          <w:tcPr>
            <w:tcW w:w="1440" w:type="dxa"/>
            <w:shd w:val="clear" w:color="auto" w:fill="FFFF00"/>
            <w:noWrap w:val="0"/>
            <w:tcMar>
              <w:left w:w="108" w:type="dxa"/>
              <w:right w:w="108" w:type="dxa"/>
            </w:tcMar>
            <w:vAlign w:val="center"/>
          </w:tcPr>
          <w:p w14:paraId="0944BAD4">
            <w:pPr>
              <w:spacing w:line="300" w:lineRule="atLeast"/>
              <w:ind w:firstLine="0" w:firstLineChars="0"/>
              <w:jc w:val="center"/>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黄色风险</w:t>
            </w:r>
          </w:p>
          <w:p w14:paraId="5E4F8980">
            <w:pPr>
              <w:spacing w:line="300" w:lineRule="atLeast"/>
              <w:ind w:firstLine="0" w:firstLineChars="0"/>
              <w:rPr>
                <w:rFonts w:ascii="Times New Roman" w:hAnsi="Times New Roman" w:eastAsia="宋体" w:cs="Times New Roman"/>
                <w:bCs/>
                <w:color w:val="auto"/>
                <w:sz w:val="21"/>
                <w:szCs w:val="21"/>
              </w:rPr>
            </w:pPr>
            <w:r>
              <w:rPr>
                <w:rFonts w:hint="eastAsia" w:ascii="Times New Roman" w:hAnsi="Times New Roman" w:eastAsia="宋体" w:cs="Times New Roman"/>
                <w:bCs/>
                <w:color w:val="auto"/>
                <w:sz w:val="21"/>
                <w:szCs w:val="21"/>
              </w:rPr>
              <w:t>（</w:t>
            </w:r>
            <w:r>
              <w:rPr>
                <w:rFonts w:ascii="Times New Roman" w:hAnsi="Times New Roman" w:eastAsia="宋体" w:cs="Times New Roman"/>
                <w:bCs/>
                <w:color w:val="auto"/>
                <w:sz w:val="21"/>
                <w:szCs w:val="21"/>
              </w:rPr>
              <w:t>一般风险</w:t>
            </w:r>
            <w:r>
              <w:rPr>
                <w:rFonts w:hint="eastAsia" w:ascii="Times New Roman" w:hAnsi="Times New Roman" w:eastAsia="宋体" w:cs="Times New Roman"/>
                <w:bCs/>
                <w:color w:val="auto"/>
                <w:sz w:val="21"/>
                <w:szCs w:val="21"/>
              </w:rPr>
              <w:t>）</w:t>
            </w:r>
          </w:p>
        </w:tc>
        <w:tc>
          <w:tcPr>
            <w:tcW w:w="5025" w:type="dxa"/>
            <w:shd w:val="clear" w:color="000000" w:fill="FFFFFF"/>
            <w:noWrap w:val="0"/>
            <w:tcMar>
              <w:left w:w="108" w:type="dxa"/>
              <w:right w:w="108" w:type="dxa"/>
            </w:tcMar>
            <w:vAlign w:val="center"/>
          </w:tcPr>
          <w:p w14:paraId="5FAD7ADA">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1.尾矿库设置醒目的警示标志，严禁人员嬉水；</w:t>
            </w:r>
          </w:p>
          <w:p w14:paraId="0E86ADBB">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2.存在淹溺风险的区域旁要配备救援设施，如救生衣、游泳圈、安全绳；</w:t>
            </w:r>
          </w:p>
        </w:tc>
        <w:tc>
          <w:tcPr>
            <w:tcW w:w="4155" w:type="dxa"/>
            <w:gridSpan w:val="2"/>
            <w:shd w:val="clear" w:color="000000" w:fill="FFFFFF"/>
            <w:noWrap w:val="0"/>
            <w:tcMar>
              <w:left w:w="108" w:type="dxa"/>
              <w:right w:w="108" w:type="dxa"/>
            </w:tcMar>
            <w:vAlign w:val="center"/>
          </w:tcPr>
          <w:p w14:paraId="26BA5FA0">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1.加强尾矿库淹溺风险的安全教育与宣传；</w:t>
            </w:r>
          </w:p>
          <w:p w14:paraId="51B3B245">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2.加强尾矿库安全巡查，一旦发现有淹溺事故，立即进行施救。</w:t>
            </w:r>
          </w:p>
        </w:tc>
        <w:tc>
          <w:tcPr>
            <w:tcW w:w="2165" w:type="dxa"/>
            <w:shd w:val="clear" w:color="000000" w:fill="FFFFFF"/>
            <w:noWrap w:val="0"/>
            <w:tcMar>
              <w:left w:w="108" w:type="dxa"/>
              <w:right w:w="108" w:type="dxa"/>
            </w:tcMar>
            <w:vAlign w:val="center"/>
          </w:tcPr>
          <w:p w14:paraId="5C93EE14">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穿戴安全帽、工作服、防护鞋、防护手套。</w:t>
            </w:r>
          </w:p>
        </w:tc>
      </w:tr>
      <w:tr w14:paraId="46A60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8" w:hRule="atLeast"/>
          <w:jc w:val="center"/>
        </w:trPr>
        <w:tc>
          <w:tcPr>
            <w:tcW w:w="447" w:type="dxa"/>
            <w:vMerge w:val="continue"/>
            <w:shd w:val="clear" w:color="000000" w:fill="FFFFFF"/>
            <w:noWrap w:val="0"/>
            <w:tcMar>
              <w:left w:w="108" w:type="dxa"/>
              <w:right w:w="108" w:type="dxa"/>
            </w:tcMar>
            <w:vAlign w:val="center"/>
          </w:tcPr>
          <w:p w14:paraId="10030FF2">
            <w:pPr>
              <w:spacing w:line="300" w:lineRule="atLeast"/>
              <w:ind w:firstLine="0" w:firstLineChars="0"/>
              <w:jc w:val="center"/>
              <w:rPr>
                <w:rFonts w:ascii="Times New Roman" w:hAnsi="Times New Roman" w:eastAsia="宋体" w:cs="Times New Roman"/>
                <w:color w:val="auto"/>
                <w:sz w:val="21"/>
                <w:szCs w:val="21"/>
              </w:rPr>
            </w:pPr>
          </w:p>
        </w:tc>
        <w:tc>
          <w:tcPr>
            <w:tcW w:w="1260" w:type="dxa"/>
            <w:shd w:val="clear" w:color="000000" w:fill="FFFFFF"/>
            <w:noWrap w:val="0"/>
            <w:tcMar>
              <w:left w:w="108" w:type="dxa"/>
              <w:right w:w="108" w:type="dxa"/>
            </w:tcMar>
            <w:vAlign w:val="center"/>
          </w:tcPr>
          <w:p w14:paraId="27682FD1">
            <w:pPr>
              <w:spacing w:line="300" w:lineRule="atLeast"/>
              <w:ind w:firstLine="0" w:firstLineChars="0"/>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回水泵房</w:t>
            </w:r>
          </w:p>
        </w:tc>
        <w:tc>
          <w:tcPr>
            <w:tcW w:w="1440" w:type="dxa"/>
            <w:shd w:val="clear" w:color="auto" w:fill="FFFF00"/>
            <w:noWrap w:val="0"/>
            <w:tcMar>
              <w:left w:w="108" w:type="dxa"/>
              <w:right w:w="108" w:type="dxa"/>
            </w:tcMar>
            <w:vAlign w:val="center"/>
          </w:tcPr>
          <w:p w14:paraId="450A273E">
            <w:pPr>
              <w:spacing w:line="300" w:lineRule="atLeast"/>
              <w:ind w:firstLine="0" w:firstLineChars="0"/>
              <w:jc w:val="center"/>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黄色风险</w:t>
            </w:r>
          </w:p>
          <w:p w14:paraId="6C1517C2">
            <w:pPr>
              <w:spacing w:line="300" w:lineRule="atLeast"/>
              <w:ind w:firstLine="0" w:firstLineChars="0"/>
              <w:rPr>
                <w:rFonts w:ascii="Times New Roman" w:hAnsi="Times New Roman" w:eastAsia="宋体" w:cs="Times New Roman"/>
                <w:bCs/>
                <w:color w:val="auto"/>
                <w:sz w:val="21"/>
                <w:szCs w:val="21"/>
              </w:rPr>
            </w:pPr>
            <w:r>
              <w:rPr>
                <w:rFonts w:hint="eastAsia" w:ascii="Times New Roman" w:hAnsi="Times New Roman" w:eastAsia="宋体" w:cs="Times New Roman"/>
                <w:bCs/>
                <w:color w:val="auto"/>
                <w:sz w:val="21"/>
                <w:szCs w:val="21"/>
              </w:rPr>
              <w:t>（</w:t>
            </w:r>
            <w:r>
              <w:rPr>
                <w:rFonts w:ascii="Times New Roman" w:hAnsi="Times New Roman" w:eastAsia="宋体" w:cs="Times New Roman"/>
                <w:bCs/>
                <w:color w:val="auto"/>
                <w:sz w:val="21"/>
                <w:szCs w:val="21"/>
              </w:rPr>
              <w:t>一般风险</w:t>
            </w:r>
            <w:r>
              <w:rPr>
                <w:rFonts w:hint="eastAsia" w:ascii="Times New Roman" w:hAnsi="Times New Roman" w:eastAsia="宋体" w:cs="Times New Roman"/>
                <w:bCs/>
                <w:color w:val="auto"/>
                <w:sz w:val="21"/>
                <w:szCs w:val="21"/>
              </w:rPr>
              <w:t>）</w:t>
            </w:r>
          </w:p>
        </w:tc>
        <w:tc>
          <w:tcPr>
            <w:tcW w:w="5025" w:type="dxa"/>
            <w:shd w:val="clear" w:color="000000" w:fill="FFFFFF"/>
            <w:noWrap w:val="0"/>
            <w:tcMar>
              <w:left w:w="108" w:type="dxa"/>
              <w:right w:w="108" w:type="dxa"/>
            </w:tcMar>
            <w:vAlign w:val="center"/>
          </w:tcPr>
          <w:p w14:paraId="542ECCFD">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1.回水泵良好接地，接地电阻4Ω以下；</w:t>
            </w:r>
          </w:p>
          <w:p w14:paraId="0554EBA7">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2.开关、接线盒、照明灯具、电力线路保持良好状态，线路接头良好包扎，不裸露，及时更换损坏的开关、接线盒、照明灯具；</w:t>
            </w:r>
          </w:p>
          <w:p w14:paraId="11F1AC96">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3.开关、接线盒均安装在绝缘板上；照明灯具有防雨罩；回水泵房设遮阳棚（避雨棚）；</w:t>
            </w:r>
          </w:p>
          <w:p w14:paraId="0D5B4961">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4.树立防止触电、高压危险、禁止触摸等安全警示牌。</w:t>
            </w:r>
          </w:p>
        </w:tc>
        <w:tc>
          <w:tcPr>
            <w:tcW w:w="4155" w:type="dxa"/>
            <w:gridSpan w:val="2"/>
            <w:shd w:val="clear" w:color="000000" w:fill="FFFFFF"/>
            <w:noWrap w:val="0"/>
            <w:tcMar>
              <w:left w:w="108" w:type="dxa"/>
              <w:right w:w="108" w:type="dxa"/>
            </w:tcMar>
            <w:vAlign w:val="center"/>
          </w:tcPr>
          <w:p w14:paraId="0B375336">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1.加强回水泵房各设备设施的检查与维护；</w:t>
            </w:r>
          </w:p>
          <w:p w14:paraId="262416F7">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2.员工发现设备设施故障或损坏，应及时告知选厂厂长，由电工等维修人员予以处理。</w:t>
            </w:r>
          </w:p>
          <w:p w14:paraId="1284FF50">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3.处理故障时，应切断电源操作，并设监护人监督。故障处理完毕，方可送电。</w:t>
            </w:r>
          </w:p>
          <w:p w14:paraId="4715C863">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4.补充或更换安全警示牌。</w:t>
            </w:r>
          </w:p>
        </w:tc>
        <w:tc>
          <w:tcPr>
            <w:tcW w:w="2165" w:type="dxa"/>
            <w:shd w:val="clear" w:color="000000" w:fill="FFFFFF"/>
            <w:noWrap w:val="0"/>
            <w:tcMar>
              <w:left w:w="108" w:type="dxa"/>
              <w:right w:w="108" w:type="dxa"/>
            </w:tcMar>
            <w:vAlign w:val="center"/>
          </w:tcPr>
          <w:p w14:paraId="25B063E8">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操作人员应穿戴好相应的劳动防护用品，如绝缘手套、绝缘鞋等。</w:t>
            </w:r>
          </w:p>
        </w:tc>
      </w:tr>
      <w:tr w14:paraId="25F01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781" w:hRule="atLeast"/>
          <w:jc w:val="center"/>
        </w:trPr>
        <w:tc>
          <w:tcPr>
            <w:tcW w:w="447" w:type="dxa"/>
            <w:vMerge w:val="restart"/>
            <w:shd w:val="clear" w:color="000000" w:fill="FFFFFF"/>
            <w:noWrap w:val="0"/>
            <w:tcMar>
              <w:left w:w="108" w:type="dxa"/>
              <w:right w:w="108" w:type="dxa"/>
            </w:tcMar>
            <w:vAlign w:val="center"/>
          </w:tcPr>
          <w:p w14:paraId="3204217D">
            <w:pPr>
              <w:spacing w:line="300" w:lineRule="atLeas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1260" w:type="dxa"/>
            <w:shd w:val="clear" w:color="000000" w:fill="FFFFFF"/>
            <w:noWrap w:val="0"/>
            <w:tcMar>
              <w:left w:w="108" w:type="dxa"/>
              <w:right w:w="108" w:type="dxa"/>
            </w:tcMar>
            <w:vAlign w:val="center"/>
          </w:tcPr>
          <w:p w14:paraId="47704805">
            <w:pPr>
              <w:spacing w:line="300" w:lineRule="atLeast"/>
              <w:ind w:firstLine="0" w:firstLineChars="0"/>
              <w:rPr>
                <w:rFonts w:hint="eastAsia"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坝体坍塌</w:t>
            </w:r>
          </w:p>
          <w:p w14:paraId="6124E742">
            <w:pPr>
              <w:spacing w:line="300" w:lineRule="atLeast"/>
              <w:ind w:firstLine="0" w:firstLineChars="0"/>
              <w:rPr>
                <w:rFonts w:hint="eastAsia" w:ascii="Times New Roman" w:hAnsi="Times New Roman" w:eastAsia="宋体" w:cs="Times New Roman"/>
                <w:bCs/>
                <w:color w:val="auto"/>
                <w:sz w:val="21"/>
                <w:szCs w:val="21"/>
              </w:rPr>
            </w:pPr>
            <w:r>
              <w:rPr>
                <w:rFonts w:hint="eastAsia" w:ascii="Times New Roman" w:hAnsi="Times New Roman" w:eastAsia="宋体" w:cs="Times New Roman"/>
                <w:bCs/>
                <w:color w:val="auto"/>
                <w:sz w:val="21"/>
                <w:szCs w:val="21"/>
              </w:rPr>
              <w:t>（垮塌）</w:t>
            </w:r>
          </w:p>
        </w:tc>
        <w:tc>
          <w:tcPr>
            <w:tcW w:w="1440" w:type="dxa"/>
            <w:shd w:val="clear" w:color="auto" w:fill="FF6600"/>
            <w:noWrap w:val="0"/>
            <w:tcMar>
              <w:left w:w="108" w:type="dxa"/>
              <w:right w:w="108" w:type="dxa"/>
            </w:tcMar>
            <w:vAlign w:val="center"/>
          </w:tcPr>
          <w:p w14:paraId="67E4A7D7">
            <w:pPr>
              <w:spacing w:line="300" w:lineRule="atLeast"/>
              <w:ind w:firstLine="0" w:firstLineChars="0"/>
              <w:jc w:val="center"/>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橙色风险</w:t>
            </w:r>
          </w:p>
          <w:p w14:paraId="67CAAF5A">
            <w:pPr>
              <w:spacing w:line="300" w:lineRule="atLeast"/>
              <w:ind w:firstLine="0" w:firstLineChars="0"/>
              <w:jc w:val="center"/>
              <w:rPr>
                <w:rFonts w:ascii="Times New Roman" w:hAnsi="Times New Roman" w:eastAsia="宋体" w:cs="Times New Roman"/>
                <w:bCs/>
                <w:color w:val="auto"/>
                <w:sz w:val="21"/>
                <w:szCs w:val="21"/>
              </w:rPr>
            </w:pPr>
            <w:r>
              <w:rPr>
                <w:rFonts w:hint="eastAsia" w:ascii="Times New Roman" w:hAnsi="Times New Roman" w:eastAsia="宋体" w:cs="Times New Roman"/>
                <w:bCs/>
                <w:color w:val="auto"/>
                <w:sz w:val="21"/>
                <w:szCs w:val="21"/>
              </w:rPr>
              <w:t>（</w:t>
            </w:r>
            <w:r>
              <w:rPr>
                <w:rFonts w:ascii="Times New Roman" w:hAnsi="Times New Roman" w:eastAsia="宋体" w:cs="Times New Roman"/>
                <w:bCs/>
                <w:color w:val="auto"/>
                <w:sz w:val="21"/>
                <w:szCs w:val="21"/>
              </w:rPr>
              <w:t>较大风险</w:t>
            </w:r>
            <w:r>
              <w:rPr>
                <w:rFonts w:hint="eastAsia" w:ascii="Times New Roman" w:hAnsi="Times New Roman" w:eastAsia="宋体" w:cs="Times New Roman"/>
                <w:bCs/>
                <w:color w:val="auto"/>
                <w:sz w:val="21"/>
                <w:szCs w:val="21"/>
              </w:rPr>
              <w:t>）</w:t>
            </w:r>
          </w:p>
        </w:tc>
        <w:tc>
          <w:tcPr>
            <w:tcW w:w="5025" w:type="dxa"/>
            <w:shd w:val="clear" w:color="000000" w:fill="FFFFFF"/>
            <w:noWrap w:val="0"/>
            <w:tcMar>
              <w:left w:w="108" w:type="dxa"/>
              <w:right w:w="108" w:type="dxa"/>
            </w:tcMar>
            <w:vAlign w:val="center"/>
          </w:tcPr>
          <w:p w14:paraId="514AC4FB">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1.加强安全检查。检查内容包括：坝的轮廓尺寸，变形，裂缝、滑坡和渗漏，坝面保护等；</w:t>
            </w:r>
          </w:p>
          <w:p w14:paraId="58948A09">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2.检测坝的外坡坡比。每100m坝长不少于2处，应选在最大坝高断面和坝坡较陡断面。水平距离和标高的测量误差不大于10mm。尾矿坝</w:t>
            </w:r>
            <w:r>
              <w:rPr>
                <w:rFonts w:ascii="Times New Roman" w:hAnsi="Times New Roman" w:eastAsia="宋体" w:cs="Times New Roman"/>
                <w:bCs/>
                <w:color w:val="auto"/>
                <w:sz w:val="21"/>
                <w:szCs w:val="21"/>
              </w:rPr>
              <w:t>实际坡比</w:t>
            </w:r>
            <w:r>
              <w:rPr>
                <w:rFonts w:ascii="Times New Roman" w:hAnsi="Times New Roman" w:eastAsia="宋体" w:cs="Times New Roman"/>
                <w:color w:val="auto"/>
                <w:sz w:val="21"/>
                <w:szCs w:val="21"/>
              </w:rPr>
              <w:t>陡于</w:t>
            </w:r>
            <w:r>
              <w:rPr>
                <w:rFonts w:ascii="Times New Roman" w:hAnsi="Times New Roman" w:eastAsia="宋体" w:cs="Times New Roman"/>
                <w:bCs/>
                <w:color w:val="auto"/>
                <w:sz w:val="21"/>
                <w:szCs w:val="21"/>
              </w:rPr>
              <w:t>设计坡比时，应进行稳定性复核，若稳定性不足，则应采取措施。</w:t>
            </w:r>
          </w:p>
        </w:tc>
        <w:tc>
          <w:tcPr>
            <w:tcW w:w="4155" w:type="dxa"/>
            <w:gridSpan w:val="2"/>
            <w:shd w:val="clear" w:color="000000" w:fill="FFFFFF"/>
            <w:noWrap w:val="0"/>
            <w:tcMar>
              <w:left w:w="108" w:type="dxa"/>
              <w:right w:w="108" w:type="dxa"/>
            </w:tcMar>
            <w:vAlign w:val="center"/>
          </w:tcPr>
          <w:p w14:paraId="6B66AC18">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1.做好日常巡检和定期观测，并进行及时、全面的记录，发现不安全隐患时，应及时处理并向企业主管领导汇报。</w:t>
            </w:r>
          </w:p>
          <w:p w14:paraId="5BE67860">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2.建立健全尾矿设施安全管理制度；对从事尾矿库作业的尾矿工进行专门的作业培训,并监督其取得特种作业人员操作资格证书和持证上岗情况</w:t>
            </w:r>
          </w:p>
        </w:tc>
        <w:tc>
          <w:tcPr>
            <w:tcW w:w="2165" w:type="dxa"/>
            <w:shd w:val="clear" w:color="000000" w:fill="FFFFFF"/>
            <w:noWrap w:val="0"/>
            <w:tcMar>
              <w:left w:w="108" w:type="dxa"/>
              <w:right w:w="108" w:type="dxa"/>
            </w:tcMar>
            <w:vAlign w:val="center"/>
          </w:tcPr>
          <w:p w14:paraId="320BFB9A">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穿戴安全帽、工作服、防护鞋、防护手套。</w:t>
            </w:r>
          </w:p>
        </w:tc>
      </w:tr>
      <w:tr w14:paraId="629FD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769" w:hRule="atLeast"/>
          <w:jc w:val="center"/>
        </w:trPr>
        <w:tc>
          <w:tcPr>
            <w:tcW w:w="447" w:type="dxa"/>
            <w:vMerge w:val="continue"/>
            <w:shd w:val="clear" w:color="000000" w:fill="FFFFFF"/>
            <w:noWrap w:val="0"/>
            <w:tcMar>
              <w:left w:w="108" w:type="dxa"/>
              <w:right w:w="108" w:type="dxa"/>
            </w:tcMar>
            <w:vAlign w:val="center"/>
          </w:tcPr>
          <w:p w14:paraId="3F8D942E">
            <w:pPr>
              <w:spacing w:line="300" w:lineRule="atLeast"/>
              <w:ind w:firstLine="0" w:firstLineChars="0"/>
              <w:jc w:val="center"/>
              <w:rPr>
                <w:rFonts w:ascii="Times New Roman" w:hAnsi="Times New Roman" w:eastAsia="宋体" w:cs="Times New Roman"/>
                <w:color w:val="auto"/>
                <w:sz w:val="21"/>
                <w:szCs w:val="21"/>
              </w:rPr>
            </w:pPr>
          </w:p>
        </w:tc>
        <w:tc>
          <w:tcPr>
            <w:tcW w:w="1260" w:type="dxa"/>
            <w:shd w:val="clear" w:color="000000" w:fill="FFFFFF"/>
            <w:noWrap w:val="0"/>
            <w:tcMar>
              <w:left w:w="108" w:type="dxa"/>
              <w:right w:w="108" w:type="dxa"/>
            </w:tcMar>
            <w:vAlign w:val="center"/>
          </w:tcPr>
          <w:p w14:paraId="2A0405A8">
            <w:pPr>
              <w:spacing w:line="300" w:lineRule="atLeast"/>
              <w:ind w:firstLine="0" w:firstLineChars="0"/>
              <w:rPr>
                <w:rFonts w:hint="eastAsia"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坝体</w:t>
            </w:r>
          </w:p>
          <w:p w14:paraId="54947415">
            <w:pPr>
              <w:spacing w:line="300" w:lineRule="atLeast"/>
              <w:ind w:firstLine="0" w:firstLineChars="0"/>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渗透水</w:t>
            </w:r>
          </w:p>
        </w:tc>
        <w:tc>
          <w:tcPr>
            <w:tcW w:w="1440" w:type="dxa"/>
            <w:shd w:val="clear" w:color="auto" w:fill="0000FF"/>
            <w:noWrap w:val="0"/>
            <w:tcMar>
              <w:left w:w="108" w:type="dxa"/>
              <w:right w:w="108" w:type="dxa"/>
            </w:tcMar>
            <w:vAlign w:val="center"/>
          </w:tcPr>
          <w:p w14:paraId="764E8FE0">
            <w:pPr>
              <w:spacing w:line="300" w:lineRule="atLeast"/>
              <w:ind w:firstLine="0" w:firstLineChars="0"/>
              <w:jc w:val="center"/>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蓝色风险</w:t>
            </w:r>
          </w:p>
          <w:p w14:paraId="4031074B">
            <w:pPr>
              <w:spacing w:line="300" w:lineRule="atLeast"/>
              <w:ind w:firstLine="0" w:firstLineChars="0"/>
              <w:jc w:val="center"/>
              <w:rPr>
                <w:rFonts w:ascii="Times New Roman" w:hAnsi="Times New Roman" w:eastAsia="宋体" w:cs="Times New Roman"/>
                <w:bCs/>
                <w:color w:val="auto"/>
                <w:sz w:val="21"/>
                <w:szCs w:val="21"/>
              </w:rPr>
            </w:pPr>
            <w:r>
              <w:rPr>
                <w:rFonts w:hint="eastAsia" w:ascii="Times New Roman" w:hAnsi="Times New Roman" w:eastAsia="宋体" w:cs="Times New Roman"/>
                <w:bCs/>
                <w:color w:val="auto"/>
                <w:sz w:val="21"/>
                <w:szCs w:val="21"/>
              </w:rPr>
              <w:t>（低</w:t>
            </w:r>
            <w:r>
              <w:rPr>
                <w:rFonts w:ascii="Times New Roman" w:hAnsi="Times New Roman" w:eastAsia="宋体" w:cs="Times New Roman"/>
                <w:bCs/>
                <w:color w:val="auto"/>
                <w:sz w:val="21"/>
                <w:szCs w:val="21"/>
              </w:rPr>
              <w:t>风险</w:t>
            </w:r>
            <w:r>
              <w:rPr>
                <w:rFonts w:hint="eastAsia" w:ascii="Times New Roman" w:hAnsi="Times New Roman" w:eastAsia="宋体" w:cs="Times New Roman"/>
                <w:bCs/>
                <w:color w:val="auto"/>
                <w:sz w:val="21"/>
                <w:szCs w:val="21"/>
              </w:rPr>
              <w:t>）</w:t>
            </w:r>
          </w:p>
        </w:tc>
        <w:tc>
          <w:tcPr>
            <w:tcW w:w="5025" w:type="dxa"/>
            <w:shd w:val="clear" w:color="000000" w:fill="FFFFFF"/>
            <w:noWrap w:val="0"/>
            <w:tcMar>
              <w:left w:w="108" w:type="dxa"/>
              <w:right w:w="108" w:type="dxa"/>
            </w:tcMar>
            <w:vAlign w:val="center"/>
          </w:tcPr>
          <w:p w14:paraId="628C5207">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1.严把排渗设施施工质量；</w:t>
            </w:r>
          </w:p>
          <w:p w14:paraId="6FFE02ED">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2.在尾矿库运行过程中，如坝体浸润线超过控制线，应经技术论证增设或更新排渗设施；</w:t>
            </w:r>
          </w:p>
          <w:p w14:paraId="1EC82B37">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3.在渗漏水部位铺设土工布或天然反滤料，其上以堆石料压坡；</w:t>
            </w:r>
          </w:p>
          <w:p w14:paraId="62300555">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4.增设排渗设施，降低浸润线。</w:t>
            </w:r>
          </w:p>
        </w:tc>
        <w:tc>
          <w:tcPr>
            <w:tcW w:w="4155" w:type="dxa"/>
            <w:gridSpan w:val="2"/>
            <w:shd w:val="clear" w:color="000000" w:fill="FFFFFF"/>
            <w:noWrap w:val="0"/>
            <w:tcMar>
              <w:left w:w="108" w:type="dxa"/>
              <w:right w:w="108" w:type="dxa"/>
            </w:tcMar>
            <w:vAlign w:val="center"/>
          </w:tcPr>
          <w:p w14:paraId="7B5E8627">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尾矿库运行期间应加强观测，注意坝体浸润线埋深及其出逸点的变化情况和分布状态，严格按设计要求控制。</w:t>
            </w:r>
          </w:p>
        </w:tc>
        <w:tc>
          <w:tcPr>
            <w:tcW w:w="2165" w:type="dxa"/>
            <w:shd w:val="clear" w:color="000000" w:fill="FFFFFF"/>
            <w:noWrap w:val="0"/>
            <w:tcMar>
              <w:left w:w="108" w:type="dxa"/>
              <w:right w:w="108" w:type="dxa"/>
            </w:tcMar>
            <w:vAlign w:val="center"/>
          </w:tcPr>
          <w:p w14:paraId="1B99A7B0">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穿戴安全帽、工作服、防护鞋、防护手套。</w:t>
            </w:r>
          </w:p>
        </w:tc>
      </w:tr>
      <w:tr w14:paraId="5B8F8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56" w:hRule="atLeast"/>
          <w:jc w:val="center"/>
        </w:trPr>
        <w:tc>
          <w:tcPr>
            <w:tcW w:w="447" w:type="dxa"/>
            <w:vMerge w:val="continue"/>
            <w:shd w:val="clear" w:color="000000" w:fill="FFFFFF"/>
            <w:noWrap w:val="0"/>
            <w:tcMar>
              <w:left w:w="108" w:type="dxa"/>
              <w:right w:w="108" w:type="dxa"/>
            </w:tcMar>
            <w:vAlign w:val="center"/>
          </w:tcPr>
          <w:p w14:paraId="6F265770">
            <w:pPr>
              <w:spacing w:line="300" w:lineRule="atLeast"/>
              <w:ind w:firstLine="0" w:firstLineChars="0"/>
              <w:jc w:val="center"/>
              <w:rPr>
                <w:rFonts w:ascii="Times New Roman" w:hAnsi="Times New Roman" w:eastAsia="宋体" w:cs="Times New Roman"/>
                <w:color w:val="auto"/>
                <w:sz w:val="21"/>
                <w:szCs w:val="21"/>
              </w:rPr>
            </w:pPr>
          </w:p>
        </w:tc>
        <w:tc>
          <w:tcPr>
            <w:tcW w:w="1260" w:type="dxa"/>
            <w:shd w:val="clear" w:color="000000" w:fill="FFFFFF"/>
            <w:noWrap w:val="0"/>
            <w:tcMar>
              <w:left w:w="108" w:type="dxa"/>
              <w:right w:w="108" w:type="dxa"/>
            </w:tcMar>
            <w:vAlign w:val="center"/>
          </w:tcPr>
          <w:p w14:paraId="232B031E">
            <w:pPr>
              <w:spacing w:line="360" w:lineRule="exact"/>
              <w:ind w:firstLine="0" w:firstLineChars="0"/>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坝体裂缝、滑坡</w:t>
            </w:r>
          </w:p>
        </w:tc>
        <w:tc>
          <w:tcPr>
            <w:tcW w:w="1440" w:type="dxa"/>
            <w:shd w:val="clear" w:color="auto" w:fill="FFFF00"/>
            <w:noWrap w:val="0"/>
            <w:tcMar>
              <w:left w:w="108" w:type="dxa"/>
              <w:right w:w="108" w:type="dxa"/>
            </w:tcMar>
            <w:vAlign w:val="center"/>
          </w:tcPr>
          <w:p w14:paraId="1C638396">
            <w:pPr>
              <w:spacing w:line="360" w:lineRule="exact"/>
              <w:ind w:firstLine="0" w:firstLineChars="0"/>
              <w:jc w:val="center"/>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黄色风险</w:t>
            </w:r>
          </w:p>
          <w:p w14:paraId="2327E021">
            <w:pPr>
              <w:spacing w:line="360" w:lineRule="exact"/>
              <w:ind w:firstLine="0" w:firstLineChars="0"/>
              <w:jc w:val="center"/>
              <w:rPr>
                <w:rFonts w:ascii="Times New Roman" w:hAnsi="Times New Roman" w:eastAsia="宋体" w:cs="Times New Roman"/>
                <w:bCs/>
                <w:color w:val="auto"/>
                <w:sz w:val="21"/>
                <w:szCs w:val="21"/>
              </w:rPr>
            </w:pPr>
            <w:r>
              <w:rPr>
                <w:rFonts w:hint="eastAsia" w:ascii="Times New Roman" w:hAnsi="Times New Roman" w:eastAsia="宋体" w:cs="Times New Roman"/>
                <w:bCs/>
                <w:color w:val="auto"/>
                <w:sz w:val="21"/>
                <w:szCs w:val="21"/>
              </w:rPr>
              <w:t>（</w:t>
            </w:r>
            <w:r>
              <w:rPr>
                <w:rFonts w:ascii="Times New Roman" w:hAnsi="Times New Roman" w:eastAsia="宋体" w:cs="Times New Roman"/>
                <w:bCs/>
                <w:color w:val="auto"/>
                <w:sz w:val="21"/>
                <w:szCs w:val="21"/>
              </w:rPr>
              <w:t>一般风险</w:t>
            </w:r>
            <w:r>
              <w:rPr>
                <w:rFonts w:hint="eastAsia" w:ascii="Times New Roman" w:hAnsi="Times New Roman" w:eastAsia="宋体" w:cs="Times New Roman"/>
                <w:bCs/>
                <w:color w:val="auto"/>
                <w:sz w:val="21"/>
                <w:szCs w:val="21"/>
              </w:rPr>
              <w:t>）</w:t>
            </w:r>
          </w:p>
        </w:tc>
        <w:tc>
          <w:tcPr>
            <w:tcW w:w="5025" w:type="dxa"/>
            <w:shd w:val="clear" w:color="000000" w:fill="FFFFFF"/>
            <w:noWrap w:val="0"/>
            <w:tcMar>
              <w:left w:w="108" w:type="dxa"/>
              <w:right w:w="108" w:type="dxa"/>
            </w:tcMar>
            <w:vAlign w:val="center"/>
          </w:tcPr>
          <w:p w14:paraId="78507935">
            <w:pPr>
              <w:widowControl/>
              <w:spacing w:line="360" w:lineRule="exac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1.限制库内水位，确保干滩长度、浸润线高度符合设计要求；</w:t>
            </w:r>
          </w:p>
          <w:p w14:paraId="25F8FE68">
            <w:pPr>
              <w:widowControl/>
              <w:spacing w:line="360" w:lineRule="exac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2.严禁坝体附近采矿、开挖道路及相关的爆破作业；3.子坝堆筑应符合设计要求；</w:t>
            </w:r>
          </w:p>
          <w:p w14:paraId="3EE32954">
            <w:pPr>
              <w:widowControl/>
              <w:spacing w:line="360" w:lineRule="exac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4.加强位移、沉降、浸润线、库水位等项目监测。</w:t>
            </w:r>
          </w:p>
        </w:tc>
        <w:tc>
          <w:tcPr>
            <w:tcW w:w="4155" w:type="dxa"/>
            <w:gridSpan w:val="2"/>
            <w:shd w:val="clear" w:color="000000" w:fill="FFFFFF"/>
            <w:noWrap w:val="0"/>
            <w:tcMar>
              <w:left w:w="108" w:type="dxa"/>
              <w:right w:w="108" w:type="dxa"/>
            </w:tcMar>
            <w:vAlign w:val="center"/>
          </w:tcPr>
          <w:p w14:paraId="7CD3B822">
            <w:pPr>
              <w:widowControl/>
              <w:spacing w:line="360" w:lineRule="exac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1.建立、健全各项管理制度及操作规程；</w:t>
            </w:r>
          </w:p>
          <w:p w14:paraId="64FC0408">
            <w:pPr>
              <w:widowControl/>
              <w:spacing w:line="360" w:lineRule="exac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2.加强员工培训教育，持证上岗；</w:t>
            </w:r>
          </w:p>
          <w:p w14:paraId="0C2DF88F">
            <w:pPr>
              <w:widowControl/>
              <w:spacing w:line="360" w:lineRule="exac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3.发生地震、强降雨等重大地质灾害及各种极端气象条件后，应实施专项检查，发现裂缝及时处理。</w:t>
            </w:r>
          </w:p>
        </w:tc>
        <w:tc>
          <w:tcPr>
            <w:tcW w:w="2165" w:type="dxa"/>
            <w:shd w:val="clear" w:color="000000" w:fill="FFFFFF"/>
            <w:noWrap w:val="0"/>
            <w:tcMar>
              <w:left w:w="108" w:type="dxa"/>
              <w:right w:w="108" w:type="dxa"/>
            </w:tcMar>
            <w:vAlign w:val="center"/>
          </w:tcPr>
          <w:p w14:paraId="07347EEB">
            <w:pPr>
              <w:widowControl/>
              <w:spacing w:line="360" w:lineRule="exac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穿戴安全帽、工作服、防护鞋、防护手套。</w:t>
            </w:r>
          </w:p>
        </w:tc>
      </w:tr>
      <w:tr w14:paraId="23A15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00" w:hRule="atLeast"/>
          <w:jc w:val="center"/>
        </w:trPr>
        <w:tc>
          <w:tcPr>
            <w:tcW w:w="447" w:type="dxa"/>
            <w:vMerge w:val="continue"/>
            <w:shd w:val="clear" w:color="000000" w:fill="FFFFFF"/>
            <w:noWrap w:val="0"/>
            <w:tcMar>
              <w:left w:w="108" w:type="dxa"/>
              <w:right w:w="108" w:type="dxa"/>
            </w:tcMar>
            <w:vAlign w:val="center"/>
          </w:tcPr>
          <w:p w14:paraId="7520F5B5">
            <w:pPr>
              <w:spacing w:line="300" w:lineRule="atLeast"/>
              <w:ind w:firstLine="0" w:firstLineChars="0"/>
              <w:jc w:val="center"/>
              <w:rPr>
                <w:rFonts w:ascii="Times New Roman" w:hAnsi="Times New Roman" w:eastAsia="宋体" w:cs="Times New Roman"/>
                <w:color w:val="auto"/>
                <w:sz w:val="21"/>
                <w:szCs w:val="21"/>
              </w:rPr>
            </w:pPr>
          </w:p>
        </w:tc>
        <w:tc>
          <w:tcPr>
            <w:tcW w:w="1260" w:type="dxa"/>
            <w:shd w:val="clear" w:color="000000" w:fill="FFFFFF"/>
            <w:noWrap w:val="0"/>
            <w:tcMar>
              <w:left w:w="108" w:type="dxa"/>
              <w:right w:w="108" w:type="dxa"/>
            </w:tcMar>
            <w:vAlign w:val="center"/>
          </w:tcPr>
          <w:p w14:paraId="67D6B051">
            <w:pPr>
              <w:spacing w:line="360" w:lineRule="exact"/>
              <w:ind w:firstLine="0" w:firstLineChars="0"/>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坝体严重位移、沉降</w:t>
            </w:r>
          </w:p>
        </w:tc>
        <w:tc>
          <w:tcPr>
            <w:tcW w:w="1440" w:type="dxa"/>
            <w:tcBorders>
              <w:bottom w:val="single" w:color="auto" w:sz="4" w:space="0"/>
            </w:tcBorders>
            <w:shd w:val="clear" w:color="auto" w:fill="FFFF00"/>
            <w:noWrap w:val="0"/>
            <w:tcMar>
              <w:left w:w="108" w:type="dxa"/>
              <w:right w:w="108" w:type="dxa"/>
            </w:tcMar>
            <w:vAlign w:val="center"/>
          </w:tcPr>
          <w:p w14:paraId="24ABFD50">
            <w:pPr>
              <w:spacing w:line="360" w:lineRule="exact"/>
              <w:ind w:firstLine="0" w:firstLineChars="0"/>
              <w:jc w:val="center"/>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黄色风险</w:t>
            </w:r>
          </w:p>
          <w:p w14:paraId="242E9073">
            <w:pPr>
              <w:spacing w:line="360" w:lineRule="exact"/>
              <w:ind w:firstLine="0" w:firstLineChars="0"/>
              <w:rPr>
                <w:rFonts w:ascii="Times New Roman" w:hAnsi="Times New Roman" w:eastAsia="宋体" w:cs="Times New Roman"/>
                <w:bCs/>
                <w:color w:val="auto"/>
                <w:sz w:val="21"/>
                <w:szCs w:val="21"/>
              </w:rPr>
            </w:pPr>
            <w:r>
              <w:rPr>
                <w:rFonts w:hint="eastAsia" w:ascii="Times New Roman" w:hAnsi="Times New Roman" w:eastAsia="宋体" w:cs="Times New Roman"/>
                <w:bCs/>
                <w:color w:val="auto"/>
                <w:sz w:val="21"/>
                <w:szCs w:val="21"/>
              </w:rPr>
              <w:t>（</w:t>
            </w:r>
            <w:r>
              <w:rPr>
                <w:rFonts w:ascii="Times New Roman" w:hAnsi="Times New Roman" w:eastAsia="宋体" w:cs="Times New Roman"/>
                <w:bCs/>
                <w:color w:val="auto"/>
                <w:sz w:val="21"/>
                <w:szCs w:val="21"/>
              </w:rPr>
              <w:t>一般风险</w:t>
            </w:r>
            <w:r>
              <w:rPr>
                <w:rFonts w:hint="eastAsia" w:ascii="Times New Roman" w:hAnsi="Times New Roman" w:eastAsia="宋体" w:cs="Times New Roman"/>
                <w:bCs/>
                <w:color w:val="auto"/>
                <w:sz w:val="21"/>
                <w:szCs w:val="21"/>
              </w:rPr>
              <w:t>）</w:t>
            </w:r>
          </w:p>
        </w:tc>
        <w:tc>
          <w:tcPr>
            <w:tcW w:w="5025" w:type="dxa"/>
            <w:shd w:val="clear" w:color="000000" w:fill="FFFFFF"/>
            <w:noWrap w:val="0"/>
            <w:tcMar>
              <w:left w:w="108" w:type="dxa"/>
              <w:right w:w="108" w:type="dxa"/>
            </w:tcMar>
            <w:vAlign w:val="center"/>
          </w:tcPr>
          <w:p w14:paraId="6ADCCD3E">
            <w:pPr>
              <w:widowControl/>
              <w:spacing w:line="360" w:lineRule="exac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检查坝体位移。要求坝的位移量变化应均衡，无突变现象，且应逐年减小。当位移量变化出现突变或有增大趋势时，应查明原因，妥善处理；</w:t>
            </w:r>
          </w:p>
        </w:tc>
        <w:tc>
          <w:tcPr>
            <w:tcW w:w="4155" w:type="dxa"/>
            <w:gridSpan w:val="2"/>
            <w:shd w:val="clear" w:color="000000" w:fill="FFFFFF"/>
            <w:noWrap w:val="0"/>
            <w:tcMar>
              <w:left w:w="108" w:type="dxa"/>
              <w:right w:w="108" w:type="dxa"/>
            </w:tcMar>
            <w:vAlign w:val="center"/>
          </w:tcPr>
          <w:p w14:paraId="34B84E8E">
            <w:pPr>
              <w:widowControl/>
              <w:spacing w:line="360" w:lineRule="exac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做好日常巡检和定期观测，并进行及时、全面的记录，发现不安全隐患时，应及时处理并向企业主管领导汇报。</w:t>
            </w:r>
          </w:p>
        </w:tc>
        <w:tc>
          <w:tcPr>
            <w:tcW w:w="2165" w:type="dxa"/>
            <w:shd w:val="clear" w:color="000000" w:fill="FFFFFF"/>
            <w:noWrap w:val="0"/>
            <w:tcMar>
              <w:left w:w="108" w:type="dxa"/>
              <w:right w:w="108" w:type="dxa"/>
            </w:tcMar>
            <w:vAlign w:val="center"/>
          </w:tcPr>
          <w:p w14:paraId="19D4BB59">
            <w:pPr>
              <w:widowControl/>
              <w:spacing w:line="360" w:lineRule="exac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穿戴安全帽、工作服、防护鞋、防护手套。</w:t>
            </w:r>
          </w:p>
        </w:tc>
      </w:tr>
      <w:tr w14:paraId="79CAF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744" w:hRule="atLeast"/>
          <w:jc w:val="center"/>
        </w:trPr>
        <w:tc>
          <w:tcPr>
            <w:tcW w:w="447" w:type="dxa"/>
            <w:vMerge w:val="continue"/>
            <w:shd w:val="clear" w:color="000000" w:fill="FFFFFF"/>
            <w:noWrap w:val="0"/>
            <w:tcMar>
              <w:left w:w="108" w:type="dxa"/>
              <w:right w:w="108" w:type="dxa"/>
            </w:tcMar>
            <w:vAlign w:val="center"/>
          </w:tcPr>
          <w:p w14:paraId="2DDF44C3">
            <w:pPr>
              <w:spacing w:line="300" w:lineRule="atLeast"/>
              <w:ind w:firstLine="0" w:firstLineChars="0"/>
              <w:jc w:val="center"/>
              <w:rPr>
                <w:rFonts w:ascii="Times New Roman" w:hAnsi="Times New Roman" w:eastAsia="宋体" w:cs="Times New Roman"/>
                <w:color w:val="auto"/>
                <w:sz w:val="21"/>
                <w:szCs w:val="21"/>
              </w:rPr>
            </w:pPr>
          </w:p>
        </w:tc>
        <w:tc>
          <w:tcPr>
            <w:tcW w:w="1260" w:type="dxa"/>
            <w:shd w:val="clear" w:color="000000" w:fill="FFFFFF"/>
            <w:noWrap w:val="0"/>
            <w:tcMar>
              <w:left w:w="108" w:type="dxa"/>
              <w:right w:w="108" w:type="dxa"/>
            </w:tcMar>
            <w:vAlign w:val="center"/>
          </w:tcPr>
          <w:p w14:paraId="6FEC62FD">
            <w:pPr>
              <w:spacing w:line="360" w:lineRule="exact"/>
              <w:ind w:firstLine="0" w:firstLineChars="0"/>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洪水漫顶</w:t>
            </w:r>
          </w:p>
        </w:tc>
        <w:tc>
          <w:tcPr>
            <w:tcW w:w="1440" w:type="dxa"/>
            <w:shd w:val="clear" w:color="auto" w:fill="FF6600"/>
            <w:noWrap w:val="0"/>
            <w:tcMar>
              <w:left w:w="108" w:type="dxa"/>
              <w:right w:w="108" w:type="dxa"/>
            </w:tcMar>
            <w:vAlign w:val="center"/>
          </w:tcPr>
          <w:p w14:paraId="1E2FDC25">
            <w:pPr>
              <w:spacing w:line="360" w:lineRule="exact"/>
              <w:ind w:firstLine="0" w:firstLineChars="0"/>
              <w:jc w:val="center"/>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橙色风险</w:t>
            </w:r>
          </w:p>
          <w:p w14:paraId="1DBD57C5">
            <w:pPr>
              <w:spacing w:line="360" w:lineRule="exact"/>
              <w:ind w:firstLine="0" w:firstLineChars="0"/>
              <w:jc w:val="center"/>
              <w:rPr>
                <w:rFonts w:ascii="Times New Roman" w:hAnsi="Times New Roman" w:eastAsia="宋体" w:cs="Times New Roman"/>
                <w:bCs/>
                <w:color w:val="auto"/>
                <w:sz w:val="21"/>
                <w:szCs w:val="21"/>
              </w:rPr>
            </w:pPr>
            <w:r>
              <w:rPr>
                <w:rFonts w:hint="eastAsia" w:ascii="Times New Roman" w:hAnsi="Times New Roman" w:eastAsia="宋体" w:cs="Times New Roman"/>
                <w:bCs/>
                <w:color w:val="auto"/>
                <w:sz w:val="21"/>
                <w:szCs w:val="21"/>
              </w:rPr>
              <w:t>（</w:t>
            </w:r>
            <w:r>
              <w:rPr>
                <w:rFonts w:ascii="Times New Roman" w:hAnsi="Times New Roman" w:eastAsia="宋体" w:cs="Times New Roman"/>
                <w:bCs/>
                <w:color w:val="auto"/>
                <w:sz w:val="21"/>
                <w:szCs w:val="21"/>
              </w:rPr>
              <w:t>较大风险</w:t>
            </w:r>
            <w:r>
              <w:rPr>
                <w:rFonts w:hint="eastAsia" w:ascii="Times New Roman" w:hAnsi="Times New Roman" w:eastAsia="宋体" w:cs="Times New Roman"/>
                <w:bCs/>
                <w:color w:val="auto"/>
                <w:sz w:val="21"/>
                <w:szCs w:val="21"/>
              </w:rPr>
              <w:t>）</w:t>
            </w:r>
          </w:p>
        </w:tc>
        <w:tc>
          <w:tcPr>
            <w:tcW w:w="5025" w:type="dxa"/>
            <w:shd w:val="clear" w:color="000000" w:fill="FFFFFF"/>
            <w:noWrap w:val="0"/>
            <w:tcMar>
              <w:left w:w="108" w:type="dxa"/>
              <w:right w:w="108" w:type="dxa"/>
            </w:tcMar>
            <w:vAlign w:val="center"/>
          </w:tcPr>
          <w:p w14:paraId="3762E070">
            <w:pPr>
              <w:widowControl/>
              <w:spacing w:line="360" w:lineRule="exac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1.采用掀减排水井盖板、用潜水泵强制排水等方法降低尾矿库内水位；</w:t>
            </w:r>
          </w:p>
          <w:p w14:paraId="10402ACA">
            <w:pPr>
              <w:widowControl/>
              <w:spacing w:line="360" w:lineRule="exac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2.根据水位上升情况，可抢筑子坝，增加挡水高度；3.可用土袋抢筑子堤；</w:t>
            </w:r>
          </w:p>
          <w:p w14:paraId="510E0845">
            <w:pPr>
              <w:widowControl/>
              <w:spacing w:line="360" w:lineRule="exac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4.利用水泵对库内进行抽水，降低水位；</w:t>
            </w:r>
          </w:p>
        </w:tc>
        <w:tc>
          <w:tcPr>
            <w:tcW w:w="4155" w:type="dxa"/>
            <w:gridSpan w:val="2"/>
            <w:shd w:val="clear" w:color="000000" w:fill="FFFFFF"/>
            <w:noWrap w:val="0"/>
            <w:tcMar>
              <w:left w:w="108" w:type="dxa"/>
              <w:right w:w="108" w:type="dxa"/>
            </w:tcMar>
            <w:vAlign w:val="center"/>
          </w:tcPr>
          <w:p w14:paraId="54D94B22">
            <w:pPr>
              <w:widowControl/>
              <w:spacing w:line="360" w:lineRule="exac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1.建立库内水位监测、预警系统，一旦发现监测数据发送异常，立即上报；</w:t>
            </w:r>
          </w:p>
          <w:p w14:paraId="35BC55B9">
            <w:pPr>
              <w:widowControl/>
              <w:spacing w:line="360" w:lineRule="exac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2.极端暴雨天气要启动预警；</w:t>
            </w:r>
          </w:p>
          <w:p w14:paraId="1F855790">
            <w:pPr>
              <w:widowControl/>
              <w:spacing w:line="360" w:lineRule="exac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3.加强领导带班、巡查，通讯设备处于开通状态；</w:t>
            </w:r>
          </w:p>
        </w:tc>
        <w:tc>
          <w:tcPr>
            <w:tcW w:w="2165" w:type="dxa"/>
            <w:shd w:val="clear" w:color="000000" w:fill="FFFFFF"/>
            <w:noWrap w:val="0"/>
            <w:tcMar>
              <w:left w:w="108" w:type="dxa"/>
              <w:right w:w="108" w:type="dxa"/>
            </w:tcMar>
            <w:vAlign w:val="center"/>
          </w:tcPr>
          <w:p w14:paraId="57EEC4BF">
            <w:pPr>
              <w:widowControl/>
              <w:spacing w:line="360" w:lineRule="exac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穿戴安全帽、工作服、防护鞋、防护手套；救生衣或救生圈。</w:t>
            </w:r>
          </w:p>
        </w:tc>
      </w:tr>
      <w:tr w14:paraId="5106FD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00" w:hRule="atLeast"/>
          <w:jc w:val="center"/>
        </w:trPr>
        <w:tc>
          <w:tcPr>
            <w:tcW w:w="447" w:type="dxa"/>
            <w:vMerge w:val="continue"/>
            <w:shd w:val="clear" w:color="000000" w:fill="FFFFFF"/>
            <w:noWrap w:val="0"/>
            <w:tcMar>
              <w:left w:w="108" w:type="dxa"/>
              <w:right w:w="108" w:type="dxa"/>
            </w:tcMar>
            <w:vAlign w:val="center"/>
          </w:tcPr>
          <w:p w14:paraId="6CBE137E">
            <w:pPr>
              <w:spacing w:line="300" w:lineRule="atLeast"/>
              <w:ind w:firstLine="0" w:firstLineChars="0"/>
              <w:jc w:val="center"/>
              <w:rPr>
                <w:rFonts w:ascii="Times New Roman" w:hAnsi="Times New Roman" w:eastAsia="宋体" w:cs="Times New Roman"/>
                <w:color w:val="auto"/>
                <w:sz w:val="21"/>
                <w:szCs w:val="21"/>
              </w:rPr>
            </w:pPr>
          </w:p>
        </w:tc>
        <w:tc>
          <w:tcPr>
            <w:tcW w:w="1260" w:type="dxa"/>
            <w:shd w:val="clear" w:color="000000" w:fill="FFFFFF"/>
            <w:noWrap w:val="0"/>
            <w:tcMar>
              <w:left w:w="108" w:type="dxa"/>
              <w:right w:w="108" w:type="dxa"/>
            </w:tcMar>
            <w:vAlign w:val="center"/>
          </w:tcPr>
          <w:p w14:paraId="12D59FB0">
            <w:pPr>
              <w:spacing w:line="300" w:lineRule="atLeast"/>
              <w:ind w:firstLine="0" w:firstLineChars="0"/>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坝坡冲刷</w:t>
            </w:r>
          </w:p>
        </w:tc>
        <w:tc>
          <w:tcPr>
            <w:tcW w:w="1440" w:type="dxa"/>
            <w:tcBorders>
              <w:bottom w:val="single" w:color="auto" w:sz="4" w:space="0"/>
            </w:tcBorders>
            <w:shd w:val="clear" w:color="auto" w:fill="0000FF"/>
            <w:noWrap w:val="0"/>
            <w:tcMar>
              <w:left w:w="108" w:type="dxa"/>
              <w:right w:w="108" w:type="dxa"/>
            </w:tcMar>
            <w:vAlign w:val="center"/>
          </w:tcPr>
          <w:p w14:paraId="6878F2F4">
            <w:pPr>
              <w:spacing w:line="300" w:lineRule="atLeast"/>
              <w:ind w:firstLine="0" w:firstLineChars="0"/>
              <w:jc w:val="center"/>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蓝色风险</w:t>
            </w:r>
          </w:p>
          <w:p w14:paraId="61AD0DAB">
            <w:pPr>
              <w:spacing w:line="300" w:lineRule="atLeast"/>
              <w:ind w:firstLine="0" w:firstLineChars="0"/>
              <w:jc w:val="center"/>
              <w:rPr>
                <w:rFonts w:ascii="Times New Roman" w:hAnsi="Times New Roman" w:eastAsia="宋体" w:cs="Times New Roman"/>
                <w:bCs/>
                <w:color w:val="auto"/>
                <w:sz w:val="21"/>
                <w:szCs w:val="21"/>
              </w:rPr>
            </w:pPr>
            <w:r>
              <w:rPr>
                <w:rFonts w:hint="eastAsia" w:ascii="Times New Roman" w:hAnsi="Times New Roman" w:eastAsia="宋体" w:cs="Times New Roman"/>
                <w:bCs/>
                <w:color w:val="auto"/>
                <w:sz w:val="21"/>
                <w:szCs w:val="21"/>
              </w:rPr>
              <w:t>（低</w:t>
            </w:r>
            <w:r>
              <w:rPr>
                <w:rFonts w:ascii="Times New Roman" w:hAnsi="Times New Roman" w:eastAsia="宋体" w:cs="Times New Roman"/>
                <w:bCs/>
                <w:color w:val="auto"/>
                <w:sz w:val="21"/>
                <w:szCs w:val="21"/>
              </w:rPr>
              <w:t>风险</w:t>
            </w:r>
            <w:r>
              <w:rPr>
                <w:rFonts w:hint="eastAsia" w:ascii="Times New Roman" w:hAnsi="Times New Roman" w:eastAsia="宋体" w:cs="Times New Roman"/>
                <w:bCs/>
                <w:color w:val="auto"/>
                <w:sz w:val="21"/>
                <w:szCs w:val="21"/>
              </w:rPr>
              <w:t>）</w:t>
            </w:r>
          </w:p>
        </w:tc>
        <w:tc>
          <w:tcPr>
            <w:tcW w:w="5025" w:type="dxa"/>
            <w:shd w:val="clear" w:color="000000" w:fill="FFFFFF"/>
            <w:noWrap w:val="0"/>
            <w:tcMar>
              <w:left w:w="108" w:type="dxa"/>
              <w:right w:w="108" w:type="dxa"/>
            </w:tcMar>
            <w:vAlign w:val="center"/>
          </w:tcPr>
          <w:p w14:paraId="2E8B1024">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1.坝体外坡坡度要符合设计要求；</w:t>
            </w:r>
          </w:p>
          <w:p w14:paraId="56FE8350">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2.外坡护坡方式采用植被；</w:t>
            </w:r>
          </w:p>
          <w:p w14:paraId="26CA1FAE">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3.按设计要求在马道设置排水沟；</w:t>
            </w:r>
          </w:p>
          <w:p w14:paraId="37DA663C">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4.对外坡的冲沟填土修复；</w:t>
            </w:r>
          </w:p>
        </w:tc>
        <w:tc>
          <w:tcPr>
            <w:tcW w:w="4155" w:type="dxa"/>
            <w:gridSpan w:val="2"/>
            <w:shd w:val="clear" w:color="000000" w:fill="FFFFFF"/>
            <w:noWrap w:val="0"/>
            <w:tcMar>
              <w:left w:w="108" w:type="dxa"/>
              <w:right w:w="108" w:type="dxa"/>
            </w:tcMar>
            <w:vAlign w:val="center"/>
          </w:tcPr>
          <w:p w14:paraId="51498483">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加强检查，对破损、堵塞的排水沟进行修复；</w:t>
            </w:r>
          </w:p>
        </w:tc>
        <w:tc>
          <w:tcPr>
            <w:tcW w:w="2165" w:type="dxa"/>
            <w:shd w:val="clear" w:color="000000" w:fill="FFFFFF"/>
            <w:noWrap w:val="0"/>
            <w:tcMar>
              <w:left w:w="108" w:type="dxa"/>
              <w:right w:w="108" w:type="dxa"/>
            </w:tcMar>
            <w:vAlign w:val="center"/>
          </w:tcPr>
          <w:p w14:paraId="4D9962DE">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穿戴安全帽、工作服、防护鞋、防护手套。</w:t>
            </w:r>
          </w:p>
        </w:tc>
      </w:tr>
      <w:tr w14:paraId="1F4D2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989" w:hRule="atLeast"/>
          <w:jc w:val="center"/>
        </w:trPr>
        <w:tc>
          <w:tcPr>
            <w:tcW w:w="447" w:type="dxa"/>
            <w:vMerge w:val="continue"/>
            <w:shd w:val="clear" w:color="000000" w:fill="FFFFFF"/>
            <w:noWrap w:val="0"/>
            <w:tcMar>
              <w:left w:w="108" w:type="dxa"/>
              <w:right w:w="108" w:type="dxa"/>
            </w:tcMar>
            <w:vAlign w:val="center"/>
          </w:tcPr>
          <w:p w14:paraId="132CBCA8">
            <w:pPr>
              <w:spacing w:line="300" w:lineRule="atLeast"/>
              <w:ind w:firstLine="0" w:firstLineChars="0"/>
              <w:jc w:val="center"/>
              <w:rPr>
                <w:rFonts w:ascii="Times New Roman" w:hAnsi="Times New Roman" w:eastAsia="宋体" w:cs="Times New Roman"/>
                <w:color w:val="auto"/>
                <w:sz w:val="21"/>
                <w:szCs w:val="21"/>
              </w:rPr>
            </w:pPr>
          </w:p>
        </w:tc>
        <w:tc>
          <w:tcPr>
            <w:tcW w:w="1260" w:type="dxa"/>
            <w:shd w:val="clear" w:color="000000" w:fill="FFFFFF"/>
            <w:noWrap w:val="0"/>
            <w:tcMar>
              <w:left w:w="108" w:type="dxa"/>
              <w:right w:w="108" w:type="dxa"/>
            </w:tcMar>
            <w:vAlign w:val="center"/>
          </w:tcPr>
          <w:p w14:paraId="75A9A2A7">
            <w:pPr>
              <w:spacing w:line="300" w:lineRule="atLeast"/>
              <w:ind w:firstLine="0" w:firstLineChars="0"/>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排水、排洪设施堵塞或损坏</w:t>
            </w:r>
          </w:p>
        </w:tc>
        <w:tc>
          <w:tcPr>
            <w:tcW w:w="1440" w:type="dxa"/>
            <w:shd w:val="clear" w:color="auto" w:fill="FF6600"/>
            <w:noWrap w:val="0"/>
            <w:tcMar>
              <w:left w:w="108" w:type="dxa"/>
              <w:right w:w="108" w:type="dxa"/>
            </w:tcMar>
            <w:vAlign w:val="center"/>
          </w:tcPr>
          <w:p w14:paraId="48500766">
            <w:pPr>
              <w:spacing w:line="300" w:lineRule="atLeast"/>
              <w:ind w:firstLine="0" w:firstLineChars="0"/>
              <w:jc w:val="center"/>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橙色风险</w:t>
            </w:r>
          </w:p>
          <w:p w14:paraId="724B9B1E">
            <w:pPr>
              <w:spacing w:line="300" w:lineRule="atLeast"/>
              <w:ind w:firstLine="0" w:firstLineChars="0"/>
              <w:jc w:val="center"/>
              <w:rPr>
                <w:rFonts w:ascii="Times New Roman" w:hAnsi="Times New Roman" w:eastAsia="宋体" w:cs="Times New Roman"/>
                <w:bCs/>
                <w:color w:val="auto"/>
                <w:sz w:val="21"/>
                <w:szCs w:val="21"/>
              </w:rPr>
            </w:pPr>
            <w:r>
              <w:rPr>
                <w:rFonts w:hint="eastAsia" w:ascii="Times New Roman" w:hAnsi="Times New Roman" w:eastAsia="宋体" w:cs="Times New Roman"/>
                <w:bCs/>
                <w:color w:val="auto"/>
                <w:sz w:val="21"/>
                <w:szCs w:val="21"/>
              </w:rPr>
              <w:t>（</w:t>
            </w:r>
            <w:r>
              <w:rPr>
                <w:rFonts w:ascii="Times New Roman" w:hAnsi="Times New Roman" w:eastAsia="宋体" w:cs="Times New Roman"/>
                <w:bCs/>
                <w:color w:val="auto"/>
                <w:sz w:val="21"/>
                <w:szCs w:val="21"/>
              </w:rPr>
              <w:t>较大风险</w:t>
            </w:r>
            <w:r>
              <w:rPr>
                <w:rFonts w:hint="eastAsia" w:ascii="Times New Roman" w:hAnsi="Times New Roman" w:eastAsia="宋体" w:cs="Times New Roman"/>
                <w:bCs/>
                <w:color w:val="auto"/>
                <w:sz w:val="21"/>
                <w:szCs w:val="21"/>
              </w:rPr>
              <w:t>）</w:t>
            </w:r>
          </w:p>
        </w:tc>
        <w:tc>
          <w:tcPr>
            <w:tcW w:w="5025" w:type="dxa"/>
            <w:shd w:val="clear" w:color="000000" w:fill="FFFFFF"/>
            <w:noWrap w:val="0"/>
            <w:tcMar>
              <w:left w:w="108" w:type="dxa"/>
              <w:right w:w="108" w:type="dxa"/>
            </w:tcMar>
            <w:vAlign w:val="center"/>
          </w:tcPr>
          <w:p w14:paraId="26DC70E0">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检查排水井断面尺寸、变形、损坏或坍塌，盖板放置、断裂，最大裂缝开展宽度，盖板之间以及盖板与槽壁之间的防漏充填物，漏砂，井内淤堵等；2.检查隧洞断面尺寸，洞内塌方，衬砌变形、破损、断裂、剥落和磨蚀，最大裂缝开展宽度，伸缩缝、止水及充填物，洞内淤堵及排水孔工况等。</w:t>
            </w:r>
          </w:p>
        </w:tc>
        <w:tc>
          <w:tcPr>
            <w:tcW w:w="4155" w:type="dxa"/>
            <w:gridSpan w:val="2"/>
            <w:shd w:val="clear" w:color="000000" w:fill="FFFFFF"/>
            <w:noWrap w:val="0"/>
            <w:tcMar>
              <w:left w:w="108" w:type="dxa"/>
              <w:right w:w="108" w:type="dxa"/>
            </w:tcMar>
            <w:vAlign w:val="center"/>
          </w:tcPr>
          <w:p w14:paraId="380021C2">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选厂立即停产，停止向尾矿库排放尾矿</w:t>
            </w:r>
          </w:p>
        </w:tc>
        <w:tc>
          <w:tcPr>
            <w:tcW w:w="2165" w:type="dxa"/>
            <w:shd w:val="clear" w:color="000000" w:fill="FFFFFF"/>
            <w:noWrap w:val="0"/>
            <w:tcMar>
              <w:left w:w="108" w:type="dxa"/>
              <w:right w:w="108" w:type="dxa"/>
            </w:tcMar>
            <w:vAlign w:val="center"/>
          </w:tcPr>
          <w:p w14:paraId="198FACB9">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穿戴安全帽、工作服、防护鞋、防护手套；救生衣或救生圈。</w:t>
            </w:r>
          </w:p>
        </w:tc>
      </w:tr>
      <w:tr w14:paraId="6C3BD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744" w:hRule="atLeast"/>
          <w:jc w:val="center"/>
        </w:trPr>
        <w:tc>
          <w:tcPr>
            <w:tcW w:w="447" w:type="dxa"/>
            <w:vMerge w:val="continue"/>
            <w:shd w:val="clear" w:color="000000" w:fill="FFFFFF"/>
            <w:noWrap w:val="0"/>
            <w:tcMar>
              <w:left w:w="108" w:type="dxa"/>
              <w:right w:w="108" w:type="dxa"/>
            </w:tcMar>
            <w:vAlign w:val="center"/>
          </w:tcPr>
          <w:p w14:paraId="52104E2F">
            <w:pPr>
              <w:spacing w:line="300" w:lineRule="atLeast"/>
              <w:ind w:firstLine="0" w:firstLineChars="0"/>
              <w:jc w:val="center"/>
              <w:rPr>
                <w:rFonts w:ascii="Times New Roman" w:hAnsi="Times New Roman" w:eastAsia="宋体" w:cs="Times New Roman"/>
                <w:color w:val="auto"/>
                <w:sz w:val="21"/>
                <w:szCs w:val="21"/>
              </w:rPr>
            </w:pPr>
          </w:p>
        </w:tc>
        <w:tc>
          <w:tcPr>
            <w:tcW w:w="1260" w:type="dxa"/>
            <w:shd w:val="clear" w:color="000000" w:fill="FFFFFF"/>
            <w:noWrap w:val="0"/>
            <w:tcMar>
              <w:left w:w="108" w:type="dxa"/>
              <w:right w:w="108" w:type="dxa"/>
            </w:tcMar>
            <w:vAlign w:val="center"/>
          </w:tcPr>
          <w:p w14:paraId="796144FB">
            <w:pPr>
              <w:spacing w:line="300" w:lineRule="atLeast"/>
              <w:ind w:firstLine="0" w:firstLineChars="0"/>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地震、泥石流、山体滑坡、雷击，动植物危害</w:t>
            </w:r>
          </w:p>
        </w:tc>
        <w:tc>
          <w:tcPr>
            <w:tcW w:w="1440" w:type="dxa"/>
            <w:shd w:val="clear" w:color="auto" w:fill="0000FF"/>
            <w:noWrap w:val="0"/>
            <w:tcMar>
              <w:left w:w="108" w:type="dxa"/>
              <w:right w:w="108" w:type="dxa"/>
            </w:tcMar>
            <w:vAlign w:val="center"/>
          </w:tcPr>
          <w:p w14:paraId="658184D4">
            <w:pPr>
              <w:spacing w:line="300" w:lineRule="atLeast"/>
              <w:ind w:firstLine="0" w:firstLineChars="0"/>
              <w:jc w:val="center"/>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蓝色风险</w:t>
            </w:r>
          </w:p>
          <w:p w14:paraId="598D43E2">
            <w:pPr>
              <w:spacing w:line="300" w:lineRule="atLeast"/>
              <w:ind w:firstLine="0" w:firstLineChars="0"/>
              <w:jc w:val="center"/>
              <w:rPr>
                <w:rFonts w:ascii="Times New Roman" w:hAnsi="Times New Roman" w:eastAsia="宋体" w:cs="Times New Roman"/>
                <w:bCs/>
                <w:color w:val="auto"/>
                <w:sz w:val="21"/>
                <w:szCs w:val="21"/>
              </w:rPr>
            </w:pPr>
            <w:r>
              <w:rPr>
                <w:rFonts w:hint="eastAsia" w:ascii="Times New Roman" w:hAnsi="Times New Roman" w:eastAsia="宋体" w:cs="Times New Roman"/>
                <w:bCs/>
                <w:color w:val="auto"/>
                <w:sz w:val="21"/>
                <w:szCs w:val="21"/>
              </w:rPr>
              <w:t>（低</w:t>
            </w:r>
            <w:r>
              <w:rPr>
                <w:rFonts w:ascii="Times New Roman" w:hAnsi="Times New Roman" w:eastAsia="宋体" w:cs="Times New Roman"/>
                <w:bCs/>
                <w:color w:val="auto"/>
                <w:sz w:val="21"/>
                <w:szCs w:val="21"/>
              </w:rPr>
              <w:t>风险</w:t>
            </w:r>
            <w:r>
              <w:rPr>
                <w:rFonts w:hint="eastAsia" w:ascii="Times New Roman" w:hAnsi="Times New Roman" w:eastAsia="宋体" w:cs="Times New Roman"/>
                <w:bCs/>
                <w:color w:val="auto"/>
                <w:sz w:val="21"/>
                <w:szCs w:val="21"/>
              </w:rPr>
              <w:t>）</w:t>
            </w:r>
          </w:p>
        </w:tc>
        <w:tc>
          <w:tcPr>
            <w:tcW w:w="5025" w:type="dxa"/>
            <w:shd w:val="clear" w:color="000000" w:fill="FFFFFF"/>
            <w:noWrap w:val="0"/>
            <w:tcMar>
              <w:left w:w="108" w:type="dxa"/>
              <w:right w:w="108" w:type="dxa"/>
            </w:tcMar>
            <w:vAlign w:val="center"/>
          </w:tcPr>
          <w:p w14:paraId="63FA59B7">
            <w:pPr>
              <w:widowControl/>
              <w:spacing w:line="300" w:lineRule="atLeast"/>
              <w:ind w:firstLine="0" w:firstLineChars="0"/>
              <w:textAlignment w:val="center"/>
              <w:rPr>
                <w:rFonts w:hint="eastAsia" w:ascii="Times New Roman" w:hAnsi="Times New Roman" w:eastAsia="宋体" w:cs="Times New Roman"/>
                <w:color w:val="auto"/>
                <w:sz w:val="21"/>
                <w:szCs w:val="21"/>
              </w:rPr>
            </w:pPr>
            <w:r>
              <w:rPr>
                <w:rFonts w:ascii="Times New Roman" w:hAnsi="Times New Roman" w:eastAsia="宋体" w:cs="Times New Roman"/>
                <w:color w:val="auto"/>
                <w:sz w:val="21"/>
                <w:szCs w:val="21"/>
              </w:rPr>
              <w:t>1.在下游坡坡脚增设土石料压坡；</w:t>
            </w:r>
          </w:p>
          <w:p w14:paraId="797156FE">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2.对堆积坡进行削坡、放缓坝坡；</w:t>
            </w:r>
          </w:p>
          <w:p w14:paraId="2DF9935A">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3.对坝体进行加密处理；</w:t>
            </w:r>
          </w:p>
          <w:p w14:paraId="60FD0DBB">
            <w:pPr>
              <w:widowControl/>
              <w:spacing w:line="300" w:lineRule="atLeast"/>
              <w:ind w:firstLine="0" w:firstLineChars="0"/>
              <w:textAlignment w:val="center"/>
              <w:rPr>
                <w:rFonts w:hint="eastAsia" w:ascii="Times New Roman" w:hAnsi="Times New Roman" w:eastAsia="宋体" w:cs="Times New Roman"/>
                <w:color w:val="auto"/>
                <w:sz w:val="21"/>
                <w:szCs w:val="21"/>
              </w:rPr>
            </w:pPr>
            <w:r>
              <w:rPr>
                <w:rFonts w:ascii="Times New Roman" w:hAnsi="Times New Roman" w:eastAsia="宋体" w:cs="Times New Roman"/>
                <w:color w:val="auto"/>
                <w:sz w:val="21"/>
                <w:szCs w:val="21"/>
              </w:rPr>
              <w:t>4.降低库内水位或增设排渗设施，降低坝体浸润线；</w:t>
            </w:r>
          </w:p>
          <w:p w14:paraId="750549C6">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5.构建避雷设施；</w:t>
            </w:r>
          </w:p>
          <w:p w14:paraId="2CA563A4">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6.远离蛇身、蜂巢。</w:t>
            </w:r>
          </w:p>
        </w:tc>
        <w:tc>
          <w:tcPr>
            <w:tcW w:w="4155" w:type="dxa"/>
            <w:gridSpan w:val="2"/>
            <w:shd w:val="clear" w:color="000000" w:fill="FFFFFF"/>
            <w:noWrap w:val="0"/>
            <w:tcMar>
              <w:left w:w="108" w:type="dxa"/>
              <w:right w:w="108" w:type="dxa"/>
            </w:tcMar>
            <w:vAlign w:val="center"/>
          </w:tcPr>
          <w:p w14:paraId="4A658ED0">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1.震前应注意库区岸坡的稳定性，防止滑坡破坏尾矿设施；</w:t>
            </w:r>
          </w:p>
          <w:p w14:paraId="202C0845">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2.了解上游所建工程的稳定情况，必要时应采取防范措施避免造成更大损失；</w:t>
            </w:r>
          </w:p>
          <w:p w14:paraId="733C224D">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3.不在山体陡峭处逗留；</w:t>
            </w:r>
          </w:p>
          <w:p w14:paraId="2F2811A7">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4.掌握天气预报；</w:t>
            </w:r>
          </w:p>
          <w:p w14:paraId="70213925">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5.雷雨季节不在空旷处逗留、打电话；</w:t>
            </w:r>
          </w:p>
          <w:p w14:paraId="24BD6286">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6.不在大树下躲雨或乘凉；不触摸导电体；</w:t>
            </w:r>
          </w:p>
          <w:p w14:paraId="35298F1A">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7.不随意触碰动植物活体，备好长棍，不惊扰蛇蜂；带砍刀砍除荆棘、漆树。</w:t>
            </w:r>
          </w:p>
        </w:tc>
        <w:tc>
          <w:tcPr>
            <w:tcW w:w="2165" w:type="dxa"/>
            <w:shd w:val="clear" w:color="000000" w:fill="FFFFFF"/>
            <w:noWrap w:val="0"/>
            <w:tcMar>
              <w:left w:w="108" w:type="dxa"/>
              <w:right w:w="108" w:type="dxa"/>
            </w:tcMar>
            <w:vAlign w:val="center"/>
          </w:tcPr>
          <w:p w14:paraId="5F4BE7AA">
            <w:pPr>
              <w:widowControl/>
              <w:spacing w:line="300" w:lineRule="atLeast"/>
              <w:ind w:firstLine="0" w:firstLineChars="0"/>
              <w:textAlignment w:val="center"/>
              <w:rPr>
                <w:rFonts w:hint="eastAsia" w:ascii="Times New Roman" w:hAnsi="Times New Roman" w:eastAsia="宋体" w:cs="Times New Roman"/>
                <w:color w:val="auto"/>
                <w:sz w:val="21"/>
                <w:szCs w:val="21"/>
              </w:rPr>
            </w:pPr>
            <w:r>
              <w:rPr>
                <w:rFonts w:ascii="Times New Roman" w:hAnsi="Times New Roman" w:eastAsia="宋体" w:cs="Times New Roman"/>
                <w:color w:val="auto"/>
                <w:sz w:val="21"/>
                <w:szCs w:val="21"/>
              </w:rPr>
              <w:t>1.穿戴安全帽、工作服、防护鞋、防护手套；做到头、手、脚尽量不外露。</w:t>
            </w:r>
          </w:p>
          <w:p w14:paraId="4A58F960">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2.备好应急药品，立即就医。</w:t>
            </w:r>
          </w:p>
        </w:tc>
      </w:tr>
      <w:tr w14:paraId="7CEA7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54" w:hRule="atLeast"/>
          <w:jc w:val="center"/>
        </w:trPr>
        <w:tc>
          <w:tcPr>
            <w:tcW w:w="447" w:type="dxa"/>
            <w:vMerge w:val="continue"/>
            <w:shd w:val="clear" w:color="000000" w:fill="FFFFFF"/>
            <w:noWrap w:val="0"/>
            <w:tcMar>
              <w:left w:w="108" w:type="dxa"/>
              <w:right w:w="108" w:type="dxa"/>
            </w:tcMar>
            <w:vAlign w:val="center"/>
          </w:tcPr>
          <w:p w14:paraId="04370236">
            <w:pPr>
              <w:spacing w:line="300" w:lineRule="atLeast"/>
              <w:ind w:firstLine="0" w:firstLineChars="0"/>
              <w:jc w:val="center"/>
              <w:rPr>
                <w:rFonts w:ascii="Times New Roman" w:hAnsi="Times New Roman" w:eastAsia="宋体" w:cs="Times New Roman"/>
                <w:color w:val="auto"/>
                <w:sz w:val="21"/>
                <w:szCs w:val="21"/>
              </w:rPr>
            </w:pPr>
          </w:p>
        </w:tc>
        <w:tc>
          <w:tcPr>
            <w:tcW w:w="1260" w:type="dxa"/>
            <w:shd w:val="clear" w:color="000000" w:fill="FFFFFF"/>
            <w:noWrap w:val="0"/>
            <w:tcMar>
              <w:left w:w="108" w:type="dxa"/>
              <w:right w:w="108" w:type="dxa"/>
            </w:tcMar>
            <w:vAlign w:val="center"/>
          </w:tcPr>
          <w:p w14:paraId="729BF65E">
            <w:pPr>
              <w:spacing w:line="300" w:lineRule="exact"/>
              <w:ind w:firstLine="0" w:firstLineChars="0"/>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调洪库容不足</w:t>
            </w:r>
          </w:p>
        </w:tc>
        <w:tc>
          <w:tcPr>
            <w:tcW w:w="1440" w:type="dxa"/>
            <w:shd w:val="clear" w:color="auto" w:fill="FF6600"/>
            <w:noWrap w:val="0"/>
            <w:tcMar>
              <w:left w:w="108" w:type="dxa"/>
              <w:right w:w="108" w:type="dxa"/>
            </w:tcMar>
            <w:vAlign w:val="center"/>
          </w:tcPr>
          <w:p w14:paraId="2EAD24A6">
            <w:pPr>
              <w:spacing w:line="300" w:lineRule="exact"/>
              <w:ind w:firstLine="0" w:firstLineChars="0"/>
              <w:jc w:val="center"/>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橙色风险</w:t>
            </w:r>
          </w:p>
          <w:p w14:paraId="0B6739AB">
            <w:pPr>
              <w:spacing w:line="300" w:lineRule="exact"/>
              <w:ind w:firstLine="0" w:firstLineChars="0"/>
              <w:jc w:val="center"/>
              <w:rPr>
                <w:rFonts w:ascii="Times New Roman" w:hAnsi="Times New Roman" w:eastAsia="宋体" w:cs="Times New Roman"/>
                <w:bCs/>
                <w:color w:val="auto"/>
                <w:sz w:val="21"/>
                <w:szCs w:val="21"/>
              </w:rPr>
            </w:pPr>
            <w:r>
              <w:rPr>
                <w:rFonts w:hint="eastAsia" w:ascii="Times New Roman" w:hAnsi="Times New Roman" w:eastAsia="宋体" w:cs="Times New Roman"/>
                <w:bCs/>
                <w:color w:val="auto"/>
                <w:sz w:val="21"/>
                <w:szCs w:val="21"/>
              </w:rPr>
              <w:t>（</w:t>
            </w:r>
            <w:r>
              <w:rPr>
                <w:rFonts w:ascii="Times New Roman" w:hAnsi="Times New Roman" w:eastAsia="宋体" w:cs="Times New Roman"/>
                <w:bCs/>
                <w:color w:val="auto"/>
                <w:sz w:val="21"/>
                <w:szCs w:val="21"/>
              </w:rPr>
              <w:t>较大风险</w:t>
            </w:r>
            <w:r>
              <w:rPr>
                <w:rFonts w:hint="eastAsia" w:ascii="Times New Roman" w:hAnsi="Times New Roman" w:eastAsia="宋体" w:cs="Times New Roman"/>
                <w:bCs/>
                <w:color w:val="auto"/>
                <w:sz w:val="21"/>
                <w:szCs w:val="21"/>
              </w:rPr>
              <w:t>）</w:t>
            </w:r>
          </w:p>
        </w:tc>
        <w:tc>
          <w:tcPr>
            <w:tcW w:w="5025" w:type="dxa"/>
            <w:shd w:val="clear" w:color="000000" w:fill="FFFFFF"/>
            <w:noWrap w:val="0"/>
            <w:tcMar>
              <w:left w:w="108" w:type="dxa"/>
              <w:right w:w="108" w:type="dxa"/>
            </w:tcMar>
            <w:vAlign w:val="center"/>
          </w:tcPr>
          <w:p w14:paraId="203113ED">
            <w:pPr>
              <w:widowControl/>
              <w:spacing w:line="300" w:lineRule="exac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1.在满足回水水质和水量要求前提下，尽量降低库内水位；</w:t>
            </w:r>
          </w:p>
          <w:p w14:paraId="4A4CBA5F">
            <w:pPr>
              <w:widowControl/>
              <w:spacing w:line="300" w:lineRule="exac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2.在汛期必须满足设计对库内水位控制的要求；</w:t>
            </w:r>
          </w:p>
          <w:p w14:paraId="5AC4D14A">
            <w:pPr>
              <w:widowControl/>
              <w:spacing w:line="300" w:lineRule="exac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3.当尾矿库实际情况与设计不符时，应在汛前进行调洪演算，保证在最高洪水位时滩长与超高都满足设计要求；</w:t>
            </w:r>
          </w:p>
          <w:p w14:paraId="187634F0">
            <w:pPr>
              <w:widowControl/>
              <w:spacing w:line="300" w:lineRule="exac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4.当回水与尾矿库安全对滩长和超高的要求有矛盾时，必须保证坝体安全；</w:t>
            </w:r>
          </w:p>
          <w:p w14:paraId="536FE3F0">
            <w:pPr>
              <w:widowControl/>
              <w:spacing w:line="300" w:lineRule="exac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5.水边线应于坝轴线基本保持平行。</w:t>
            </w:r>
          </w:p>
        </w:tc>
        <w:tc>
          <w:tcPr>
            <w:tcW w:w="4155" w:type="dxa"/>
            <w:gridSpan w:val="2"/>
            <w:shd w:val="clear" w:color="000000" w:fill="FFFFFF"/>
            <w:noWrap w:val="0"/>
            <w:tcMar>
              <w:left w:w="108" w:type="dxa"/>
              <w:right w:w="108" w:type="dxa"/>
            </w:tcMar>
            <w:vAlign w:val="center"/>
          </w:tcPr>
          <w:p w14:paraId="7238EE44">
            <w:pPr>
              <w:widowControl/>
              <w:spacing w:line="300" w:lineRule="exac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1.汛期前应对排洪设施进行检查、维修和疏浚，确保排洪设施畅通；</w:t>
            </w:r>
          </w:p>
          <w:p w14:paraId="08F05FA0">
            <w:pPr>
              <w:widowControl/>
              <w:spacing w:line="300" w:lineRule="exac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2.根据确定的排洪底坎高程，将排洪底坎以上1.5倍调洪高度内的挡板全部打开，清除排洪口前水面漂浮物；</w:t>
            </w:r>
          </w:p>
          <w:p w14:paraId="3DCE17FF">
            <w:pPr>
              <w:widowControl/>
              <w:spacing w:line="300" w:lineRule="exac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3.库内设清晰醒目的水位观测标尺，标明正常运行水位和警戒水位。</w:t>
            </w:r>
          </w:p>
        </w:tc>
        <w:tc>
          <w:tcPr>
            <w:tcW w:w="2165" w:type="dxa"/>
            <w:shd w:val="clear" w:color="000000" w:fill="FFFFFF"/>
            <w:noWrap w:val="0"/>
            <w:tcMar>
              <w:left w:w="108" w:type="dxa"/>
              <w:right w:w="108" w:type="dxa"/>
            </w:tcMar>
            <w:vAlign w:val="center"/>
          </w:tcPr>
          <w:p w14:paraId="198EDC99">
            <w:pPr>
              <w:widowControl/>
              <w:spacing w:line="300" w:lineRule="exac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穿戴安全帽、工作服、防护鞋、防护手套；救生衣或救生圈。</w:t>
            </w:r>
          </w:p>
        </w:tc>
      </w:tr>
      <w:tr w14:paraId="1DF57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54" w:hRule="atLeast"/>
          <w:jc w:val="center"/>
        </w:trPr>
        <w:tc>
          <w:tcPr>
            <w:tcW w:w="447" w:type="dxa"/>
            <w:vMerge w:val="continue"/>
            <w:shd w:val="clear" w:color="000000" w:fill="FFFFFF"/>
            <w:noWrap w:val="0"/>
            <w:tcMar>
              <w:left w:w="108" w:type="dxa"/>
              <w:right w:w="108" w:type="dxa"/>
            </w:tcMar>
            <w:vAlign w:val="center"/>
          </w:tcPr>
          <w:p w14:paraId="5459D339">
            <w:pPr>
              <w:spacing w:line="300" w:lineRule="atLeast"/>
              <w:ind w:firstLine="0" w:firstLineChars="0"/>
              <w:jc w:val="center"/>
              <w:rPr>
                <w:rFonts w:ascii="Times New Roman" w:hAnsi="Times New Roman" w:eastAsia="宋体" w:cs="Times New Roman"/>
                <w:color w:val="auto"/>
                <w:sz w:val="21"/>
                <w:szCs w:val="21"/>
              </w:rPr>
            </w:pPr>
          </w:p>
        </w:tc>
        <w:tc>
          <w:tcPr>
            <w:tcW w:w="1260" w:type="dxa"/>
            <w:shd w:val="clear" w:color="000000" w:fill="FFFFFF"/>
            <w:noWrap w:val="0"/>
            <w:tcMar>
              <w:left w:w="108" w:type="dxa"/>
              <w:right w:w="108" w:type="dxa"/>
            </w:tcMar>
            <w:vAlign w:val="center"/>
          </w:tcPr>
          <w:p w14:paraId="478D73D1">
            <w:pPr>
              <w:spacing w:line="300" w:lineRule="atLeast"/>
              <w:ind w:firstLine="0" w:firstLineChars="0"/>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运行管理不当</w:t>
            </w:r>
          </w:p>
        </w:tc>
        <w:tc>
          <w:tcPr>
            <w:tcW w:w="1440" w:type="dxa"/>
            <w:shd w:val="clear" w:color="auto" w:fill="FFFF00"/>
            <w:noWrap w:val="0"/>
            <w:tcMar>
              <w:left w:w="108" w:type="dxa"/>
              <w:right w:w="108" w:type="dxa"/>
            </w:tcMar>
            <w:vAlign w:val="center"/>
          </w:tcPr>
          <w:p w14:paraId="12723FE2">
            <w:pPr>
              <w:spacing w:line="300" w:lineRule="atLeast"/>
              <w:ind w:firstLine="0" w:firstLineChars="0"/>
              <w:jc w:val="center"/>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黄色风险</w:t>
            </w:r>
          </w:p>
          <w:p w14:paraId="3CA2E7C2">
            <w:pPr>
              <w:spacing w:line="300" w:lineRule="atLeast"/>
              <w:ind w:firstLine="0" w:firstLineChars="0"/>
              <w:rPr>
                <w:rFonts w:ascii="Times New Roman" w:hAnsi="Times New Roman" w:eastAsia="宋体" w:cs="Times New Roman"/>
                <w:bCs/>
                <w:color w:val="auto"/>
                <w:sz w:val="21"/>
                <w:szCs w:val="21"/>
              </w:rPr>
            </w:pPr>
            <w:r>
              <w:rPr>
                <w:rFonts w:hint="eastAsia" w:ascii="Times New Roman" w:hAnsi="Times New Roman" w:eastAsia="宋体" w:cs="Times New Roman"/>
                <w:bCs/>
                <w:color w:val="auto"/>
                <w:sz w:val="21"/>
                <w:szCs w:val="21"/>
              </w:rPr>
              <w:t>（</w:t>
            </w:r>
            <w:r>
              <w:rPr>
                <w:rFonts w:ascii="Times New Roman" w:hAnsi="Times New Roman" w:eastAsia="宋体" w:cs="Times New Roman"/>
                <w:bCs/>
                <w:color w:val="auto"/>
                <w:sz w:val="21"/>
                <w:szCs w:val="21"/>
              </w:rPr>
              <w:t>一般风险</w:t>
            </w:r>
            <w:r>
              <w:rPr>
                <w:rFonts w:hint="eastAsia" w:ascii="Times New Roman" w:hAnsi="Times New Roman" w:eastAsia="宋体" w:cs="Times New Roman"/>
                <w:bCs/>
                <w:color w:val="auto"/>
                <w:sz w:val="21"/>
                <w:szCs w:val="21"/>
              </w:rPr>
              <w:t>）</w:t>
            </w:r>
          </w:p>
        </w:tc>
        <w:tc>
          <w:tcPr>
            <w:tcW w:w="5025" w:type="dxa"/>
            <w:shd w:val="clear" w:color="000000" w:fill="FFFFFF"/>
            <w:noWrap w:val="0"/>
            <w:tcMar>
              <w:left w:w="108" w:type="dxa"/>
              <w:right w:w="108" w:type="dxa"/>
            </w:tcMar>
            <w:vAlign w:val="center"/>
          </w:tcPr>
          <w:p w14:paraId="271B99B8">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1.严格按照本规程、《尾矿库安全监督管理规定》和设计文件的要求，做好尾矿库放矿筑坝、回水排水、防汛、抗震等安全生产管理；</w:t>
            </w:r>
          </w:p>
          <w:p w14:paraId="1B460AEF">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2.做好日常巡检和定期观测，并进行及时、全面的记录。</w:t>
            </w:r>
          </w:p>
        </w:tc>
        <w:tc>
          <w:tcPr>
            <w:tcW w:w="4155" w:type="dxa"/>
            <w:gridSpan w:val="2"/>
            <w:shd w:val="clear" w:color="000000" w:fill="FFFFFF"/>
            <w:noWrap w:val="0"/>
            <w:tcMar>
              <w:left w:w="108" w:type="dxa"/>
              <w:right w:w="108" w:type="dxa"/>
            </w:tcMar>
            <w:vAlign w:val="center"/>
          </w:tcPr>
          <w:p w14:paraId="2973C674">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1.建立健全尾矿设施安全管理制度；对从事尾矿库作业的尾矿工进行专门的作业培训,并监督其取得特种作业人员操作资格证书和持证上岗情况；</w:t>
            </w:r>
          </w:p>
          <w:p w14:paraId="08A7DD3C">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2.编制年、季作业计划和详细运行图表，统筹安排和实施尾矿输送、排洪的管理工作。</w:t>
            </w:r>
          </w:p>
        </w:tc>
        <w:tc>
          <w:tcPr>
            <w:tcW w:w="2165" w:type="dxa"/>
            <w:shd w:val="clear" w:color="000000" w:fill="FFFFFF"/>
            <w:noWrap w:val="0"/>
            <w:tcMar>
              <w:left w:w="108" w:type="dxa"/>
              <w:right w:w="108" w:type="dxa"/>
            </w:tcMar>
            <w:vAlign w:val="center"/>
          </w:tcPr>
          <w:p w14:paraId="6FC0283E">
            <w:pPr>
              <w:widowControl/>
              <w:spacing w:line="300" w:lineRule="atLeast"/>
              <w:ind w:firstLine="0" w:firstLineChars="0"/>
              <w:textAlignment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穿戴安全帽、工作服、防护鞋、防护手套；救生衣或救生圈。</w:t>
            </w:r>
          </w:p>
        </w:tc>
      </w:tr>
    </w:tbl>
    <w:p w14:paraId="40D7829E">
      <w:pPr>
        <w:bidi w:val="0"/>
        <w:ind w:left="0" w:leftChars="0" w:firstLine="0" w:firstLineChars="0"/>
        <w:jc w:val="center"/>
        <w:rPr>
          <w:rFonts w:hint="default"/>
          <w:color w:val="auto"/>
          <w:lang w:val="en-US" w:eastAsia="zh-CN"/>
        </w:rPr>
      </w:pPr>
      <w:r>
        <w:rPr>
          <w:rFonts w:hint="eastAsia"/>
          <w:color w:val="auto"/>
          <w:lang w:val="en-US" w:eastAsia="zh-CN"/>
        </w:rPr>
        <w:t xml:space="preserve">表5.6-2 </w:t>
      </w:r>
      <w:r>
        <w:rPr>
          <w:rFonts w:hint="default"/>
          <w:color w:val="auto"/>
          <w:lang w:val="en-US" w:eastAsia="zh-CN"/>
        </w:rPr>
        <w:t>尾矿工作业过程危险有害因素辨别与评价记录表</w:t>
      </w:r>
    </w:p>
    <w:tbl>
      <w:tblPr>
        <w:tblStyle w:val="19"/>
        <w:tblW w:w="1440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2"/>
        <w:gridCol w:w="1208"/>
        <w:gridCol w:w="1620"/>
        <w:gridCol w:w="1260"/>
        <w:gridCol w:w="1260"/>
        <w:gridCol w:w="1080"/>
        <w:gridCol w:w="1080"/>
        <w:gridCol w:w="1422"/>
        <w:gridCol w:w="592"/>
        <w:gridCol w:w="506"/>
        <w:gridCol w:w="540"/>
        <w:gridCol w:w="540"/>
        <w:gridCol w:w="720"/>
        <w:gridCol w:w="1800"/>
      </w:tblGrid>
      <w:tr w14:paraId="7A965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772" w:type="dxa"/>
            <w:vMerge w:val="restart"/>
            <w:noWrap w:val="0"/>
            <w:vAlign w:val="center"/>
          </w:tcPr>
          <w:p w14:paraId="73FAA7E0">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序号</w:t>
            </w:r>
          </w:p>
        </w:tc>
        <w:tc>
          <w:tcPr>
            <w:tcW w:w="1208" w:type="dxa"/>
            <w:vMerge w:val="restart"/>
            <w:noWrap w:val="0"/>
            <w:vAlign w:val="center"/>
          </w:tcPr>
          <w:p w14:paraId="3F494AB9">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工作步骤</w:t>
            </w:r>
          </w:p>
        </w:tc>
        <w:tc>
          <w:tcPr>
            <w:tcW w:w="1620" w:type="dxa"/>
            <w:vMerge w:val="restart"/>
            <w:noWrap w:val="0"/>
            <w:vAlign w:val="center"/>
          </w:tcPr>
          <w:p w14:paraId="45AAE874">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危险有害因素</w:t>
            </w:r>
          </w:p>
        </w:tc>
        <w:tc>
          <w:tcPr>
            <w:tcW w:w="1260" w:type="dxa"/>
            <w:vMerge w:val="restart"/>
            <w:noWrap w:val="0"/>
            <w:vAlign w:val="center"/>
          </w:tcPr>
          <w:p w14:paraId="2700491F">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可能导致的事故</w:t>
            </w:r>
          </w:p>
        </w:tc>
        <w:tc>
          <w:tcPr>
            <w:tcW w:w="4842" w:type="dxa"/>
            <w:gridSpan w:val="4"/>
            <w:noWrap w:val="0"/>
            <w:vAlign w:val="center"/>
          </w:tcPr>
          <w:p w14:paraId="2F5375D8">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以往发生频率及现有安全措施</w:t>
            </w:r>
          </w:p>
        </w:tc>
        <w:tc>
          <w:tcPr>
            <w:tcW w:w="592" w:type="dxa"/>
            <w:vMerge w:val="restart"/>
            <w:noWrap w:val="0"/>
            <w:vAlign w:val="center"/>
          </w:tcPr>
          <w:p w14:paraId="271BD8ED">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L</w:t>
            </w:r>
          </w:p>
        </w:tc>
        <w:tc>
          <w:tcPr>
            <w:tcW w:w="506" w:type="dxa"/>
            <w:vMerge w:val="restart"/>
            <w:noWrap w:val="0"/>
            <w:vAlign w:val="center"/>
          </w:tcPr>
          <w:p w14:paraId="34C2579A">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E</w:t>
            </w:r>
          </w:p>
        </w:tc>
        <w:tc>
          <w:tcPr>
            <w:tcW w:w="540" w:type="dxa"/>
            <w:vMerge w:val="restart"/>
            <w:noWrap w:val="0"/>
            <w:vAlign w:val="center"/>
          </w:tcPr>
          <w:p w14:paraId="41BF3983">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C</w:t>
            </w:r>
          </w:p>
        </w:tc>
        <w:tc>
          <w:tcPr>
            <w:tcW w:w="540" w:type="dxa"/>
            <w:vMerge w:val="restart"/>
            <w:noWrap w:val="0"/>
            <w:vAlign w:val="center"/>
          </w:tcPr>
          <w:p w14:paraId="131EA9FA">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D</w:t>
            </w:r>
          </w:p>
        </w:tc>
        <w:tc>
          <w:tcPr>
            <w:tcW w:w="720" w:type="dxa"/>
            <w:vMerge w:val="restart"/>
            <w:noWrap w:val="0"/>
            <w:vAlign w:val="center"/>
          </w:tcPr>
          <w:p w14:paraId="7BECEACE">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危险</w:t>
            </w:r>
          </w:p>
          <w:p w14:paraId="70A1AAE3">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等级</w:t>
            </w:r>
          </w:p>
        </w:tc>
        <w:tc>
          <w:tcPr>
            <w:tcW w:w="1800" w:type="dxa"/>
            <w:vMerge w:val="restart"/>
            <w:noWrap w:val="0"/>
            <w:vAlign w:val="center"/>
          </w:tcPr>
          <w:p w14:paraId="42DF81BA">
            <w:pPr>
              <w:spacing w:line="300" w:lineRule="exact"/>
              <w:ind w:firstLine="0" w:firstLineChars="0"/>
              <w:jc w:val="center"/>
              <w:rPr>
                <w:rFonts w:hint="eastAsia" w:ascii="Times New Roman" w:hAnsi="Times New Roman" w:eastAsia="宋体" w:cs="Times New Roman"/>
                <w:color w:val="auto"/>
                <w:sz w:val="21"/>
                <w:szCs w:val="21"/>
              </w:rPr>
            </w:pPr>
            <w:r>
              <w:rPr>
                <w:rFonts w:ascii="Times New Roman" w:hAnsi="Times New Roman" w:eastAsia="宋体" w:cs="Times New Roman"/>
                <w:color w:val="auto"/>
                <w:sz w:val="21"/>
                <w:szCs w:val="21"/>
              </w:rPr>
              <w:t>建议改正</w:t>
            </w:r>
          </w:p>
          <w:p w14:paraId="1C77F483">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控制措施</w:t>
            </w:r>
          </w:p>
        </w:tc>
      </w:tr>
      <w:tr w14:paraId="79A24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772" w:type="dxa"/>
            <w:vMerge w:val="continue"/>
            <w:noWrap w:val="0"/>
            <w:vAlign w:val="center"/>
          </w:tcPr>
          <w:p w14:paraId="71CBAFD7">
            <w:pPr>
              <w:widowControl/>
              <w:spacing w:line="300" w:lineRule="exact"/>
              <w:ind w:firstLine="0" w:firstLineChars="0"/>
              <w:jc w:val="left"/>
              <w:rPr>
                <w:rFonts w:ascii="Times New Roman" w:hAnsi="Times New Roman" w:eastAsia="宋体" w:cs="Times New Roman"/>
                <w:color w:val="auto"/>
                <w:sz w:val="21"/>
                <w:szCs w:val="21"/>
              </w:rPr>
            </w:pPr>
          </w:p>
        </w:tc>
        <w:tc>
          <w:tcPr>
            <w:tcW w:w="1208" w:type="dxa"/>
            <w:vMerge w:val="continue"/>
            <w:noWrap w:val="0"/>
            <w:vAlign w:val="center"/>
          </w:tcPr>
          <w:p w14:paraId="2D5C520D">
            <w:pPr>
              <w:widowControl/>
              <w:spacing w:line="300" w:lineRule="exact"/>
              <w:ind w:firstLine="0" w:firstLineChars="0"/>
              <w:jc w:val="left"/>
              <w:rPr>
                <w:rFonts w:ascii="Times New Roman" w:hAnsi="Times New Roman" w:eastAsia="宋体" w:cs="Times New Roman"/>
                <w:color w:val="auto"/>
                <w:sz w:val="21"/>
                <w:szCs w:val="21"/>
              </w:rPr>
            </w:pPr>
          </w:p>
        </w:tc>
        <w:tc>
          <w:tcPr>
            <w:tcW w:w="1620" w:type="dxa"/>
            <w:vMerge w:val="continue"/>
            <w:noWrap w:val="0"/>
            <w:vAlign w:val="center"/>
          </w:tcPr>
          <w:p w14:paraId="776900AE">
            <w:pPr>
              <w:widowControl/>
              <w:spacing w:line="300" w:lineRule="exact"/>
              <w:ind w:firstLine="0" w:firstLineChars="0"/>
              <w:jc w:val="left"/>
              <w:rPr>
                <w:rFonts w:ascii="Times New Roman" w:hAnsi="Times New Roman" w:eastAsia="宋体" w:cs="Times New Roman"/>
                <w:color w:val="auto"/>
                <w:sz w:val="21"/>
                <w:szCs w:val="21"/>
              </w:rPr>
            </w:pPr>
          </w:p>
        </w:tc>
        <w:tc>
          <w:tcPr>
            <w:tcW w:w="1260" w:type="dxa"/>
            <w:vMerge w:val="continue"/>
            <w:noWrap w:val="0"/>
            <w:vAlign w:val="center"/>
          </w:tcPr>
          <w:p w14:paraId="6F5B44A1">
            <w:pPr>
              <w:widowControl/>
              <w:spacing w:line="300" w:lineRule="exact"/>
              <w:ind w:firstLine="0" w:firstLineChars="0"/>
              <w:jc w:val="left"/>
              <w:rPr>
                <w:rFonts w:ascii="Times New Roman" w:hAnsi="Times New Roman" w:eastAsia="宋体" w:cs="Times New Roman"/>
                <w:color w:val="auto"/>
                <w:sz w:val="21"/>
                <w:szCs w:val="21"/>
              </w:rPr>
            </w:pPr>
          </w:p>
        </w:tc>
        <w:tc>
          <w:tcPr>
            <w:tcW w:w="1260" w:type="dxa"/>
            <w:noWrap w:val="0"/>
            <w:vAlign w:val="center"/>
          </w:tcPr>
          <w:p w14:paraId="277BF58C">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偏差发生频率</w:t>
            </w:r>
          </w:p>
        </w:tc>
        <w:tc>
          <w:tcPr>
            <w:tcW w:w="1080" w:type="dxa"/>
            <w:noWrap w:val="0"/>
            <w:vAlign w:val="center"/>
          </w:tcPr>
          <w:p w14:paraId="031ABD62">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管理措施</w:t>
            </w:r>
          </w:p>
        </w:tc>
        <w:tc>
          <w:tcPr>
            <w:tcW w:w="1080" w:type="dxa"/>
            <w:noWrap w:val="0"/>
            <w:vAlign w:val="center"/>
          </w:tcPr>
          <w:p w14:paraId="39D17549">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员工</w:t>
            </w:r>
          </w:p>
          <w:p w14:paraId="62FE0042">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胜任度</w:t>
            </w:r>
          </w:p>
        </w:tc>
        <w:tc>
          <w:tcPr>
            <w:tcW w:w="1422" w:type="dxa"/>
            <w:noWrap w:val="0"/>
            <w:vAlign w:val="center"/>
          </w:tcPr>
          <w:p w14:paraId="4FDD08C4">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安全措施</w:t>
            </w:r>
          </w:p>
        </w:tc>
        <w:tc>
          <w:tcPr>
            <w:tcW w:w="592" w:type="dxa"/>
            <w:vMerge w:val="continue"/>
            <w:noWrap w:val="0"/>
            <w:vAlign w:val="center"/>
          </w:tcPr>
          <w:p w14:paraId="665C0E4B">
            <w:pPr>
              <w:widowControl/>
              <w:spacing w:line="300" w:lineRule="exact"/>
              <w:ind w:firstLine="0" w:firstLineChars="0"/>
              <w:jc w:val="left"/>
              <w:rPr>
                <w:rFonts w:ascii="Times New Roman" w:hAnsi="Times New Roman" w:eastAsia="宋体" w:cs="Times New Roman"/>
                <w:color w:val="auto"/>
                <w:sz w:val="21"/>
                <w:szCs w:val="21"/>
              </w:rPr>
            </w:pPr>
          </w:p>
        </w:tc>
        <w:tc>
          <w:tcPr>
            <w:tcW w:w="506" w:type="dxa"/>
            <w:vMerge w:val="continue"/>
            <w:noWrap w:val="0"/>
            <w:vAlign w:val="center"/>
          </w:tcPr>
          <w:p w14:paraId="3AEC104C">
            <w:pPr>
              <w:widowControl/>
              <w:spacing w:line="300" w:lineRule="exact"/>
              <w:ind w:firstLine="0" w:firstLineChars="0"/>
              <w:jc w:val="left"/>
              <w:rPr>
                <w:rFonts w:ascii="Times New Roman" w:hAnsi="Times New Roman" w:eastAsia="宋体" w:cs="Times New Roman"/>
                <w:color w:val="auto"/>
                <w:sz w:val="21"/>
                <w:szCs w:val="21"/>
              </w:rPr>
            </w:pPr>
          </w:p>
        </w:tc>
        <w:tc>
          <w:tcPr>
            <w:tcW w:w="540" w:type="dxa"/>
            <w:vMerge w:val="continue"/>
            <w:noWrap w:val="0"/>
            <w:vAlign w:val="center"/>
          </w:tcPr>
          <w:p w14:paraId="766D9354">
            <w:pPr>
              <w:widowControl/>
              <w:spacing w:line="300" w:lineRule="exact"/>
              <w:ind w:firstLine="0" w:firstLineChars="0"/>
              <w:jc w:val="left"/>
              <w:rPr>
                <w:rFonts w:ascii="Times New Roman" w:hAnsi="Times New Roman" w:eastAsia="宋体" w:cs="Times New Roman"/>
                <w:color w:val="auto"/>
                <w:sz w:val="21"/>
                <w:szCs w:val="21"/>
              </w:rPr>
            </w:pPr>
          </w:p>
        </w:tc>
        <w:tc>
          <w:tcPr>
            <w:tcW w:w="540" w:type="dxa"/>
            <w:vMerge w:val="continue"/>
            <w:noWrap w:val="0"/>
            <w:vAlign w:val="center"/>
          </w:tcPr>
          <w:p w14:paraId="6E9B5F9F">
            <w:pPr>
              <w:widowControl/>
              <w:spacing w:line="300" w:lineRule="exact"/>
              <w:ind w:firstLine="0" w:firstLineChars="0"/>
              <w:jc w:val="left"/>
              <w:rPr>
                <w:rFonts w:ascii="Times New Roman" w:hAnsi="Times New Roman" w:eastAsia="宋体" w:cs="Times New Roman"/>
                <w:color w:val="auto"/>
                <w:sz w:val="21"/>
                <w:szCs w:val="21"/>
              </w:rPr>
            </w:pPr>
          </w:p>
        </w:tc>
        <w:tc>
          <w:tcPr>
            <w:tcW w:w="720" w:type="dxa"/>
            <w:vMerge w:val="continue"/>
            <w:tcBorders>
              <w:bottom w:val="single" w:color="auto" w:sz="4" w:space="0"/>
            </w:tcBorders>
            <w:noWrap w:val="0"/>
            <w:vAlign w:val="center"/>
          </w:tcPr>
          <w:p w14:paraId="04591E3E">
            <w:pPr>
              <w:widowControl/>
              <w:spacing w:line="300" w:lineRule="exact"/>
              <w:ind w:firstLine="0" w:firstLineChars="0"/>
              <w:jc w:val="left"/>
              <w:rPr>
                <w:rFonts w:ascii="Times New Roman" w:hAnsi="Times New Roman" w:eastAsia="宋体" w:cs="Times New Roman"/>
                <w:color w:val="auto"/>
                <w:sz w:val="21"/>
                <w:szCs w:val="21"/>
              </w:rPr>
            </w:pPr>
          </w:p>
        </w:tc>
        <w:tc>
          <w:tcPr>
            <w:tcW w:w="1800" w:type="dxa"/>
            <w:vMerge w:val="continue"/>
            <w:noWrap w:val="0"/>
            <w:vAlign w:val="center"/>
          </w:tcPr>
          <w:p w14:paraId="256EAB53">
            <w:pPr>
              <w:widowControl/>
              <w:spacing w:line="300" w:lineRule="exact"/>
              <w:ind w:firstLine="0" w:firstLineChars="0"/>
              <w:jc w:val="left"/>
              <w:rPr>
                <w:rFonts w:ascii="Times New Roman" w:hAnsi="Times New Roman" w:eastAsia="宋体" w:cs="Times New Roman"/>
                <w:color w:val="auto"/>
                <w:sz w:val="21"/>
                <w:szCs w:val="21"/>
              </w:rPr>
            </w:pPr>
          </w:p>
        </w:tc>
      </w:tr>
      <w:tr w14:paraId="2B4FB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772" w:type="dxa"/>
            <w:shd w:val="clear" w:color="auto" w:fill="auto"/>
            <w:noWrap w:val="0"/>
            <w:vAlign w:val="center"/>
          </w:tcPr>
          <w:p w14:paraId="17D340FA">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1208" w:type="dxa"/>
            <w:vMerge w:val="restart"/>
            <w:shd w:val="clear" w:color="auto" w:fill="auto"/>
            <w:noWrap w:val="0"/>
            <w:vAlign w:val="center"/>
          </w:tcPr>
          <w:p w14:paraId="2D3E348B">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作业环境检查</w:t>
            </w:r>
          </w:p>
        </w:tc>
        <w:tc>
          <w:tcPr>
            <w:tcW w:w="1620" w:type="dxa"/>
            <w:shd w:val="clear" w:color="auto" w:fill="auto"/>
            <w:noWrap w:val="0"/>
            <w:vAlign w:val="center"/>
          </w:tcPr>
          <w:p w14:paraId="07CD7494">
            <w:pPr>
              <w:widowControl/>
              <w:spacing w:line="300" w:lineRule="exact"/>
              <w:ind w:firstLine="0" w:firstLineChars="0"/>
              <w:jc w:val="center"/>
              <w:rPr>
                <w:rFonts w:hint="eastAsia" w:ascii="Times New Roman" w:hAnsi="Times New Roman" w:eastAsia="宋体" w:cs="Times New Roman"/>
                <w:color w:val="auto"/>
                <w:sz w:val="21"/>
                <w:szCs w:val="21"/>
              </w:rPr>
            </w:pPr>
            <w:r>
              <w:rPr>
                <w:rFonts w:ascii="Times New Roman" w:hAnsi="Times New Roman" w:eastAsia="宋体" w:cs="Times New Roman"/>
                <w:color w:val="auto"/>
                <w:sz w:val="21"/>
                <w:szCs w:val="21"/>
              </w:rPr>
              <w:t>雷电、暴雨、</w:t>
            </w:r>
          </w:p>
          <w:p w14:paraId="241754AA">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台风、大雪</w:t>
            </w:r>
          </w:p>
        </w:tc>
        <w:tc>
          <w:tcPr>
            <w:tcW w:w="1260" w:type="dxa"/>
            <w:shd w:val="clear" w:color="auto" w:fill="auto"/>
            <w:noWrap w:val="0"/>
            <w:vAlign w:val="center"/>
          </w:tcPr>
          <w:p w14:paraId="59525B08">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人身伤害</w:t>
            </w:r>
          </w:p>
        </w:tc>
        <w:tc>
          <w:tcPr>
            <w:tcW w:w="1260" w:type="dxa"/>
            <w:shd w:val="clear" w:color="auto" w:fill="auto"/>
            <w:noWrap w:val="0"/>
            <w:vAlign w:val="center"/>
          </w:tcPr>
          <w:p w14:paraId="017C1BA7">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曾经发生</w:t>
            </w:r>
          </w:p>
        </w:tc>
        <w:tc>
          <w:tcPr>
            <w:tcW w:w="1080" w:type="dxa"/>
            <w:shd w:val="clear" w:color="auto" w:fill="auto"/>
            <w:noWrap w:val="0"/>
            <w:vAlign w:val="center"/>
          </w:tcPr>
          <w:p w14:paraId="50DB1A9C">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严格执行操作规程</w:t>
            </w:r>
          </w:p>
        </w:tc>
        <w:tc>
          <w:tcPr>
            <w:tcW w:w="1080" w:type="dxa"/>
            <w:shd w:val="clear" w:color="auto" w:fill="auto"/>
            <w:noWrap w:val="0"/>
            <w:vAlign w:val="center"/>
          </w:tcPr>
          <w:p w14:paraId="23C9B79A">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胜任</w:t>
            </w:r>
          </w:p>
        </w:tc>
        <w:tc>
          <w:tcPr>
            <w:tcW w:w="1422" w:type="dxa"/>
            <w:shd w:val="clear" w:color="auto" w:fill="auto"/>
            <w:noWrap w:val="0"/>
            <w:vAlign w:val="center"/>
          </w:tcPr>
          <w:p w14:paraId="5F805181">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设置防雷电保护设施</w:t>
            </w:r>
          </w:p>
        </w:tc>
        <w:tc>
          <w:tcPr>
            <w:tcW w:w="592" w:type="dxa"/>
            <w:shd w:val="clear" w:color="auto" w:fill="auto"/>
            <w:noWrap w:val="0"/>
            <w:vAlign w:val="center"/>
          </w:tcPr>
          <w:p w14:paraId="0A535A4E">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5</w:t>
            </w:r>
          </w:p>
        </w:tc>
        <w:tc>
          <w:tcPr>
            <w:tcW w:w="506" w:type="dxa"/>
            <w:shd w:val="clear" w:color="auto" w:fill="auto"/>
            <w:noWrap w:val="0"/>
            <w:vAlign w:val="center"/>
          </w:tcPr>
          <w:p w14:paraId="469F6D92">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540" w:type="dxa"/>
            <w:shd w:val="clear" w:color="auto" w:fill="auto"/>
            <w:noWrap w:val="0"/>
            <w:vAlign w:val="center"/>
          </w:tcPr>
          <w:p w14:paraId="63A4B757">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7</w:t>
            </w:r>
          </w:p>
        </w:tc>
        <w:tc>
          <w:tcPr>
            <w:tcW w:w="540" w:type="dxa"/>
            <w:shd w:val="clear" w:color="auto" w:fill="auto"/>
            <w:noWrap w:val="0"/>
            <w:vAlign w:val="center"/>
          </w:tcPr>
          <w:p w14:paraId="33343AA3">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35</w:t>
            </w:r>
          </w:p>
        </w:tc>
        <w:tc>
          <w:tcPr>
            <w:tcW w:w="720" w:type="dxa"/>
            <w:shd w:val="clear" w:color="auto" w:fill="0000FF"/>
            <w:noWrap w:val="0"/>
            <w:vAlign w:val="center"/>
          </w:tcPr>
          <w:p w14:paraId="6F0371B5">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B</w:t>
            </w:r>
          </w:p>
        </w:tc>
        <w:tc>
          <w:tcPr>
            <w:tcW w:w="1800" w:type="dxa"/>
            <w:noWrap w:val="0"/>
            <w:vAlign w:val="center"/>
          </w:tcPr>
          <w:p w14:paraId="105000EA">
            <w:pPr>
              <w:spacing w:line="300" w:lineRule="exact"/>
              <w:ind w:firstLine="0" w:firstLineChars="0"/>
              <w:jc w:val="center"/>
              <w:rPr>
                <w:rFonts w:ascii="Times New Roman" w:hAnsi="Times New Roman" w:eastAsia="宋体" w:cs="Times New Roman"/>
                <w:color w:val="auto"/>
                <w:sz w:val="21"/>
                <w:szCs w:val="21"/>
              </w:rPr>
            </w:pPr>
          </w:p>
        </w:tc>
      </w:tr>
      <w:tr w14:paraId="5F6B3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772" w:type="dxa"/>
            <w:shd w:val="clear" w:color="auto" w:fill="auto"/>
            <w:noWrap w:val="0"/>
            <w:vAlign w:val="center"/>
          </w:tcPr>
          <w:p w14:paraId="1CA0C430">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w:t>
            </w:r>
          </w:p>
        </w:tc>
        <w:tc>
          <w:tcPr>
            <w:tcW w:w="1208" w:type="dxa"/>
            <w:vMerge w:val="continue"/>
            <w:shd w:val="clear" w:color="auto" w:fill="auto"/>
            <w:noWrap w:val="0"/>
            <w:vAlign w:val="center"/>
          </w:tcPr>
          <w:p w14:paraId="23461291">
            <w:pPr>
              <w:widowControl/>
              <w:spacing w:line="300" w:lineRule="exact"/>
              <w:ind w:firstLine="0" w:firstLineChars="0"/>
              <w:jc w:val="center"/>
              <w:rPr>
                <w:rFonts w:ascii="Times New Roman" w:hAnsi="Times New Roman" w:eastAsia="宋体" w:cs="Times New Roman"/>
                <w:color w:val="auto"/>
                <w:sz w:val="21"/>
                <w:szCs w:val="21"/>
              </w:rPr>
            </w:pPr>
          </w:p>
        </w:tc>
        <w:tc>
          <w:tcPr>
            <w:tcW w:w="1620" w:type="dxa"/>
            <w:shd w:val="clear" w:color="auto" w:fill="auto"/>
            <w:noWrap w:val="0"/>
            <w:vAlign w:val="center"/>
          </w:tcPr>
          <w:p w14:paraId="6C72C46F">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粉尘</w:t>
            </w:r>
          </w:p>
        </w:tc>
        <w:tc>
          <w:tcPr>
            <w:tcW w:w="1260" w:type="dxa"/>
            <w:shd w:val="clear" w:color="auto" w:fill="auto"/>
            <w:noWrap w:val="0"/>
            <w:vAlign w:val="center"/>
          </w:tcPr>
          <w:p w14:paraId="67B27923">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粉尘危害</w:t>
            </w:r>
          </w:p>
        </w:tc>
        <w:tc>
          <w:tcPr>
            <w:tcW w:w="1260" w:type="dxa"/>
            <w:shd w:val="clear" w:color="auto" w:fill="auto"/>
            <w:noWrap w:val="0"/>
            <w:vAlign w:val="center"/>
          </w:tcPr>
          <w:p w14:paraId="5819C4DC">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经常发生</w:t>
            </w:r>
          </w:p>
        </w:tc>
        <w:tc>
          <w:tcPr>
            <w:tcW w:w="1080" w:type="dxa"/>
            <w:shd w:val="clear" w:color="auto" w:fill="auto"/>
            <w:noWrap w:val="0"/>
            <w:vAlign w:val="center"/>
          </w:tcPr>
          <w:p w14:paraId="32B069C4">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严格执行操作规程</w:t>
            </w:r>
          </w:p>
        </w:tc>
        <w:tc>
          <w:tcPr>
            <w:tcW w:w="1080" w:type="dxa"/>
            <w:shd w:val="clear" w:color="auto" w:fill="auto"/>
            <w:noWrap w:val="0"/>
            <w:vAlign w:val="center"/>
          </w:tcPr>
          <w:p w14:paraId="2CD4B7F7">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胜任</w:t>
            </w:r>
          </w:p>
        </w:tc>
        <w:tc>
          <w:tcPr>
            <w:tcW w:w="1422" w:type="dxa"/>
            <w:shd w:val="clear" w:color="auto" w:fill="auto"/>
            <w:noWrap w:val="0"/>
            <w:vAlign w:val="center"/>
          </w:tcPr>
          <w:p w14:paraId="41CA596D">
            <w:pPr>
              <w:spacing w:line="300" w:lineRule="exact"/>
              <w:ind w:firstLine="0" w:firstLineChars="0"/>
              <w:jc w:val="center"/>
              <w:rPr>
                <w:rFonts w:hint="eastAsia" w:ascii="Times New Roman" w:hAnsi="Times New Roman" w:eastAsia="宋体" w:cs="Times New Roman"/>
                <w:color w:val="auto"/>
                <w:sz w:val="21"/>
                <w:szCs w:val="21"/>
              </w:rPr>
            </w:pPr>
            <w:r>
              <w:rPr>
                <w:rFonts w:ascii="Times New Roman" w:hAnsi="Times New Roman" w:eastAsia="宋体" w:cs="Times New Roman"/>
                <w:color w:val="auto"/>
                <w:sz w:val="21"/>
                <w:szCs w:val="21"/>
              </w:rPr>
              <w:t>穿戴好</w:t>
            </w:r>
          </w:p>
          <w:p w14:paraId="6D31811A">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劳保用品</w:t>
            </w:r>
          </w:p>
        </w:tc>
        <w:tc>
          <w:tcPr>
            <w:tcW w:w="592" w:type="dxa"/>
            <w:shd w:val="clear" w:color="auto" w:fill="auto"/>
            <w:noWrap w:val="0"/>
            <w:vAlign w:val="center"/>
          </w:tcPr>
          <w:p w14:paraId="1A90C3D4">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10</w:t>
            </w:r>
          </w:p>
        </w:tc>
        <w:tc>
          <w:tcPr>
            <w:tcW w:w="506" w:type="dxa"/>
            <w:shd w:val="clear" w:color="auto" w:fill="auto"/>
            <w:noWrap w:val="0"/>
            <w:vAlign w:val="center"/>
          </w:tcPr>
          <w:p w14:paraId="628A5843">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540" w:type="dxa"/>
            <w:shd w:val="clear" w:color="auto" w:fill="auto"/>
            <w:noWrap w:val="0"/>
            <w:vAlign w:val="center"/>
          </w:tcPr>
          <w:p w14:paraId="764F206E">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540" w:type="dxa"/>
            <w:shd w:val="clear" w:color="auto" w:fill="auto"/>
            <w:noWrap w:val="0"/>
            <w:vAlign w:val="center"/>
          </w:tcPr>
          <w:p w14:paraId="25AD7A56">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30</w:t>
            </w:r>
          </w:p>
        </w:tc>
        <w:tc>
          <w:tcPr>
            <w:tcW w:w="720" w:type="dxa"/>
            <w:shd w:val="clear" w:color="auto" w:fill="0000FF"/>
            <w:noWrap w:val="0"/>
            <w:vAlign w:val="center"/>
          </w:tcPr>
          <w:p w14:paraId="4F0332B7">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B</w:t>
            </w:r>
          </w:p>
        </w:tc>
        <w:tc>
          <w:tcPr>
            <w:tcW w:w="1800" w:type="dxa"/>
            <w:noWrap w:val="0"/>
            <w:vAlign w:val="center"/>
          </w:tcPr>
          <w:p w14:paraId="59FE28D2">
            <w:pPr>
              <w:spacing w:line="300" w:lineRule="exact"/>
              <w:ind w:firstLine="0" w:firstLineChars="0"/>
              <w:jc w:val="center"/>
              <w:rPr>
                <w:rFonts w:hint="eastAsia" w:ascii="Times New Roman" w:hAnsi="Times New Roman" w:eastAsia="宋体" w:cs="Times New Roman"/>
                <w:color w:val="auto"/>
                <w:sz w:val="21"/>
                <w:szCs w:val="21"/>
              </w:rPr>
            </w:pPr>
            <w:r>
              <w:rPr>
                <w:rFonts w:ascii="Times New Roman" w:hAnsi="Times New Roman" w:eastAsia="宋体" w:cs="Times New Roman"/>
                <w:color w:val="auto"/>
                <w:sz w:val="21"/>
                <w:szCs w:val="21"/>
              </w:rPr>
              <w:t>洒水降尘、</w:t>
            </w:r>
          </w:p>
          <w:p w14:paraId="36ECD33D">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个体防护</w:t>
            </w:r>
          </w:p>
        </w:tc>
      </w:tr>
      <w:tr w14:paraId="72C77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772" w:type="dxa"/>
            <w:shd w:val="clear" w:color="auto" w:fill="auto"/>
            <w:noWrap w:val="0"/>
            <w:vAlign w:val="center"/>
          </w:tcPr>
          <w:p w14:paraId="25C3767C">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1208" w:type="dxa"/>
            <w:vMerge w:val="continue"/>
            <w:shd w:val="clear" w:color="auto" w:fill="auto"/>
            <w:noWrap w:val="0"/>
            <w:vAlign w:val="center"/>
          </w:tcPr>
          <w:p w14:paraId="11CE5D62">
            <w:pPr>
              <w:widowControl/>
              <w:spacing w:line="300" w:lineRule="exact"/>
              <w:ind w:firstLine="0" w:firstLineChars="0"/>
              <w:jc w:val="center"/>
              <w:rPr>
                <w:rFonts w:ascii="Times New Roman" w:hAnsi="Times New Roman" w:eastAsia="宋体" w:cs="Times New Roman"/>
                <w:color w:val="auto"/>
                <w:sz w:val="21"/>
                <w:szCs w:val="21"/>
              </w:rPr>
            </w:pPr>
          </w:p>
        </w:tc>
        <w:tc>
          <w:tcPr>
            <w:tcW w:w="1620" w:type="dxa"/>
            <w:shd w:val="clear" w:color="auto" w:fill="auto"/>
            <w:noWrap w:val="0"/>
            <w:vAlign w:val="center"/>
          </w:tcPr>
          <w:p w14:paraId="376D854F">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高温</w:t>
            </w:r>
          </w:p>
        </w:tc>
        <w:tc>
          <w:tcPr>
            <w:tcW w:w="1260" w:type="dxa"/>
            <w:shd w:val="clear" w:color="auto" w:fill="auto"/>
            <w:noWrap w:val="0"/>
            <w:vAlign w:val="center"/>
          </w:tcPr>
          <w:p w14:paraId="411E5313">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中暑</w:t>
            </w:r>
          </w:p>
        </w:tc>
        <w:tc>
          <w:tcPr>
            <w:tcW w:w="1260" w:type="dxa"/>
            <w:shd w:val="clear" w:color="auto" w:fill="auto"/>
            <w:noWrap w:val="0"/>
            <w:vAlign w:val="center"/>
          </w:tcPr>
          <w:p w14:paraId="5E76F734">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曾经发生</w:t>
            </w:r>
          </w:p>
        </w:tc>
        <w:tc>
          <w:tcPr>
            <w:tcW w:w="1080" w:type="dxa"/>
            <w:shd w:val="clear" w:color="auto" w:fill="auto"/>
            <w:noWrap w:val="0"/>
            <w:vAlign w:val="center"/>
          </w:tcPr>
          <w:p w14:paraId="778DA148">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按时发放劳保用品</w:t>
            </w:r>
          </w:p>
        </w:tc>
        <w:tc>
          <w:tcPr>
            <w:tcW w:w="1080" w:type="dxa"/>
            <w:shd w:val="clear" w:color="auto" w:fill="auto"/>
            <w:noWrap w:val="0"/>
            <w:vAlign w:val="center"/>
          </w:tcPr>
          <w:p w14:paraId="1A92EB9C">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胜任</w:t>
            </w:r>
          </w:p>
        </w:tc>
        <w:tc>
          <w:tcPr>
            <w:tcW w:w="1422" w:type="dxa"/>
            <w:shd w:val="clear" w:color="auto" w:fill="auto"/>
            <w:noWrap w:val="0"/>
            <w:vAlign w:val="center"/>
          </w:tcPr>
          <w:p w14:paraId="6DF33B47">
            <w:pPr>
              <w:spacing w:line="300" w:lineRule="exact"/>
              <w:ind w:firstLine="0" w:firstLineChars="0"/>
              <w:jc w:val="center"/>
              <w:rPr>
                <w:rFonts w:hint="eastAsia" w:ascii="Times New Roman" w:hAnsi="Times New Roman" w:eastAsia="宋体" w:cs="Times New Roman"/>
                <w:color w:val="auto"/>
                <w:sz w:val="21"/>
                <w:szCs w:val="21"/>
              </w:rPr>
            </w:pPr>
            <w:r>
              <w:rPr>
                <w:rFonts w:ascii="Times New Roman" w:hAnsi="Times New Roman" w:eastAsia="宋体" w:cs="Times New Roman"/>
                <w:color w:val="auto"/>
                <w:sz w:val="21"/>
                <w:szCs w:val="21"/>
              </w:rPr>
              <w:t>避开高温</w:t>
            </w:r>
          </w:p>
          <w:p w14:paraId="31123DEF">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时段作业</w:t>
            </w:r>
          </w:p>
        </w:tc>
        <w:tc>
          <w:tcPr>
            <w:tcW w:w="592" w:type="dxa"/>
            <w:shd w:val="clear" w:color="auto" w:fill="auto"/>
            <w:noWrap w:val="0"/>
            <w:vAlign w:val="center"/>
          </w:tcPr>
          <w:p w14:paraId="2C807EDA">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506" w:type="dxa"/>
            <w:shd w:val="clear" w:color="auto" w:fill="auto"/>
            <w:noWrap w:val="0"/>
            <w:vAlign w:val="center"/>
          </w:tcPr>
          <w:p w14:paraId="03D2FAE1">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6</w:t>
            </w:r>
          </w:p>
        </w:tc>
        <w:tc>
          <w:tcPr>
            <w:tcW w:w="540" w:type="dxa"/>
            <w:shd w:val="clear" w:color="auto" w:fill="auto"/>
            <w:noWrap w:val="0"/>
            <w:vAlign w:val="center"/>
          </w:tcPr>
          <w:p w14:paraId="0ABAC8D8">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540" w:type="dxa"/>
            <w:shd w:val="clear" w:color="auto" w:fill="auto"/>
            <w:noWrap w:val="0"/>
            <w:vAlign w:val="center"/>
          </w:tcPr>
          <w:p w14:paraId="6B5179DF">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18</w:t>
            </w:r>
          </w:p>
        </w:tc>
        <w:tc>
          <w:tcPr>
            <w:tcW w:w="720" w:type="dxa"/>
            <w:shd w:val="clear" w:color="auto" w:fill="0000FF"/>
            <w:noWrap w:val="0"/>
            <w:vAlign w:val="center"/>
          </w:tcPr>
          <w:p w14:paraId="1ED79161">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A</w:t>
            </w:r>
          </w:p>
        </w:tc>
        <w:tc>
          <w:tcPr>
            <w:tcW w:w="1800" w:type="dxa"/>
            <w:noWrap w:val="0"/>
            <w:vAlign w:val="center"/>
          </w:tcPr>
          <w:p w14:paraId="267F6AB9">
            <w:pPr>
              <w:spacing w:line="300" w:lineRule="exact"/>
              <w:ind w:firstLine="0" w:firstLineChars="0"/>
              <w:jc w:val="center"/>
              <w:rPr>
                <w:rFonts w:hint="eastAsia" w:ascii="Times New Roman" w:hAnsi="Times New Roman" w:eastAsia="宋体" w:cs="Times New Roman"/>
                <w:color w:val="auto"/>
                <w:sz w:val="21"/>
                <w:szCs w:val="21"/>
              </w:rPr>
            </w:pPr>
            <w:r>
              <w:rPr>
                <w:rFonts w:ascii="Times New Roman" w:hAnsi="Times New Roman" w:eastAsia="宋体" w:cs="Times New Roman"/>
                <w:color w:val="auto"/>
                <w:sz w:val="21"/>
                <w:szCs w:val="21"/>
              </w:rPr>
              <w:t>随身携带</w:t>
            </w:r>
          </w:p>
          <w:p w14:paraId="31315299">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防暑降温药品</w:t>
            </w:r>
          </w:p>
        </w:tc>
      </w:tr>
      <w:tr w14:paraId="21D2C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772" w:type="dxa"/>
            <w:shd w:val="clear" w:color="auto" w:fill="auto"/>
            <w:noWrap w:val="0"/>
            <w:vAlign w:val="center"/>
          </w:tcPr>
          <w:p w14:paraId="79840422">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4</w:t>
            </w:r>
          </w:p>
        </w:tc>
        <w:tc>
          <w:tcPr>
            <w:tcW w:w="1208" w:type="dxa"/>
            <w:vMerge w:val="continue"/>
            <w:shd w:val="clear" w:color="auto" w:fill="auto"/>
            <w:noWrap w:val="0"/>
            <w:vAlign w:val="center"/>
          </w:tcPr>
          <w:p w14:paraId="2C39704D">
            <w:pPr>
              <w:widowControl/>
              <w:spacing w:line="300" w:lineRule="exact"/>
              <w:ind w:firstLine="0" w:firstLineChars="0"/>
              <w:jc w:val="center"/>
              <w:rPr>
                <w:rFonts w:ascii="Times New Roman" w:hAnsi="Times New Roman" w:eastAsia="宋体" w:cs="Times New Roman"/>
                <w:color w:val="auto"/>
                <w:sz w:val="21"/>
                <w:szCs w:val="21"/>
              </w:rPr>
            </w:pPr>
          </w:p>
        </w:tc>
        <w:tc>
          <w:tcPr>
            <w:tcW w:w="1620" w:type="dxa"/>
            <w:shd w:val="clear" w:color="auto" w:fill="auto"/>
            <w:noWrap w:val="0"/>
            <w:vAlign w:val="center"/>
          </w:tcPr>
          <w:p w14:paraId="5C0BB046">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低温</w:t>
            </w:r>
          </w:p>
        </w:tc>
        <w:tc>
          <w:tcPr>
            <w:tcW w:w="1260" w:type="dxa"/>
            <w:shd w:val="clear" w:color="auto" w:fill="auto"/>
            <w:noWrap w:val="0"/>
            <w:vAlign w:val="center"/>
          </w:tcPr>
          <w:p w14:paraId="258860BF">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冻伤</w:t>
            </w:r>
          </w:p>
        </w:tc>
        <w:tc>
          <w:tcPr>
            <w:tcW w:w="1260" w:type="dxa"/>
            <w:shd w:val="clear" w:color="auto" w:fill="auto"/>
            <w:noWrap w:val="0"/>
            <w:vAlign w:val="center"/>
          </w:tcPr>
          <w:p w14:paraId="24E9F918">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曾经发生</w:t>
            </w:r>
          </w:p>
        </w:tc>
        <w:tc>
          <w:tcPr>
            <w:tcW w:w="1080" w:type="dxa"/>
            <w:shd w:val="clear" w:color="auto" w:fill="auto"/>
            <w:noWrap w:val="0"/>
            <w:vAlign w:val="center"/>
          </w:tcPr>
          <w:p w14:paraId="4CE37117">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按时发放劳保用品</w:t>
            </w:r>
          </w:p>
        </w:tc>
        <w:tc>
          <w:tcPr>
            <w:tcW w:w="1080" w:type="dxa"/>
            <w:shd w:val="clear" w:color="auto" w:fill="auto"/>
            <w:noWrap w:val="0"/>
            <w:vAlign w:val="center"/>
          </w:tcPr>
          <w:p w14:paraId="7ED27C5A">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胜任</w:t>
            </w:r>
          </w:p>
        </w:tc>
        <w:tc>
          <w:tcPr>
            <w:tcW w:w="1422" w:type="dxa"/>
            <w:shd w:val="clear" w:color="auto" w:fill="auto"/>
            <w:noWrap w:val="0"/>
            <w:vAlign w:val="center"/>
          </w:tcPr>
          <w:p w14:paraId="5B4A38E4">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个体防护</w:t>
            </w:r>
          </w:p>
        </w:tc>
        <w:tc>
          <w:tcPr>
            <w:tcW w:w="592" w:type="dxa"/>
            <w:shd w:val="clear" w:color="auto" w:fill="auto"/>
            <w:noWrap w:val="0"/>
            <w:vAlign w:val="center"/>
          </w:tcPr>
          <w:p w14:paraId="42476472">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506" w:type="dxa"/>
            <w:shd w:val="clear" w:color="auto" w:fill="auto"/>
            <w:noWrap w:val="0"/>
            <w:vAlign w:val="center"/>
          </w:tcPr>
          <w:p w14:paraId="56419652">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6</w:t>
            </w:r>
          </w:p>
        </w:tc>
        <w:tc>
          <w:tcPr>
            <w:tcW w:w="540" w:type="dxa"/>
            <w:shd w:val="clear" w:color="auto" w:fill="auto"/>
            <w:noWrap w:val="0"/>
            <w:vAlign w:val="center"/>
          </w:tcPr>
          <w:p w14:paraId="56F86C02">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540" w:type="dxa"/>
            <w:shd w:val="clear" w:color="auto" w:fill="auto"/>
            <w:noWrap w:val="0"/>
            <w:vAlign w:val="center"/>
          </w:tcPr>
          <w:p w14:paraId="2F278A8A">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18</w:t>
            </w:r>
          </w:p>
        </w:tc>
        <w:tc>
          <w:tcPr>
            <w:tcW w:w="720" w:type="dxa"/>
            <w:shd w:val="clear" w:color="auto" w:fill="0000FF"/>
            <w:noWrap w:val="0"/>
            <w:vAlign w:val="center"/>
          </w:tcPr>
          <w:p w14:paraId="1F9FDA8D">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A</w:t>
            </w:r>
          </w:p>
        </w:tc>
        <w:tc>
          <w:tcPr>
            <w:tcW w:w="1800" w:type="dxa"/>
            <w:noWrap w:val="0"/>
            <w:vAlign w:val="center"/>
          </w:tcPr>
          <w:p w14:paraId="430CCB4E">
            <w:pPr>
              <w:spacing w:line="300" w:lineRule="exact"/>
              <w:ind w:firstLine="0" w:firstLineChars="0"/>
              <w:jc w:val="center"/>
              <w:rPr>
                <w:rFonts w:ascii="Times New Roman" w:hAnsi="Times New Roman" w:eastAsia="宋体" w:cs="Times New Roman"/>
                <w:color w:val="auto"/>
                <w:sz w:val="21"/>
                <w:szCs w:val="21"/>
              </w:rPr>
            </w:pPr>
          </w:p>
        </w:tc>
      </w:tr>
      <w:tr w14:paraId="6C1E0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772" w:type="dxa"/>
            <w:shd w:val="clear" w:color="auto" w:fill="auto"/>
            <w:noWrap w:val="0"/>
            <w:vAlign w:val="center"/>
          </w:tcPr>
          <w:p w14:paraId="4ABA44ED">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5</w:t>
            </w:r>
          </w:p>
        </w:tc>
        <w:tc>
          <w:tcPr>
            <w:tcW w:w="1208" w:type="dxa"/>
            <w:vMerge w:val="continue"/>
            <w:shd w:val="clear" w:color="auto" w:fill="auto"/>
            <w:noWrap w:val="0"/>
            <w:vAlign w:val="center"/>
          </w:tcPr>
          <w:p w14:paraId="6C4189CF">
            <w:pPr>
              <w:widowControl/>
              <w:spacing w:line="300" w:lineRule="exact"/>
              <w:ind w:firstLine="0" w:firstLineChars="0"/>
              <w:jc w:val="center"/>
              <w:rPr>
                <w:rFonts w:ascii="Times New Roman" w:hAnsi="Times New Roman" w:eastAsia="宋体" w:cs="Times New Roman"/>
                <w:color w:val="auto"/>
                <w:sz w:val="21"/>
                <w:szCs w:val="21"/>
              </w:rPr>
            </w:pPr>
          </w:p>
        </w:tc>
        <w:tc>
          <w:tcPr>
            <w:tcW w:w="1620" w:type="dxa"/>
            <w:shd w:val="clear" w:color="auto" w:fill="auto"/>
            <w:noWrap w:val="0"/>
            <w:vAlign w:val="center"/>
          </w:tcPr>
          <w:p w14:paraId="1EA8FF46">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地震</w:t>
            </w:r>
          </w:p>
        </w:tc>
        <w:tc>
          <w:tcPr>
            <w:tcW w:w="1260" w:type="dxa"/>
            <w:shd w:val="clear" w:color="auto" w:fill="auto"/>
            <w:noWrap w:val="0"/>
            <w:vAlign w:val="center"/>
          </w:tcPr>
          <w:p w14:paraId="2F3FBACF">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坍塌</w:t>
            </w:r>
          </w:p>
        </w:tc>
        <w:tc>
          <w:tcPr>
            <w:tcW w:w="1260" w:type="dxa"/>
            <w:shd w:val="clear" w:color="auto" w:fill="auto"/>
            <w:noWrap w:val="0"/>
            <w:vAlign w:val="center"/>
          </w:tcPr>
          <w:p w14:paraId="5C7CEE68">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从未发生</w:t>
            </w:r>
          </w:p>
        </w:tc>
        <w:tc>
          <w:tcPr>
            <w:tcW w:w="1080" w:type="dxa"/>
            <w:shd w:val="clear" w:color="auto" w:fill="auto"/>
            <w:noWrap w:val="0"/>
            <w:vAlign w:val="center"/>
          </w:tcPr>
          <w:p w14:paraId="26D5C67C">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加强监测</w:t>
            </w:r>
          </w:p>
        </w:tc>
        <w:tc>
          <w:tcPr>
            <w:tcW w:w="1080" w:type="dxa"/>
            <w:shd w:val="clear" w:color="auto" w:fill="auto"/>
            <w:noWrap w:val="0"/>
            <w:vAlign w:val="center"/>
          </w:tcPr>
          <w:p w14:paraId="1F9D8DA5">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胜任</w:t>
            </w:r>
          </w:p>
        </w:tc>
        <w:tc>
          <w:tcPr>
            <w:tcW w:w="1422" w:type="dxa"/>
            <w:shd w:val="clear" w:color="auto" w:fill="auto"/>
            <w:noWrap w:val="0"/>
            <w:vAlign w:val="center"/>
          </w:tcPr>
          <w:p w14:paraId="09083F37">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禁止作业</w:t>
            </w:r>
          </w:p>
        </w:tc>
        <w:tc>
          <w:tcPr>
            <w:tcW w:w="592" w:type="dxa"/>
            <w:shd w:val="clear" w:color="auto" w:fill="auto"/>
            <w:noWrap w:val="0"/>
            <w:vAlign w:val="center"/>
          </w:tcPr>
          <w:p w14:paraId="1D76B6BB">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506" w:type="dxa"/>
            <w:shd w:val="clear" w:color="auto" w:fill="auto"/>
            <w:noWrap w:val="0"/>
            <w:vAlign w:val="center"/>
          </w:tcPr>
          <w:p w14:paraId="2A29FBFF">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0.5</w:t>
            </w:r>
          </w:p>
        </w:tc>
        <w:tc>
          <w:tcPr>
            <w:tcW w:w="540" w:type="dxa"/>
            <w:shd w:val="clear" w:color="auto" w:fill="auto"/>
            <w:noWrap w:val="0"/>
            <w:vAlign w:val="center"/>
          </w:tcPr>
          <w:p w14:paraId="042CA5C7">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100</w:t>
            </w:r>
          </w:p>
        </w:tc>
        <w:tc>
          <w:tcPr>
            <w:tcW w:w="540" w:type="dxa"/>
            <w:shd w:val="clear" w:color="auto" w:fill="auto"/>
            <w:noWrap w:val="0"/>
            <w:vAlign w:val="center"/>
          </w:tcPr>
          <w:p w14:paraId="3EF086D8">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50</w:t>
            </w:r>
          </w:p>
        </w:tc>
        <w:tc>
          <w:tcPr>
            <w:tcW w:w="720" w:type="dxa"/>
            <w:shd w:val="clear" w:color="auto" w:fill="0000FF"/>
            <w:noWrap w:val="0"/>
            <w:vAlign w:val="center"/>
          </w:tcPr>
          <w:p w14:paraId="625FA2EC">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B</w:t>
            </w:r>
          </w:p>
        </w:tc>
        <w:tc>
          <w:tcPr>
            <w:tcW w:w="1800" w:type="dxa"/>
            <w:noWrap w:val="0"/>
            <w:vAlign w:val="center"/>
          </w:tcPr>
          <w:p w14:paraId="2B79F202">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 xml:space="preserve"> </w:t>
            </w:r>
          </w:p>
        </w:tc>
      </w:tr>
      <w:tr w14:paraId="0A6FF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772" w:type="dxa"/>
            <w:shd w:val="clear" w:color="auto" w:fill="auto"/>
            <w:noWrap w:val="0"/>
            <w:vAlign w:val="center"/>
          </w:tcPr>
          <w:p w14:paraId="145D23C0">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6</w:t>
            </w:r>
          </w:p>
        </w:tc>
        <w:tc>
          <w:tcPr>
            <w:tcW w:w="1208" w:type="dxa"/>
            <w:vMerge w:val="continue"/>
            <w:shd w:val="clear" w:color="auto" w:fill="auto"/>
            <w:noWrap w:val="0"/>
            <w:vAlign w:val="center"/>
          </w:tcPr>
          <w:p w14:paraId="3D8BE386">
            <w:pPr>
              <w:widowControl/>
              <w:spacing w:line="300" w:lineRule="exact"/>
              <w:ind w:firstLine="0" w:firstLineChars="0"/>
              <w:jc w:val="center"/>
              <w:rPr>
                <w:rFonts w:ascii="Times New Roman" w:hAnsi="Times New Roman" w:eastAsia="宋体" w:cs="Times New Roman"/>
                <w:color w:val="auto"/>
                <w:sz w:val="21"/>
                <w:szCs w:val="21"/>
              </w:rPr>
            </w:pPr>
          </w:p>
        </w:tc>
        <w:tc>
          <w:tcPr>
            <w:tcW w:w="1620" w:type="dxa"/>
            <w:shd w:val="clear" w:color="auto" w:fill="auto"/>
            <w:noWrap w:val="0"/>
            <w:vAlign w:val="center"/>
          </w:tcPr>
          <w:p w14:paraId="167EDC71">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滑坡、塌方</w:t>
            </w:r>
          </w:p>
        </w:tc>
        <w:tc>
          <w:tcPr>
            <w:tcW w:w="1260" w:type="dxa"/>
            <w:shd w:val="clear" w:color="auto" w:fill="auto"/>
            <w:noWrap w:val="0"/>
            <w:vAlign w:val="center"/>
          </w:tcPr>
          <w:p w14:paraId="13E00E8B">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人身伤害</w:t>
            </w:r>
          </w:p>
        </w:tc>
        <w:tc>
          <w:tcPr>
            <w:tcW w:w="1260" w:type="dxa"/>
            <w:shd w:val="clear" w:color="auto" w:fill="auto"/>
            <w:noWrap w:val="0"/>
            <w:vAlign w:val="center"/>
          </w:tcPr>
          <w:p w14:paraId="76EAEF00">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曾经发生</w:t>
            </w:r>
          </w:p>
        </w:tc>
        <w:tc>
          <w:tcPr>
            <w:tcW w:w="1080" w:type="dxa"/>
            <w:shd w:val="clear" w:color="auto" w:fill="auto"/>
            <w:noWrap w:val="0"/>
            <w:vAlign w:val="center"/>
          </w:tcPr>
          <w:p w14:paraId="6443A1CB">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严格执行操作规程</w:t>
            </w:r>
          </w:p>
        </w:tc>
        <w:tc>
          <w:tcPr>
            <w:tcW w:w="1080" w:type="dxa"/>
            <w:shd w:val="clear" w:color="auto" w:fill="auto"/>
            <w:noWrap w:val="0"/>
            <w:vAlign w:val="center"/>
          </w:tcPr>
          <w:p w14:paraId="084EEEFF">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胜任</w:t>
            </w:r>
          </w:p>
        </w:tc>
        <w:tc>
          <w:tcPr>
            <w:tcW w:w="1422" w:type="dxa"/>
            <w:shd w:val="clear" w:color="auto" w:fill="auto"/>
            <w:noWrap w:val="0"/>
            <w:vAlign w:val="center"/>
          </w:tcPr>
          <w:p w14:paraId="60FBCD18">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加强监测</w:t>
            </w:r>
          </w:p>
        </w:tc>
        <w:tc>
          <w:tcPr>
            <w:tcW w:w="592" w:type="dxa"/>
            <w:shd w:val="clear" w:color="auto" w:fill="auto"/>
            <w:noWrap w:val="0"/>
            <w:vAlign w:val="center"/>
          </w:tcPr>
          <w:p w14:paraId="5A208D51">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506" w:type="dxa"/>
            <w:shd w:val="clear" w:color="auto" w:fill="auto"/>
            <w:noWrap w:val="0"/>
            <w:vAlign w:val="center"/>
          </w:tcPr>
          <w:p w14:paraId="41D4A533">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540" w:type="dxa"/>
            <w:shd w:val="clear" w:color="auto" w:fill="auto"/>
            <w:noWrap w:val="0"/>
            <w:vAlign w:val="center"/>
          </w:tcPr>
          <w:p w14:paraId="4B1BA65D">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15</w:t>
            </w:r>
          </w:p>
        </w:tc>
        <w:tc>
          <w:tcPr>
            <w:tcW w:w="540" w:type="dxa"/>
            <w:shd w:val="clear" w:color="auto" w:fill="auto"/>
            <w:noWrap w:val="0"/>
            <w:vAlign w:val="center"/>
          </w:tcPr>
          <w:p w14:paraId="22D283DF">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45</w:t>
            </w:r>
          </w:p>
        </w:tc>
        <w:tc>
          <w:tcPr>
            <w:tcW w:w="720" w:type="dxa"/>
            <w:shd w:val="clear" w:color="auto" w:fill="0000FF"/>
            <w:noWrap w:val="0"/>
            <w:vAlign w:val="center"/>
          </w:tcPr>
          <w:p w14:paraId="533764B3">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B</w:t>
            </w:r>
          </w:p>
        </w:tc>
        <w:tc>
          <w:tcPr>
            <w:tcW w:w="1800" w:type="dxa"/>
            <w:noWrap w:val="0"/>
            <w:vAlign w:val="center"/>
          </w:tcPr>
          <w:p w14:paraId="33E0D798">
            <w:pPr>
              <w:spacing w:line="300" w:lineRule="exact"/>
              <w:ind w:firstLine="0" w:firstLineChars="0"/>
              <w:jc w:val="center"/>
              <w:rPr>
                <w:rFonts w:ascii="Times New Roman" w:hAnsi="Times New Roman" w:eastAsia="宋体" w:cs="Times New Roman"/>
                <w:color w:val="auto"/>
                <w:sz w:val="21"/>
                <w:szCs w:val="21"/>
              </w:rPr>
            </w:pPr>
          </w:p>
        </w:tc>
      </w:tr>
      <w:tr w14:paraId="4C390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772" w:type="dxa"/>
            <w:shd w:val="clear" w:color="auto" w:fill="auto"/>
            <w:noWrap w:val="0"/>
            <w:vAlign w:val="center"/>
          </w:tcPr>
          <w:p w14:paraId="254B76D9">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7</w:t>
            </w:r>
          </w:p>
        </w:tc>
        <w:tc>
          <w:tcPr>
            <w:tcW w:w="1208" w:type="dxa"/>
            <w:vMerge w:val="continue"/>
            <w:shd w:val="clear" w:color="auto" w:fill="auto"/>
            <w:noWrap w:val="0"/>
            <w:vAlign w:val="center"/>
          </w:tcPr>
          <w:p w14:paraId="6F1B160E">
            <w:pPr>
              <w:widowControl/>
              <w:spacing w:line="300" w:lineRule="exact"/>
              <w:ind w:firstLine="0" w:firstLineChars="0"/>
              <w:jc w:val="center"/>
              <w:rPr>
                <w:rFonts w:ascii="Times New Roman" w:hAnsi="Times New Roman" w:eastAsia="宋体" w:cs="Times New Roman"/>
                <w:color w:val="auto"/>
                <w:sz w:val="21"/>
                <w:szCs w:val="21"/>
              </w:rPr>
            </w:pPr>
          </w:p>
        </w:tc>
        <w:tc>
          <w:tcPr>
            <w:tcW w:w="1620" w:type="dxa"/>
            <w:shd w:val="clear" w:color="auto" w:fill="auto"/>
            <w:noWrap w:val="0"/>
            <w:vAlign w:val="center"/>
          </w:tcPr>
          <w:p w14:paraId="5514E523">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淹溺</w:t>
            </w:r>
          </w:p>
        </w:tc>
        <w:tc>
          <w:tcPr>
            <w:tcW w:w="1260" w:type="dxa"/>
            <w:shd w:val="clear" w:color="auto" w:fill="auto"/>
            <w:noWrap w:val="0"/>
            <w:vAlign w:val="center"/>
          </w:tcPr>
          <w:p w14:paraId="39F13352">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人身伤害</w:t>
            </w:r>
          </w:p>
        </w:tc>
        <w:tc>
          <w:tcPr>
            <w:tcW w:w="1260" w:type="dxa"/>
            <w:shd w:val="clear" w:color="auto" w:fill="auto"/>
            <w:noWrap w:val="0"/>
            <w:vAlign w:val="center"/>
          </w:tcPr>
          <w:p w14:paraId="6B7AD3F9">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从未发生</w:t>
            </w:r>
          </w:p>
        </w:tc>
        <w:tc>
          <w:tcPr>
            <w:tcW w:w="1080" w:type="dxa"/>
            <w:shd w:val="clear" w:color="auto" w:fill="auto"/>
            <w:noWrap w:val="0"/>
            <w:vAlign w:val="center"/>
          </w:tcPr>
          <w:p w14:paraId="05244B47">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严格执行操作规程</w:t>
            </w:r>
          </w:p>
        </w:tc>
        <w:tc>
          <w:tcPr>
            <w:tcW w:w="1080" w:type="dxa"/>
            <w:shd w:val="clear" w:color="auto" w:fill="auto"/>
            <w:noWrap w:val="0"/>
            <w:vAlign w:val="center"/>
          </w:tcPr>
          <w:p w14:paraId="0219C093">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胜任</w:t>
            </w:r>
          </w:p>
        </w:tc>
        <w:tc>
          <w:tcPr>
            <w:tcW w:w="1422" w:type="dxa"/>
            <w:shd w:val="clear" w:color="auto" w:fill="auto"/>
            <w:noWrap w:val="0"/>
            <w:vAlign w:val="center"/>
          </w:tcPr>
          <w:p w14:paraId="7A83AA71">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禁止下库</w:t>
            </w:r>
          </w:p>
        </w:tc>
        <w:tc>
          <w:tcPr>
            <w:tcW w:w="592" w:type="dxa"/>
            <w:shd w:val="clear" w:color="auto" w:fill="auto"/>
            <w:noWrap w:val="0"/>
            <w:vAlign w:val="center"/>
          </w:tcPr>
          <w:p w14:paraId="53A83A99">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506" w:type="dxa"/>
            <w:shd w:val="clear" w:color="auto" w:fill="auto"/>
            <w:noWrap w:val="0"/>
            <w:vAlign w:val="center"/>
          </w:tcPr>
          <w:p w14:paraId="63DC7401">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0.5</w:t>
            </w:r>
          </w:p>
        </w:tc>
        <w:tc>
          <w:tcPr>
            <w:tcW w:w="540" w:type="dxa"/>
            <w:shd w:val="clear" w:color="auto" w:fill="auto"/>
            <w:noWrap w:val="0"/>
            <w:vAlign w:val="center"/>
          </w:tcPr>
          <w:p w14:paraId="599C2A13">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15</w:t>
            </w:r>
          </w:p>
        </w:tc>
        <w:tc>
          <w:tcPr>
            <w:tcW w:w="540" w:type="dxa"/>
            <w:shd w:val="clear" w:color="auto" w:fill="auto"/>
            <w:noWrap w:val="0"/>
            <w:vAlign w:val="center"/>
          </w:tcPr>
          <w:p w14:paraId="249EA7D3">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7.5</w:t>
            </w:r>
          </w:p>
        </w:tc>
        <w:tc>
          <w:tcPr>
            <w:tcW w:w="720" w:type="dxa"/>
            <w:shd w:val="clear" w:color="auto" w:fill="0000FF"/>
            <w:noWrap w:val="0"/>
            <w:vAlign w:val="center"/>
          </w:tcPr>
          <w:p w14:paraId="3AB45964">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A</w:t>
            </w:r>
          </w:p>
        </w:tc>
        <w:tc>
          <w:tcPr>
            <w:tcW w:w="1800" w:type="dxa"/>
            <w:noWrap w:val="0"/>
            <w:vAlign w:val="center"/>
          </w:tcPr>
          <w:p w14:paraId="35A7CDDF">
            <w:pPr>
              <w:spacing w:line="300" w:lineRule="exact"/>
              <w:ind w:firstLine="0" w:firstLineChars="0"/>
              <w:jc w:val="center"/>
              <w:rPr>
                <w:rFonts w:ascii="Times New Roman" w:hAnsi="Times New Roman" w:eastAsia="宋体" w:cs="Times New Roman"/>
                <w:color w:val="auto"/>
                <w:sz w:val="21"/>
                <w:szCs w:val="21"/>
              </w:rPr>
            </w:pPr>
          </w:p>
        </w:tc>
      </w:tr>
      <w:tr w14:paraId="0EB9E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772" w:type="dxa"/>
            <w:shd w:val="clear" w:color="auto" w:fill="auto"/>
            <w:noWrap w:val="0"/>
            <w:vAlign w:val="center"/>
          </w:tcPr>
          <w:p w14:paraId="543C9547">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8</w:t>
            </w:r>
          </w:p>
        </w:tc>
        <w:tc>
          <w:tcPr>
            <w:tcW w:w="1208" w:type="dxa"/>
            <w:vMerge w:val="continue"/>
            <w:shd w:val="clear" w:color="auto" w:fill="auto"/>
            <w:noWrap w:val="0"/>
            <w:vAlign w:val="center"/>
          </w:tcPr>
          <w:p w14:paraId="7BAADDB5">
            <w:pPr>
              <w:widowControl/>
              <w:spacing w:line="300" w:lineRule="exact"/>
              <w:ind w:firstLine="0" w:firstLineChars="0"/>
              <w:jc w:val="left"/>
              <w:rPr>
                <w:rFonts w:ascii="Times New Roman" w:hAnsi="Times New Roman" w:eastAsia="宋体" w:cs="Times New Roman"/>
                <w:color w:val="auto"/>
                <w:sz w:val="21"/>
                <w:szCs w:val="21"/>
              </w:rPr>
            </w:pPr>
          </w:p>
        </w:tc>
        <w:tc>
          <w:tcPr>
            <w:tcW w:w="1620" w:type="dxa"/>
            <w:shd w:val="clear" w:color="auto" w:fill="auto"/>
            <w:noWrap w:val="0"/>
            <w:vAlign w:val="center"/>
          </w:tcPr>
          <w:p w14:paraId="0F2991E4">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动物、毒虫伤害</w:t>
            </w:r>
          </w:p>
        </w:tc>
        <w:tc>
          <w:tcPr>
            <w:tcW w:w="1260" w:type="dxa"/>
            <w:shd w:val="clear" w:color="auto" w:fill="auto"/>
            <w:noWrap w:val="0"/>
            <w:vAlign w:val="center"/>
          </w:tcPr>
          <w:p w14:paraId="2A806054">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人身伤害</w:t>
            </w:r>
          </w:p>
        </w:tc>
        <w:tc>
          <w:tcPr>
            <w:tcW w:w="1260" w:type="dxa"/>
            <w:shd w:val="clear" w:color="auto" w:fill="auto"/>
            <w:noWrap w:val="0"/>
            <w:vAlign w:val="center"/>
          </w:tcPr>
          <w:p w14:paraId="548DCF09">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曾经发生</w:t>
            </w:r>
          </w:p>
        </w:tc>
        <w:tc>
          <w:tcPr>
            <w:tcW w:w="1080" w:type="dxa"/>
            <w:shd w:val="clear" w:color="auto" w:fill="auto"/>
            <w:noWrap w:val="0"/>
            <w:vAlign w:val="center"/>
          </w:tcPr>
          <w:p w14:paraId="37B33D5E">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按时发放劳保用品</w:t>
            </w:r>
          </w:p>
        </w:tc>
        <w:tc>
          <w:tcPr>
            <w:tcW w:w="1080" w:type="dxa"/>
            <w:shd w:val="clear" w:color="auto" w:fill="auto"/>
            <w:noWrap w:val="0"/>
            <w:vAlign w:val="center"/>
          </w:tcPr>
          <w:p w14:paraId="6AFD2657">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胜任</w:t>
            </w:r>
          </w:p>
        </w:tc>
        <w:tc>
          <w:tcPr>
            <w:tcW w:w="1422" w:type="dxa"/>
            <w:shd w:val="clear" w:color="auto" w:fill="auto"/>
            <w:noWrap w:val="0"/>
            <w:vAlign w:val="center"/>
          </w:tcPr>
          <w:p w14:paraId="5FDE17ED">
            <w:pPr>
              <w:spacing w:line="300" w:lineRule="exact"/>
              <w:ind w:firstLine="0" w:firstLineChars="0"/>
              <w:jc w:val="center"/>
              <w:rPr>
                <w:rFonts w:hint="eastAsia" w:ascii="Times New Roman" w:hAnsi="Times New Roman" w:eastAsia="宋体" w:cs="Times New Roman"/>
                <w:color w:val="auto"/>
                <w:sz w:val="21"/>
                <w:szCs w:val="21"/>
              </w:rPr>
            </w:pPr>
            <w:r>
              <w:rPr>
                <w:rFonts w:ascii="Times New Roman" w:hAnsi="Times New Roman" w:eastAsia="宋体" w:cs="Times New Roman"/>
                <w:color w:val="auto"/>
                <w:sz w:val="21"/>
                <w:szCs w:val="21"/>
              </w:rPr>
              <w:t>穿戴好</w:t>
            </w:r>
          </w:p>
          <w:p w14:paraId="4EB2FC8A">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劳保用品</w:t>
            </w:r>
          </w:p>
        </w:tc>
        <w:tc>
          <w:tcPr>
            <w:tcW w:w="592" w:type="dxa"/>
            <w:shd w:val="clear" w:color="auto" w:fill="auto"/>
            <w:noWrap w:val="0"/>
            <w:vAlign w:val="center"/>
          </w:tcPr>
          <w:p w14:paraId="20BEDF3A">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506" w:type="dxa"/>
            <w:shd w:val="clear" w:color="auto" w:fill="auto"/>
            <w:noWrap w:val="0"/>
            <w:vAlign w:val="center"/>
          </w:tcPr>
          <w:p w14:paraId="5E8B04FE">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6</w:t>
            </w:r>
          </w:p>
        </w:tc>
        <w:tc>
          <w:tcPr>
            <w:tcW w:w="540" w:type="dxa"/>
            <w:shd w:val="clear" w:color="auto" w:fill="auto"/>
            <w:noWrap w:val="0"/>
            <w:vAlign w:val="center"/>
          </w:tcPr>
          <w:p w14:paraId="3D7154AB">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540" w:type="dxa"/>
            <w:shd w:val="clear" w:color="auto" w:fill="auto"/>
            <w:noWrap w:val="0"/>
            <w:vAlign w:val="center"/>
          </w:tcPr>
          <w:p w14:paraId="4417CCCB">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54</w:t>
            </w:r>
          </w:p>
        </w:tc>
        <w:tc>
          <w:tcPr>
            <w:tcW w:w="720" w:type="dxa"/>
            <w:shd w:val="clear" w:color="auto" w:fill="0000FF"/>
            <w:noWrap w:val="0"/>
            <w:vAlign w:val="center"/>
          </w:tcPr>
          <w:p w14:paraId="7D720B64">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B</w:t>
            </w:r>
          </w:p>
        </w:tc>
        <w:tc>
          <w:tcPr>
            <w:tcW w:w="1800" w:type="dxa"/>
            <w:noWrap w:val="0"/>
            <w:vAlign w:val="center"/>
          </w:tcPr>
          <w:p w14:paraId="60EC6651">
            <w:pPr>
              <w:spacing w:line="300" w:lineRule="exact"/>
              <w:ind w:firstLine="0" w:firstLineChars="0"/>
              <w:jc w:val="center"/>
              <w:rPr>
                <w:rFonts w:ascii="Times New Roman" w:hAnsi="Times New Roman" w:eastAsia="宋体" w:cs="Times New Roman"/>
                <w:color w:val="auto"/>
                <w:sz w:val="21"/>
                <w:szCs w:val="21"/>
              </w:rPr>
            </w:pPr>
          </w:p>
        </w:tc>
      </w:tr>
      <w:tr w14:paraId="0F38A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trPr>
        <w:tc>
          <w:tcPr>
            <w:tcW w:w="772" w:type="dxa"/>
            <w:shd w:val="clear" w:color="auto" w:fill="auto"/>
            <w:noWrap w:val="0"/>
            <w:vAlign w:val="center"/>
          </w:tcPr>
          <w:p w14:paraId="16CC4237">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9</w:t>
            </w:r>
          </w:p>
        </w:tc>
        <w:tc>
          <w:tcPr>
            <w:tcW w:w="1208" w:type="dxa"/>
            <w:vMerge w:val="continue"/>
            <w:shd w:val="clear" w:color="auto" w:fill="auto"/>
            <w:noWrap w:val="0"/>
            <w:vAlign w:val="center"/>
          </w:tcPr>
          <w:p w14:paraId="58CDE23B">
            <w:pPr>
              <w:widowControl/>
              <w:spacing w:line="300" w:lineRule="exact"/>
              <w:ind w:firstLine="0" w:firstLineChars="0"/>
              <w:jc w:val="left"/>
              <w:rPr>
                <w:rFonts w:ascii="Times New Roman" w:hAnsi="Times New Roman" w:eastAsia="宋体" w:cs="Times New Roman"/>
                <w:color w:val="auto"/>
                <w:sz w:val="21"/>
                <w:szCs w:val="21"/>
              </w:rPr>
            </w:pPr>
          </w:p>
        </w:tc>
        <w:tc>
          <w:tcPr>
            <w:tcW w:w="1620" w:type="dxa"/>
            <w:shd w:val="clear" w:color="auto" w:fill="auto"/>
            <w:noWrap w:val="0"/>
            <w:vAlign w:val="center"/>
          </w:tcPr>
          <w:p w14:paraId="0529E0FA">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渗漏</w:t>
            </w:r>
          </w:p>
        </w:tc>
        <w:tc>
          <w:tcPr>
            <w:tcW w:w="1260" w:type="dxa"/>
            <w:shd w:val="clear" w:color="auto" w:fill="auto"/>
            <w:noWrap w:val="0"/>
            <w:vAlign w:val="center"/>
          </w:tcPr>
          <w:p w14:paraId="3D7C8E33">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人身伤害、环境污染</w:t>
            </w:r>
          </w:p>
        </w:tc>
        <w:tc>
          <w:tcPr>
            <w:tcW w:w="1260" w:type="dxa"/>
            <w:shd w:val="clear" w:color="auto" w:fill="auto"/>
            <w:noWrap w:val="0"/>
            <w:vAlign w:val="center"/>
          </w:tcPr>
          <w:p w14:paraId="00407623">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曾经发生</w:t>
            </w:r>
          </w:p>
        </w:tc>
        <w:tc>
          <w:tcPr>
            <w:tcW w:w="1080" w:type="dxa"/>
            <w:shd w:val="clear" w:color="auto" w:fill="auto"/>
            <w:noWrap w:val="0"/>
            <w:vAlign w:val="center"/>
          </w:tcPr>
          <w:p w14:paraId="076F46F6">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加强监管</w:t>
            </w:r>
          </w:p>
        </w:tc>
        <w:tc>
          <w:tcPr>
            <w:tcW w:w="1080" w:type="dxa"/>
            <w:shd w:val="clear" w:color="auto" w:fill="auto"/>
            <w:noWrap w:val="0"/>
            <w:vAlign w:val="center"/>
          </w:tcPr>
          <w:p w14:paraId="51CFE05E">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胜任</w:t>
            </w:r>
          </w:p>
        </w:tc>
        <w:tc>
          <w:tcPr>
            <w:tcW w:w="1422" w:type="dxa"/>
            <w:shd w:val="clear" w:color="auto" w:fill="auto"/>
            <w:noWrap w:val="0"/>
            <w:vAlign w:val="center"/>
          </w:tcPr>
          <w:p w14:paraId="55610AA5">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加强检查</w:t>
            </w:r>
          </w:p>
        </w:tc>
        <w:tc>
          <w:tcPr>
            <w:tcW w:w="592" w:type="dxa"/>
            <w:shd w:val="clear" w:color="auto" w:fill="auto"/>
            <w:noWrap w:val="0"/>
            <w:vAlign w:val="center"/>
          </w:tcPr>
          <w:p w14:paraId="144FE96D">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506" w:type="dxa"/>
            <w:shd w:val="clear" w:color="auto" w:fill="auto"/>
            <w:noWrap w:val="0"/>
            <w:vAlign w:val="center"/>
          </w:tcPr>
          <w:p w14:paraId="4C50F2AD">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6</w:t>
            </w:r>
          </w:p>
        </w:tc>
        <w:tc>
          <w:tcPr>
            <w:tcW w:w="540" w:type="dxa"/>
            <w:shd w:val="clear" w:color="auto" w:fill="auto"/>
            <w:noWrap w:val="0"/>
            <w:vAlign w:val="center"/>
          </w:tcPr>
          <w:p w14:paraId="1FDB4761">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7</w:t>
            </w:r>
          </w:p>
        </w:tc>
        <w:tc>
          <w:tcPr>
            <w:tcW w:w="540" w:type="dxa"/>
            <w:shd w:val="clear" w:color="auto" w:fill="auto"/>
            <w:noWrap w:val="0"/>
            <w:vAlign w:val="center"/>
          </w:tcPr>
          <w:p w14:paraId="6433AEF0">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42</w:t>
            </w:r>
          </w:p>
        </w:tc>
        <w:tc>
          <w:tcPr>
            <w:tcW w:w="720" w:type="dxa"/>
            <w:tcBorders>
              <w:bottom w:val="single" w:color="auto" w:sz="4" w:space="0"/>
            </w:tcBorders>
            <w:shd w:val="clear" w:color="auto" w:fill="0000FF"/>
            <w:noWrap w:val="0"/>
            <w:vAlign w:val="center"/>
          </w:tcPr>
          <w:p w14:paraId="71656002">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B</w:t>
            </w:r>
          </w:p>
        </w:tc>
        <w:tc>
          <w:tcPr>
            <w:tcW w:w="1800" w:type="dxa"/>
            <w:noWrap w:val="0"/>
            <w:vAlign w:val="center"/>
          </w:tcPr>
          <w:p w14:paraId="6618E49D">
            <w:pPr>
              <w:spacing w:line="300" w:lineRule="exact"/>
              <w:ind w:firstLine="0" w:firstLineChars="0"/>
              <w:jc w:val="center"/>
              <w:rPr>
                <w:rFonts w:ascii="Times New Roman" w:hAnsi="Times New Roman" w:eastAsia="宋体" w:cs="Times New Roman"/>
                <w:color w:val="auto"/>
                <w:sz w:val="21"/>
                <w:szCs w:val="21"/>
              </w:rPr>
            </w:pPr>
          </w:p>
        </w:tc>
      </w:tr>
      <w:tr w14:paraId="117D8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 w:hRule="atLeast"/>
        </w:trPr>
        <w:tc>
          <w:tcPr>
            <w:tcW w:w="772" w:type="dxa"/>
            <w:shd w:val="clear" w:color="auto" w:fill="auto"/>
            <w:noWrap w:val="0"/>
            <w:vAlign w:val="center"/>
          </w:tcPr>
          <w:p w14:paraId="58F68417">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10</w:t>
            </w:r>
          </w:p>
        </w:tc>
        <w:tc>
          <w:tcPr>
            <w:tcW w:w="1208" w:type="dxa"/>
            <w:vMerge w:val="continue"/>
            <w:shd w:val="clear" w:color="auto" w:fill="auto"/>
            <w:noWrap w:val="0"/>
            <w:vAlign w:val="center"/>
          </w:tcPr>
          <w:p w14:paraId="52669D51">
            <w:pPr>
              <w:widowControl/>
              <w:spacing w:line="300" w:lineRule="exact"/>
              <w:ind w:firstLine="0" w:firstLineChars="0"/>
              <w:jc w:val="left"/>
              <w:rPr>
                <w:rFonts w:ascii="Times New Roman" w:hAnsi="Times New Roman" w:eastAsia="宋体" w:cs="Times New Roman"/>
                <w:color w:val="auto"/>
                <w:sz w:val="21"/>
                <w:szCs w:val="21"/>
              </w:rPr>
            </w:pPr>
          </w:p>
        </w:tc>
        <w:tc>
          <w:tcPr>
            <w:tcW w:w="1620" w:type="dxa"/>
            <w:shd w:val="clear" w:color="auto" w:fill="auto"/>
            <w:noWrap w:val="0"/>
            <w:vAlign w:val="center"/>
          </w:tcPr>
          <w:p w14:paraId="1D962142">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坝面拉沟</w:t>
            </w:r>
          </w:p>
        </w:tc>
        <w:tc>
          <w:tcPr>
            <w:tcW w:w="1260" w:type="dxa"/>
            <w:shd w:val="clear" w:color="auto" w:fill="auto"/>
            <w:noWrap w:val="0"/>
            <w:vAlign w:val="center"/>
          </w:tcPr>
          <w:p w14:paraId="545610CF">
            <w:pPr>
              <w:spacing w:line="300" w:lineRule="exact"/>
              <w:ind w:firstLine="0" w:firstLineChars="0"/>
              <w:jc w:val="center"/>
              <w:rPr>
                <w:rFonts w:hint="eastAsia" w:ascii="Times New Roman" w:hAnsi="Times New Roman" w:eastAsia="宋体" w:cs="Times New Roman"/>
                <w:color w:val="auto"/>
                <w:sz w:val="21"/>
                <w:szCs w:val="21"/>
              </w:rPr>
            </w:pPr>
            <w:r>
              <w:rPr>
                <w:rFonts w:ascii="Times New Roman" w:hAnsi="Times New Roman" w:eastAsia="宋体" w:cs="Times New Roman"/>
                <w:color w:val="auto"/>
                <w:sz w:val="21"/>
                <w:szCs w:val="21"/>
              </w:rPr>
              <w:t>溃坝</w:t>
            </w:r>
          </w:p>
        </w:tc>
        <w:tc>
          <w:tcPr>
            <w:tcW w:w="1260" w:type="dxa"/>
            <w:shd w:val="clear" w:color="auto" w:fill="auto"/>
            <w:noWrap w:val="0"/>
            <w:vAlign w:val="center"/>
          </w:tcPr>
          <w:p w14:paraId="5728988D">
            <w:pPr>
              <w:spacing w:line="300" w:lineRule="exact"/>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曾经</w:t>
            </w:r>
            <w:r>
              <w:rPr>
                <w:rFonts w:ascii="Times New Roman" w:hAnsi="Times New Roman" w:eastAsia="宋体" w:cs="Times New Roman"/>
                <w:color w:val="auto"/>
                <w:sz w:val="21"/>
                <w:szCs w:val="21"/>
              </w:rPr>
              <w:t>发生</w:t>
            </w:r>
          </w:p>
        </w:tc>
        <w:tc>
          <w:tcPr>
            <w:tcW w:w="1080" w:type="dxa"/>
            <w:shd w:val="clear" w:color="auto" w:fill="auto"/>
            <w:noWrap w:val="0"/>
            <w:vAlign w:val="center"/>
          </w:tcPr>
          <w:p w14:paraId="1C7DCC02">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加强监管</w:t>
            </w:r>
          </w:p>
        </w:tc>
        <w:tc>
          <w:tcPr>
            <w:tcW w:w="1080" w:type="dxa"/>
            <w:shd w:val="clear" w:color="auto" w:fill="auto"/>
            <w:noWrap w:val="0"/>
            <w:vAlign w:val="center"/>
          </w:tcPr>
          <w:p w14:paraId="25D6E250">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胜任</w:t>
            </w:r>
          </w:p>
        </w:tc>
        <w:tc>
          <w:tcPr>
            <w:tcW w:w="1422" w:type="dxa"/>
            <w:shd w:val="clear" w:color="auto" w:fill="auto"/>
            <w:noWrap w:val="0"/>
            <w:vAlign w:val="center"/>
          </w:tcPr>
          <w:p w14:paraId="254D3381">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加强检查</w:t>
            </w:r>
          </w:p>
        </w:tc>
        <w:tc>
          <w:tcPr>
            <w:tcW w:w="592" w:type="dxa"/>
            <w:shd w:val="clear" w:color="auto" w:fill="auto"/>
            <w:noWrap w:val="0"/>
            <w:vAlign w:val="center"/>
          </w:tcPr>
          <w:p w14:paraId="676023E8">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506" w:type="dxa"/>
            <w:shd w:val="clear" w:color="auto" w:fill="auto"/>
            <w:noWrap w:val="0"/>
            <w:vAlign w:val="center"/>
          </w:tcPr>
          <w:p w14:paraId="1A06EA31">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540" w:type="dxa"/>
            <w:shd w:val="clear" w:color="auto" w:fill="auto"/>
            <w:noWrap w:val="0"/>
            <w:vAlign w:val="center"/>
          </w:tcPr>
          <w:p w14:paraId="734D67E3">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40</w:t>
            </w:r>
          </w:p>
        </w:tc>
        <w:tc>
          <w:tcPr>
            <w:tcW w:w="540" w:type="dxa"/>
            <w:shd w:val="clear" w:color="auto" w:fill="auto"/>
            <w:noWrap w:val="0"/>
            <w:vAlign w:val="center"/>
          </w:tcPr>
          <w:p w14:paraId="3B62350C">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40</w:t>
            </w:r>
          </w:p>
        </w:tc>
        <w:tc>
          <w:tcPr>
            <w:tcW w:w="720" w:type="dxa"/>
            <w:shd w:val="clear" w:color="auto" w:fill="0000FF"/>
            <w:noWrap w:val="0"/>
            <w:vAlign w:val="center"/>
          </w:tcPr>
          <w:p w14:paraId="0A3F8B64">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B</w:t>
            </w:r>
          </w:p>
        </w:tc>
        <w:tc>
          <w:tcPr>
            <w:tcW w:w="1800" w:type="dxa"/>
            <w:noWrap w:val="0"/>
            <w:vAlign w:val="center"/>
          </w:tcPr>
          <w:p w14:paraId="6E438C27">
            <w:pPr>
              <w:spacing w:line="300" w:lineRule="exact"/>
              <w:ind w:firstLine="0" w:firstLineChars="0"/>
              <w:jc w:val="center"/>
              <w:rPr>
                <w:rFonts w:ascii="Times New Roman" w:hAnsi="Times New Roman" w:eastAsia="宋体" w:cs="Times New Roman"/>
                <w:color w:val="auto"/>
                <w:sz w:val="21"/>
                <w:szCs w:val="21"/>
              </w:rPr>
            </w:pPr>
          </w:p>
        </w:tc>
      </w:tr>
      <w:tr w14:paraId="795B3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772" w:type="dxa"/>
            <w:shd w:val="clear" w:color="auto" w:fill="auto"/>
            <w:noWrap w:val="0"/>
            <w:vAlign w:val="center"/>
          </w:tcPr>
          <w:p w14:paraId="1C1FDD1C">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11</w:t>
            </w:r>
          </w:p>
        </w:tc>
        <w:tc>
          <w:tcPr>
            <w:tcW w:w="1208" w:type="dxa"/>
            <w:vMerge w:val="restart"/>
            <w:shd w:val="clear" w:color="auto" w:fill="auto"/>
            <w:noWrap w:val="0"/>
            <w:vAlign w:val="center"/>
          </w:tcPr>
          <w:p w14:paraId="0F496227">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设备设施检查</w:t>
            </w:r>
          </w:p>
        </w:tc>
        <w:tc>
          <w:tcPr>
            <w:tcW w:w="1620" w:type="dxa"/>
            <w:shd w:val="clear" w:color="auto" w:fill="auto"/>
            <w:noWrap w:val="0"/>
            <w:vAlign w:val="center"/>
          </w:tcPr>
          <w:p w14:paraId="27543EC5">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输送管道破裂</w:t>
            </w:r>
          </w:p>
        </w:tc>
        <w:tc>
          <w:tcPr>
            <w:tcW w:w="1260" w:type="dxa"/>
            <w:shd w:val="clear" w:color="auto" w:fill="auto"/>
            <w:noWrap w:val="0"/>
            <w:vAlign w:val="center"/>
          </w:tcPr>
          <w:p w14:paraId="6095E578">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粉尘危害</w:t>
            </w:r>
          </w:p>
        </w:tc>
        <w:tc>
          <w:tcPr>
            <w:tcW w:w="1260" w:type="dxa"/>
            <w:shd w:val="clear" w:color="auto" w:fill="auto"/>
            <w:noWrap w:val="0"/>
            <w:vAlign w:val="center"/>
          </w:tcPr>
          <w:p w14:paraId="2B3B7B6C">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曾经发生</w:t>
            </w:r>
          </w:p>
        </w:tc>
        <w:tc>
          <w:tcPr>
            <w:tcW w:w="1080" w:type="dxa"/>
            <w:shd w:val="clear" w:color="auto" w:fill="auto"/>
            <w:noWrap w:val="0"/>
            <w:vAlign w:val="center"/>
          </w:tcPr>
          <w:p w14:paraId="33E7B015">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严格执行操作规程</w:t>
            </w:r>
          </w:p>
        </w:tc>
        <w:tc>
          <w:tcPr>
            <w:tcW w:w="1080" w:type="dxa"/>
            <w:shd w:val="clear" w:color="auto" w:fill="auto"/>
            <w:noWrap w:val="0"/>
            <w:vAlign w:val="center"/>
          </w:tcPr>
          <w:p w14:paraId="1FD2077B">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胜任</w:t>
            </w:r>
          </w:p>
        </w:tc>
        <w:tc>
          <w:tcPr>
            <w:tcW w:w="1422" w:type="dxa"/>
            <w:shd w:val="clear" w:color="auto" w:fill="auto"/>
            <w:noWrap w:val="0"/>
            <w:vAlign w:val="center"/>
          </w:tcPr>
          <w:p w14:paraId="3E9C509A">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加强监测</w:t>
            </w:r>
          </w:p>
        </w:tc>
        <w:tc>
          <w:tcPr>
            <w:tcW w:w="592" w:type="dxa"/>
            <w:shd w:val="clear" w:color="auto" w:fill="auto"/>
            <w:noWrap w:val="0"/>
            <w:vAlign w:val="center"/>
          </w:tcPr>
          <w:p w14:paraId="486EE6AA">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506" w:type="dxa"/>
            <w:shd w:val="clear" w:color="auto" w:fill="auto"/>
            <w:noWrap w:val="0"/>
            <w:vAlign w:val="center"/>
          </w:tcPr>
          <w:p w14:paraId="1140E380">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540" w:type="dxa"/>
            <w:shd w:val="clear" w:color="auto" w:fill="auto"/>
            <w:noWrap w:val="0"/>
            <w:vAlign w:val="center"/>
          </w:tcPr>
          <w:p w14:paraId="30C78CD0">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540" w:type="dxa"/>
            <w:shd w:val="clear" w:color="auto" w:fill="auto"/>
            <w:noWrap w:val="0"/>
            <w:vAlign w:val="center"/>
          </w:tcPr>
          <w:p w14:paraId="4CE10BE6">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720" w:type="dxa"/>
            <w:shd w:val="clear" w:color="auto" w:fill="0000FF"/>
            <w:noWrap w:val="0"/>
            <w:vAlign w:val="center"/>
          </w:tcPr>
          <w:p w14:paraId="411467C8">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A</w:t>
            </w:r>
          </w:p>
        </w:tc>
        <w:tc>
          <w:tcPr>
            <w:tcW w:w="1800" w:type="dxa"/>
            <w:noWrap w:val="0"/>
            <w:vAlign w:val="center"/>
          </w:tcPr>
          <w:p w14:paraId="0E4FC38B">
            <w:pPr>
              <w:spacing w:line="300" w:lineRule="exact"/>
              <w:ind w:firstLine="0" w:firstLineChars="0"/>
              <w:jc w:val="center"/>
              <w:rPr>
                <w:rFonts w:ascii="Times New Roman" w:hAnsi="Times New Roman" w:eastAsia="宋体" w:cs="Times New Roman"/>
                <w:color w:val="auto"/>
                <w:sz w:val="21"/>
                <w:szCs w:val="21"/>
              </w:rPr>
            </w:pPr>
          </w:p>
        </w:tc>
      </w:tr>
      <w:tr w14:paraId="2496F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772" w:type="dxa"/>
            <w:shd w:val="clear" w:color="auto" w:fill="auto"/>
            <w:noWrap w:val="0"/>
            <w:vAlign w:val="center"/>
          </w:tcPr>
          <w:p w14:paraId="72036F2B">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12</w:t>
            </w:r>
          </w:p>
        </w:tc>
        <w:tc>
          <w:tcPr>
            <w:tcW w:w="1208" w:type="dxa"/>
            <w:vMerge w:val="continue"/>
            <w:shd w:val="clear" w:color="auto" w:fill="auto"/>
            <w:noWrap w:val="0"/>
            <w:vAlign w:val="center"/>
          </w:tcPr>
          <w:p w14:paraId="720025D2">
            <w:pPr>
              <w:widowControl/>
              <w:spacing w:line="300" w:lineRule="exact"/>
              <w:ind w:firstLine="0" w:firstLineChars="0"/>
              <w:jc w:val="left"/>
              <w:rPr>
                <w:rFonts w:ascii="Times New Roman" w:hAnsi="Times New Roman" w:eastAsia="宋体" w:cs="Times New Roman"/>
                <w:color w:val="auto"/>
                <w:sz w:val="21"/>
                <w:szCs w:val="21"/>
              </w:rPr>
            </w:pPr>
          </w:p>
        </w:tc>
        <w:tc>
          <w:tcPr>
            <w:tcW w:w="1620" w:type="dxa"/>
            <w:shd w:val="clear" w:color="auto" w:fill="auto"/>
            <w:noWrap w:val="0"/>
            <w:vAlign w:val="center"/>
          </w:tcPr>
          <w:p w14:paraId="50FACB31">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照明线路漏电</w:t>
            </w:r>
          </w:p>
        </w:tc>
        <w:tc>
          <w:tcPr>
            <w:tcW w:w="1260" w:type="dxa"/>
            <w:shd w:val="clear" w:color="auto" w:fill="auto"/>
            <w:noWrap w:val="0"/>
            <w:vAlign w:val="center"/>
          </w:tcPr>
          <w:p w14:paraId="6167FC7F">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触电</w:t>
            </w:r>
          </w:p>
        </w:tc>
        <w:tc>
          <w:tcPr>
            <w:tcW w:w="1260" w:type="dxa"/>
            <w:shd w:val="clear" w:color="auto" w:fill="auto"/>
            <w:noWrap w:val="0"/>
            <w:vAlign w:val="center"/>
          </w:tcPr>
          <w:p w14:paraId="768AB441">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曾经发生</w:t>
            </w:r>
          </w:p>
        </w:tc>
        <w:tc>
          <w:tcPr>
            <w:tcW w:w="1080" w:type="dxa"/>
            <w:shd w:val="clear" w:color="auto" w:fill="auto"/>
            <w:noWrap w:val="0"/>
            <w:vAlign w:val="center"/>
          </w:tcPr>
          <w:p w14:paraId="4BEAC802">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严格执行操作规程</w:t>
            </w:r>
          </w:p>
        </w:tc>
        <w:tc>
          <w:tcPr>
            <w:tcW w:w="1080" w:type="dxa"/>
            <w:shd w:val="clear" w:color="auto" w:fill="auto"/>
            <w:noWrap w:val="0"/>
            <w:vAlign w:val="center"/>
          </w:tcPr>
          <w:p w14:paraId="59354659">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胜任</w:t>
            </w:r>
          </w:p>
        </w:tc>
        <w:tc>
          <w:tcPr>
            <w:tcW w:w="1422" w:type="dxa"/>
            <w:shd w:val="clear" w:color="auto" w:fill="auto"/>
            <w:noWrap w:val="0"/>
            <w:vAlign w:val="center"/>
          </w:tcPr>
          <w:p w14:paraId="6050EDB9">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加强监测</w:t>
            </w:r>
          </w:p>
        </w:tc>
        <w:tc>
          <w:tcPr>
            <w:tcW w:w="592" w:type="dxa"/>
            <w:shd w:val="clear" w:color="auto" w:fill="auto"/>
            <w:noWrap w:val="0"/>
            <w:vAlign w:val="center"/>
          </w:tcPr>
          <w:p w14:paraId="5505C73C">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506" w:type="dxa"/>
            <w:shd w:val="clear" w:color="auto" w:fill="auto"/>
            <w:noWrap w:val="0"/>
            <w:vAlign w:val="center"/>
          </w:tcPr>
          <w:p w14:paraId="10BD2107">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540" w:type="dxa"/>
            <w:shd w:val="clear" w:color="auto" w:fill="auto"/>
            <w:noWrap w:val="0"/>
            <w:vAlign w:val="center"/>
          </w:tcPr>
          <w:p w14:paraId="75DB461B">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15</w:t>
            </w:r>
          </w:p>
        </w:tc>
        <w:tc>
          <w:tcPr>
            <w:tcW w:w="540" w:type="dxa"/>
            <w:shd w:val="clear" w:color="auto" w:fill="auto"/>
            <w:noWrap w:val="0"/>
            <w:vAlign w:val="center"/>
          </w:tcPr>
          <w:p w14:paraId="18417D97">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15</w:t>
            </w:r>
          </w:p>
        </w:tc>
        <w:tc>
          <w:tcPr>
            <w:tcW w:w="720" w:type="dxa"/>
            <w:shd w:val="clear" w:color="auto" w:fill="0000FF"/>
            <w:noWrap w:val="0"/>
            <w:vAlign w:val="center"/>
          </w:tcPr>
          <w:p w14:paraId="721DE31E">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B</w:t>
            </w:r>
          </w:p>
        </w:tc>
        <w:tc>
          <w:tcPr>
            <w:tcW w:w="1800" w:type="dxa"/>
            <w:noWrap w:val="0"/>
            <w:vAlign w:val="center"/>
          </w:tcPr>
          <w:p w14:paraId="6A2B462F">
            <w:pPr>
              <w:spacing w:line="300" w:lineRule="exact"/>
              <w:ind w:firstLine="0" w:firstLineChars="0"/>
              <w:jc w:val="center"/>
              <w:rPr>
                <w:rFonts w:ascii="Times New Roman" w:hAnsi="Times New Roman" w:eastAsia="宋体" w:cs="Times New Roman"/>
                <w:color w:val="auto"/>
                <w:sz w:val="21"/>
                <w:szCs w:val="21"/>
              </w:rPr>
            </w:pPr>
          </w:p>
        </w:tc>
      </w:tr>
      <w:tr w14:paraId="04E9D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772" w:type="dxa"/>
            <w:shd w:val="clear" w:color="auto" w:fill="auto"/>
            <w:noWrap w:val="0"/>
            <w:vAlign w:val="center"/>
          </w:tcPr>
          <w:p w14:paraId="3926B5AA">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13</w:t>
            </w:r>
          </w:p>
        </w:tc>
        <w:tc>
          <w:tcPr>
            <w:tcW w:w="1208" w:type="dxa"/>
            <w:vMerge w:val="restart"/>
            <w:shd w:val="clear" w:color="auto" w:fill="auto"/>
            <w:noWrap w:val="0"/>
            <w:vAlign w:val="center"/>
          </w:tcPr>
          <w:p w14:paraId="7789B5B1">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作业过程</w:t>
            </w:r>
          </w:p>
        </w:tc>
        <w:tc>
          <w:tcPr>
            <w:tcW w:w="1620" w:type="dxa"/>
            <w:shd w:val="clear" w:color="auto" w:fill="auto"/>
            <w:noWrap w:val="0"/>
            <w:vAlign w:val="center"/>
          </w:tcPr>
          <w:p w14:paraId="1BDDA8DA">
            <w:pPr>
              <w:spacing w:line="300" w:lineRule="exact"/>
              <w:ind w:firstLine="0" w:firstLineChars="0"/>
              <w:jc w:val="center"/>
              <w:rPr>
                <w:rFonts w:hint="eastAsia" w:ascii="Times New Roman" w:hAnsi="Times New Roman" w:eastAsia="宋体" w:cs="Times New Roman"/>
                <w:color w:val="auto"/>
                <w:sz w:val="21"/>
                <w:szCs w:val="21"/>
              </w:rPr>
            </w:pPr>
            <w:r>
              <w:rPr>
                <w:rFonts w:ascii="Times New Roman" w:hAnsi="Times New Roman" w:eastAsia="宋体" w:cs="Times New Roman"/>
                <w:color w:val="auto"/>
                <w:sz w:val="21"/>
                <w:szCs w:val="21"/>
              </w:rPr>
              <w:t>未正确穿戴</w:t>
            </w:r>
          </w:p>
          <w:p w14:paraId="17E5C0F7">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劳保用品</w:t>
            </w:r>
          </w:p>
        </w:tc>
        <w:tc>
          <w:tcPr>
            <w:tcW w:w="1260" w:type="dxa"/>
            <w:shd w:val="clear" w:color="auto" w:fill="auto"/>
            <w:noWrap w:val="0"/>
            <w:vAlign w:val="center"/>
          </w:tcPr>
          <w:p w14:paraId="5D4BB6A0">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物体伤害</w:t>
            </w:r>
          </w:p>
        </w:tc>
        <w:tc>
          <w:tcPr>
            <w:tcW w:w="1260" w:type="dxa"/>
            <w:shd w:val="clear" w:color="auto" w:fill="auto"/>
            <w:noWrap w:val="0"/>
            <w:vAlign w:val="center"/>
          </w:tcPr>
          <w:p w14:paraId="59B9D2EB">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曾经发生</w:t>
            </w:r>
          </w:p>
        </w:tc>
        <w:tc>
          <w:tcPr>
            <w:tcW w:w="1080" w:type="dxa"/>
            <w:shd w:val="clear" w:color="auto" w:fill="auto"/>
            <w:noWrap w:val="0"/>
            <w:vAlign w:val="center"/>
          </w:tcPr>
          <w:p w14:paraId="66CEDA44">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严格执行操作规程</w:t>
            </w:r>
          </w:p>
        </w:tc>
        <w:tc>
          <w:tcPr>
            <w:tcW w:w="1080" w:type="dxa"/>
            <w:shd w:val="clear" w:color="auto" w:fill="auto"/>
            <w:noWrap w:val="0"/>
            <w:vAlign w:val="center"/>
          </w:tcPr>
          <w:p w14:paraId="710DA585">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胜任</w:t>
            </w:r>
          </w:p>
        </w:tc>
        <w:tc>
          <w:tcPr>
            <w:tcW w:w="1422" w:type="dxa"/>
            <w:shd w:val="clear" w:color="auto" w:fill="auto"/>
            <w:noWrap w:val="0"/>
            <w:vAlign w:val="center"/>
          </w:tcPr>
          <w:p w14:paraId="1FE22F1E">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加强管理</w:t>
            </w:r>
          </w:p>
        </w:tc>
        <w:tc>
          <w:tcPr>
            <w:tcW w:w="592" w:type="dxa"/>
            <w:shd w:val="clear" w:color="auto" w:fill="auto"/>
            <w:noWrap w:val="0"/>
            <w:vAlign w:val="center"/>
          </w:tcPr>
          <w:p w14:paraId="37CA386C">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506" w:type="dxa"/>
            <w:shd w:val="clear" w:color="auto" w:fill="auto"/>
            <w:noWrap w:val="0"/>
            <w:vAlign w:val="center"/>
          </w:tcPr>
          <w:p w14:paraId="2F6D51B8">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540" w:type="dxa"/>
            <w:shd w:val="clear" w:color="auto" w:fill="auto"/>
            <w:noWrap w:val="0"/>
            <w:vAlign w:val="center"/>
          </w:tcPr>
          <w:p w14:paraId="77C4516D">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540" w:type="dxa"/>
            <w:shd w:val="clear" w:color="auto" w:fill="auto"/>
            <w:noWrap w:val="0"/>
            <w:vAlign w:val="center"/>
          </w:tcPr>
          <w:p w14:paraId="6B053A44">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9</w:t>
            </w:r>
          </w:p>
        </w:tc>
        <w:tc>
          <w:tcPr>
            <w:tcW w:w="720" w:type="dxa"/>
            <w:shd w:val="clear" w:color="auto" w:fill="0000FF"/>
            <w:noWrap w:val="0"/>
            <w:vAlign w:val="center"/>
          </w:tcPr>
          <w:p w14:paraId="593073D4">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A</w:t>
            </w:r>
          </w:p>
        </w:tc>
        <w:tc>
          <w:tcPr>
            <w:tcW w:w="1800" w:type="dxa"/>
            <w:noWrap w:val="0"/>
            <w:vAlign w:val="center"/>
          </w:tcPr>
          <w:p w14:paraId="37D83B8F">
            <w:pPr>
              <w:spacing w:line="300" w:lineRule="exact"/>
              <w:ind w:firstLine="0" w:firstLineChars="0"/>
              <w:jc w:val="center"/>
              <w:rPr>
                <w:rFonts w:ascii="Times New Roman" w:hAnsi="Times New Roman" w:eastAsia="宋体" w:cs="Times New Roman"/>
                <w:color w:val="auto"/>
                <w:sz w:val="21"/>
                <w:szCs w:val="21"/>
              </w:rPr>
            </w:pPr>
          </w:p>
        </w:tc>
      </w:tr>
      <w:tr w14:paraId="0B3C7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772" w:type="dxa"/>
            <w:shd w:val="clear" w:color="auto" w:fill="auto"/>
            <w:noWrap w:val="0"/>
            <w:vAlign w:val="center"/>
          </w:tcPr>
          <w:p w14:paraId="410E6A2A">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14</w:t>
            </w:r>
          </w:p>
        </w:tc>
        <w:tc>
          <w:tcPr>
            <w:tcW w:w="1208" w:type="dxa"/>
            <w:vMerge w:val="continue"/>
            <w:shd w:val="clear" w:color="auto" w:fill="auto"/>
            <w:noWrap w:val="0"/>
            <w:vAlign w:val="center"/>
          </w:tcPr>
          <w:p w14:paraId="601C6875">
            <w:pPr>
              <w:widowControl/>
              <w:spacing w:line="300" w:lineRule="exact"/>
              <w:ind w:firstLine="0" w:firstLineChars="0"/>
              <w:jc w:val="left"/>
              <w:rPr>
                <w:rFonts w:ascii="Times New Roman" w:hAnsi="Times New Roman" w:eastAsia="宋体" w:cs="Times New Roman"/>
                <w:color w:val="auto"/>
                <w:sz w:val="21"/>
                <w:szCs w:val="21"/>
              </w:rPr>
            </w:pPr>
          </w:p>
        </w:tc>
        <w:tc>
          <w:tcPr>
            <w:tcW w:w="1620" w:type="dxa"/>
            <w:shd w:val="clear" w:color="auto" w:fill="auto"/>
            <w:noWrap w:val="0"/>
            <w:vAlign w:val="center"/>
          </w:tcPr>
          <w:p w14:paraId="41C1DCF3">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滑到</w:t>
            </w:r>
          </w:p>
        </w:tc>
        <w:tc>
          <w:tcPr>
            <w:tcW w:w="1260" w:type="dxa"/>
            <w:shd w:val="clear" w:color="auto" w:fill="auto"/>
            <w:noWrap w:val="0"/>
            <w:vAlign w:val="center"/>
          </w:tcPr>
          <w:p w14:paraId="109D4AA1">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物体打击</w:t>
            </w:r>
          </w:p>
        </w:tc>
        <w:tc>
          <w:tcPr>
            <w:tcW w:w="1260" w:type="dxa"/>
            <w:shd w:val="clear" w:color="auto" w:fill="auto"/>
            <w:noWrap w:val="0"/>
            <w:vAlign w:val="center"/>
          </w:tcPr>
          <w:p w14:paraId="104AA22F">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曾经发生</w:t>
            </w:r>
          </w:p>
        </w:tc>
        <w:tc>
          <w:tcPr>
            <w:tcW w:w="1080" w:type="dxa"/>
            <w:shd w:val="clear" w:color="auto" w:fill="auto"/>
            <w:noWrap w:val="0"/>
            <w:vAlign w:val="center"/>
          </w:tcPr>
          <w:p w14:paraId="772FD650">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加强监管</w:t>
            </w:r>
          </w:p>
        </w:tc>
        <w:tc>
          <w:tcPr>
            <w:tcW w:w="1080" w:type="dxa"/>
            <w:shd w:val="clear" w:color="auto" w:fill="auto"/>
            <w:noWrap w:val="0"/>
            <w:vAlign w:val="center"/>
          </w:tcPr>
          <w:p w14:paraId="16C484EE">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胜任</w:t>
            </w:r>
          </w:p>
        </w:tc>
        <w:tc>
          <w:tcPr>
            <w:tcW w:w="1422" w:type="dxa"/>
            <w:shd w:val="clear" w:color="auto" w:fill="auto"/>
            <w:noWrap w:val="0"/>
            <w:vAlign w:val="center"/>
          </w:tcPr>
          <w:p w14:paraId="6CD17AB7">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个体防护</w:t>
            </w:r>
          </w:p>
        </w:tc>
        <w:tc>
          <w:tcPr>
            <w:tcW w:w="592" w:type="dxa"/>
            <w:shd w:val="clear" w:color="auto" w:fill="auto"/>
            <w:noWrap w:val="0"/>
            <w:vAlign w:val="center"/>
          </w:tcPr>
          <w:p w14:paraId="0244A732">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506" w:type="dxa"/>
            <w:shd w:val="clear" w:color="auto" w:fill="auto"/>
            <w:noWrap w:val="0"/>
            <w:vAlign w:val="center"/>
          </w:tcPr>
          <w:p w14:paraId="4873F18E">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540" w:type="dxa"/>
            <w:shd w:val="clear" w:color="auto" w:fill="auto"/>
            <w:noWrap w:val="0"/>
            <w:vAlign w:val="center"/>
          </w:tcPr>
          <w:p w14:paraId="066C408A">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540" w:type="dxa"/>
            <w:shd w:val="clear" w:color="auto" w:fill="auto"/>
            <w:noWrap w:val="0"/>
            <w:vAlign w:val="center"/>
          </w:tcPr>
          <w:p w14:paraId="241E81D4">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9</w:t>
            </w:r>
          </w:p>
        </w:tc>
        <w:tc>
          <w:tcPr>
            <w:tcW w:w="720" w:type="dxa"/>
            <w:shd w:val="clear" w:color="auto" w:fill="0000FF"/>
            <w:noWrap w:val="0"/>
            <w:vAlign w:val="center"/>
          </w:tcPr>
          <w:p w14:paraId="1A8D7147">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A</w:t>
            </w:r>
          </w:p>
        </w:tc>
        <w:tc>
          <w:tcPr>
            <w:tcW w:w="1800" w:type="dxa"/>
            <w:noWrap w:val="0"/>
            <w:vAlign w:val="center"/>
          </w:tcPr>
          <w:p w14:paraId="48B637E6">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加强安全教育</w:t>
            </w:r>
          </w:p>
        </w:tc>
      </w:tr>
      <w:tr w14:paraId="5E04C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772" w:type="dxa"/>
            <w:shd w:val="clear" w:color="auto" w:fill="auto"/>
            <w:noWrap w:val="0"/>
            <w:vAlign w:val="center"/>
          </w:tcPr>
          <w:p w14:paraId="7B5737DB">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15</w:t>
            </w:r>
          </w:p>
        </w:tc>
        <w:tc>
          <w:tcPr>
            <w:tcW w:w="1208" w:type="dxa"/>
            <w:vMerge w:val="continue"/>
            <w:shd w:val="clear" w:color="auto" w:fill="auto"/>
            <w:noWrap w:val="0"/>
            <w:vAlign w:val="center"/>
          </w:tcPr>
          <w:p w14:paraId="618AB50D">
            <w:pPr>
              <w:widowControl/>
              <w:spacing w:line="300" w:lineRule="exact"/>
              <w:ind w:firstLine="0" w:firstLineChars="0"/>
              <w:jc w:val="left"/>
              <w:rPr>
                <w:rFonts w:ascii="Times New Roman" w:hAnsi="Times New Roman" w:eastAsia="宋体" w:cs="Times New Roman"/>
                <w:color w:val="auto"/>
                <w:sz w:val="21"/>
                <w:szCs w:val="21"/>
              </w:rPr>
            </w:pPr>
          </w:p>
        </w:tc>
        <w:tc>
          <w:tcPr>
            <w:tcW w:w="1620" w:type="dxa"/>
            <w:shd w:val="clear" w:color="auto" w:fill="auto"/>
            <w:noWrap w:val="0"/>
            <w:vAlign w:val="center"/>
          </w:tcPr>
          <w:p w14:paraId="05259C23">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疲劳作业</w:t>
            </w:r>
          </w:p>
        </w:tc>
        <w:tc>
          <w:tcPr>
            <w:tcW w:w="1260" w:type="dxa"/>
            <w:shd w:val="clear" w:color="auto" w:fill="auto"/>
            <w:noWrap w:val="0"/>
            <w:vAlign w:val="center"/>
          </w:tcPr>
          <w:p w14:paraId="6589ABB1">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机械伤害、其它伤害</w:t>
            </w:r>
          </w:p>
        </w:tc>
        <w:tc>
          <w:tcPr>
            <w:tcW w:w="1260" w:type="dxa"/>
            <w:shd w:val="clear" w:color="auto" w:fill="auto"/>
            <w:noWrap w:val="0"/>
            <w:vAlign w:val="center"/>
          </w:tcPr>
          <w:p w14:paraId="2D726AF2">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曾经发生</w:t>
            </w:r>
          </w:p>
        </w:tc>
        <w:tc>
          <w:tcPr>
            <w:tcW w:w="1080" w:type="dxa"/>
            <w:shd w:val="clear" w:color="auto" w:fill="auto"/>
            <w:noWrap w:val="0"/>
            <w:vAlign w:val="center"/>
          </w:tcPr>
          <w:p w14:paraId="4165346E">
            <w:pPr>
              <w:spacing w:line="300" w:lineRule="exact"/>
              <w:ind w:firstLine="0" w:firstLineChars="0"/>
              <w:jc w:val="center"/>
              <w:rPr>
                <w:rFonts w:hint="eastAsia" w:ascii="Times New Roman" w:hAnsi="Times New Roman" w:eastAsia="宋体" w:cs="Times New Roman"/>
                <w:color w:val="auto"/>
                <w:sz w:val="21"/>
                <w:szCs w:val="21"/>
              </w:rPr>
            </w:pPr>
            <w:r>
              <w:rPr>
                <w:rFonts w:ascii="Times New Roman" w:hAnsi="Times New Roman" w:eastAsia="宋体" w:cs="Times New Roman"/>
                <w:color w:val="auto"/>
                <w:sz w:val="21"/>
                <w:szCs w:val="21"/>
              </w:rPr>
              <w:t>与员工</w:t>
            </w:r>
          </w:p>
          <w:p w14:paraId="7FDB19FA">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沟通</w:t>
            </w:r>
          </w:p>
        </w:tc>
        <w:tc>
          <w:tcPr>
            <w:tcW w:w="1080" w:type="dxa"/>
            <w:shd w:val="clear" w:color="auto" w:fill="auto"/>
            <w:noWrap w:val="0"/>
            <w:vAlign w:val="center"/>
          </w:tcPr>
          <w:p w14:paraId="74AE31A2">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胜任</w:t>
            </w:r>
          </w:p>
        </w:tc>
        <w:tc>
          <w:tcPr>
            <w:tcW w:w="1422" w:type="dxa"/>
            <w:shd w:val="clear" w:color="auto" w:fill="auto"/>
            <w:noWrap w:val="0"/>
            <w:vAlign w:val="center"/>
          </w:tcPr>
          <w:p w14:paraId="76A86778">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安排休息</w:t>
            </w:r>
          </w:p>
        </w:tc>
        <w:tc>
          <w:tcPr>
            <w:tcW w:w="592" w:type="dxa"/>
            <w:shd w:val="clear" w:color="auto" w:fill="auto"/>
            <w:noWrap w:val="0"/>
            <w:vAlign w:val="center"/>
          </w:tcPr>
          <w:p w14:paraId="08B346A6">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506" w:type="dxa"/>
            <w:shd w:val="clear" w:color="auto" w:fill="auto"/>
            <w:noWrap w:val="0"/>
            <w:vAlign w:val="center"/>
          </w:tcPr>
          <w:p w14:paraId="7EECED28">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w:t>
            </w:r>
          </w:p>
        </w:tc>
        <w:tc>
          <w:tcPr>
            <w:tcW w:w="540" w:type="dxa"/>
            <w:shd w:val="clear" w:color="auto" w:fill="auto"/>
            <w:noWrap w:val="0"/>
            <w:vAlign w:val="center"/>
          </w:tcPr>
          <w:p w14:paraId="7A34789D">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15</w:t>
            </w:r>
          </w:p>
        </w:tc>
        <w:tc>
          <w:tcPr>
            <w:tcW w:w="540" w:type="dxa"/>
            <w:shd w:val="clear" w:color="auto" w:fill="auto"/>
            <w:noWrap w:val="0"/>
            <w:vAlign w:val="center"/>
          </w:tcPr>
          <w:p w14:paraId="3AB05203">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30</w:t>
            </w:r>
          </w:p>
        </w:tc>
        <w:tc>
          <w:tcPr>
            <w:tcW w:w="720" w:type="dxa"/>
            <w:shd w:val="clear" w:color="auto" w:fill="0000FF"/>
            <w:noWrap w:val="0"/>
            <w:vAlign w:val="center"/>
          </w:tcPr>
          <w:p w14:paraId="0BDD9CEC">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B</w:t>
            </w:r>
          </w:p>
        </w:tc>
        <w:tc>
          <w:tcPr>
            <w:tcW w:w="1800" w:type="dxa"/>
            <w:noWrap w:val="0"/>
            <w:vAlign w:val="center"/>
          </w:tcPr>
          <w:p w14:paraId="2E57A793">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加强</w:t>
            </w:r>
            <w:r>
              <w:rPr>
                <w:rFonts w:hint="eastAsia" w:ascii="Times New Roman" w:hAnsi="Times New Roman" w:eastAsia="宋体" w:cs="Times New Roman"/>
                <w:color w:val="auto"/>
                <w:sz w:val="21"/>
                <w:szCs w:val="21"/>
              </w:rPr>
              <w:t>安全</w:t>
            </w:r>
            <w:r>
              <w:rPr>
                <w:rFonts w:ascii="Times New Roman" w:hAnsi="Times New Roman" w:eastAsia="宋体" w:cs="Times New Roman"/>
                <w:color w:val="auto"/>
                <w:sz w:val="21"/>
                <w:szCs w:val="21"/>
              </w:rPr>
              <w:t>教育</w:t>
            </w:r>
          </w:p>
        </w:tc>
      </w:tr>
      <w:tr w14:paraId="5A17F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772" w:type="dxa"/>
            <w:shd w:val="clear" w:color="auto" w:fill="auto"/>
            <w:noWrap w:val="0"/>
            <w:vAlign w:val="center"/>
          </w:tcPr>
          <w:p w14:paraId="7C2B348E">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16</w:t>
            </w:r>
          </w:p>
        </w:tc>
        <w:tc>
          <w:tcPr>
            <w:tcW w:w="1208" w:type="dxa"/>
            <w:vMerge w:val="continue"/>
            <w:shd w:val="clear" w:color="auto" w:fill="auto"/>
            <w:noWrap w:val="0"/>
            <w:vAlign w:val="center"/>
          </w:tcPr>
          <w:p w14:paraId="24A3142F">
            <w:pPr>
              <w:widowControl/>
              <w:spacing w:line="300" w:lineRule="exact"/>
              <w:ind w:firstLine="0" w:firstLineChars="0"/>
              <w:jc w:val="left"/>
              <w:rPr>
                <w:rFonts w:ascii="Times New Roman" w:hAnsi="Times New Roman" w:eastAsia="宋体" w:cs="Times New Roman"/>
                <w:color w:val="auto"/>
                <w:sz w:val="21"/>
                <w:szCs w:val="21"/>
              </w:rPr>
            </w:pPr>
          </w:p>
        </w:tc>
        <w:tc>
          <w:tcPr>
            <w:tcW w:w="1620" w:type="dxa"/>
            <w:shd w:val="clear" w:color="auto" w:fill="auto"/>
            <w:noWrap w:val="0"/>
            <w:vAlign w:val="center"/>
          </w:tcPr>
          <w:p w14:paraId="09178895">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心理异常</w:t>
            </w:r>
          </w:p>
        </w:tc>
        <w:tc>
          <w:tcPr>
            <w:tcW w:w="1260" w:type="dxa"/>
            <w:shd w:val="clear" w:color="auto" w:fill="auto"/>
            <w:noWrap w:val="0"/>
            <w:vAlign w:val="center"/>
          </w:tcPr>
          <w:p w14:paraId="382B9C2F">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机械伤害、其它伤害</w:t>
            </w:r>
          </w:p>
        </w:tc>
        <w:tc>
          <w:tcPr>
            <w:tcW w:w="1260" w:type="dxa"/>
            <w:shd w:val="clear" w:color="auto" w:fill="auto"/>
            <w:noWrap w:val="0"/>
            <w:vAlign w:val="center"/>
          </w:tcPr>
          <w:p w14:paraId="762F90EF">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曾经发生</w:t>
            </w:r>
          </w:p>
        </w:tc>
        <w:tc>
          <w:tcPr>
            <w:tcW w:w="1080" w:type="dxa"/>
            <w:shd w:val="clear" w:color="auto" w:fill="auto"/>
            <w:noWrap w:val="0"/>
            <w:vAlign w:val="center"/>
          </w:tcPr>
          <w:p w14:paraId="5CE4ED9A">
            <w:pPr>
              <w:spacing w:line="300" w:lineRule="exact"/>
              <w:ind w:firstLine="0" w:firstLineChars="0"/>
              <w:jc w:val="center"/>
              <w:rPr>
                <w:rFonts w:hint="eastAsia" w:ascii="Times New Roman" w:hAnsi="Times New Roman" w:eastAsia="宋体" w:cs="Times New Roman"/>
                <w:color w:val="auto"/>
                <w:sz w:val="21"/>
                <w:szCs w:val="21"/>
              </w:rPr>
            </w:pPr>
            <w:r>
              <w:rPr>
                <w:rFonts w:ascii="Times New Roman" w:hAnsi="Times New Roman" w:eastAsia="宋体" w:cs="Times New Roman"/>
                <w:color w:val="auto"/>
                <w:sz w:val="21"/>
                <w:szCs w:val="21"/>
              </w:rPr>
              <w:t>与员工</w:t>
            </w:r>
          </w:p>
          <w:p w14:paraId="0ECB94A2">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沟通</w:t>
            </w:r>
          </w:p>
        </w:tc>
        <w:tc>
          <w:tcPr>
            <w:tcW w:w="1080" w:type="dxa"/>
            <w:shd w:val="clear" w:color="auto" w:fill="auto"/>
            <w:noWrap w:val="0"/>
            <w:vAlign w:val="center"/>
          </w:tcPr>
          <w:p w14:paraId="7B893784">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胜任</w:t>
            </w:r>
          </w:p>
        </w:tc>
        <w:tc>
          <w:tcPr>
            <w:tcW w:w="1422" w:type="dxa"/>
            <w:shd w:val="clear" w:color="auto" w:fill="auto"/>
            <w:noWrap w:val="0"/>
            <w:vAlign w:val="center"/>
          </w:tcPr>
          <w:p w14:paraId="662BCF0F">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安排休息</w:t>
            </w:r>
          </w:p>
        </w:tc>
        <w:tc>
          <w:tcPr>
            <w:tcW w:w="592" w:type="dxa"/>
            <w:shd w:val="clear" w:color="auto" w:fill="auto"/>
            <w:noWrap w:val="0"/>
            <w:vAlign w:val="center"/>
          </w:tcPr>
          <w:p w14:paraId="6932FA19">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506" w:type="dxa"/>
            <w:shd w:val="clear" w:color="auto" w:fill="auto"/>
            <w:noWrap w:val="0"/>
            <w:vAlign w:val="center"/>
          </w:tcPr>
          <w:p w14:paraId="06F7154F">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540" w:type="dxa"/>
            <w:shd w:val="clear" w:color="auto" w:fill="auto"/>
            <w:noWrap w:val="0"/>
            <w:vAlign w:val="center"/>
          </w:tcPr>
          <w:p w14:paraId="50052715">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7</w:t>
            </w:r>
          </w:p>
        </w:tc>
        <w:tc>
          <w:tcPr>
            <w:tcW w:w="540" w:type="dxa"/>
            <w:shd w:val="clear" w:color="auto" w:fill="auto"/>
            <w:noWrap w:val="0"/>
            <w:vAlign w:val="center"/>
          </w:tcPr>
          <w:p w14:paraId="248DE3E9">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7</w:t>
            </w:r>
          </w:p>
        </w:tc>
        <w:tc>
          <w:tcPr>
            <w:tcW w:w="720" w:type="dxa"/>
            <w:shd w:val="clear" w:color="auto" w:fill="0000FF"/>
            <w:noWrap w:val="0"/>
            <w:vAlign w:val="center"/>
          </w:tcPr>
          <w:p w14:paraId="0CC6EA74">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A</w:t>
            </w:r>
          </w:p>
        </w:tc>
        <w:tc>
          <w:tcPr>
            <w:tcW w:w="1800" w:type="dxa"/>
            <w:noWrap w:val="0"/>
            <w:vAlign w:val="center"/>
          </w:tcPr>
          <w:p w14:paraId="57FA2DB0">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加强</w:t>
            </w:r>
            <w:r>
              <w:rPr>
                <w:rFonts w:hint="eastAsia" w:ascii="Times New Roman" w:hAnsi="Times New Roman" w:eastAsia="宋体" w:cs="Times New Roman"/>
                <w:color w:val="auto"/>
                <w:sz w:val="21"/>
                <w:szCs w:val="21"/>
              </w:rPr>
              <w:t>安全</w:t>
            </w:r>
            <w:r>
              <w:rPr>
                <w:rFonts w:ascii="Times New Roman" w:hAnsi="Times New Roman" w:eastAsia="宋体" w:cs="Times New Roman"/>
                <w:color w:val="auto"/>
                <w:sz w:val="21"/>
                <w:szCs w:val="21"/>
              </w:rPr>
              <w:t>教育</w:t>
            </w:r>
          </w:p>
        </w:tc>
      </w:tr>
    </w:tbl>
    <w:p w14:paraId="314586A9">
      <w:pPr>
        <w:bidi w:val="0"/>
        <w:ind w:left="0" w:leftChars="0" w:firstLine="0" w:firstLineChars="0"/>
        <w:jc w:val="center"/>
        <w:rPr>
          <w:rFonts w:hint="eastAsia"/>
          <w:color w:val="auto"/>
          <w:lang w:val="en-US" w:eastAsia="zh-CN"/>
        </w:rPr>
      </w:pPr>
      <w:r>
        <w:rPr>
          <w:rFonts w:hint="eastAsia"/>
          <w:color w:val="auto"/>
          <w:lang w:val="en-US" w:eastAsia="zh-CN"/>
        </w:rPr>
        <w:t>表5.6-3 管道工作业过程危险有害因素辨别与评价记录表</w:t>
      </w:r>
    </w:p>
    <w:tbl>
      <w:tblPr>
        <w:tblStyle w:val="19"/>
        <w:tblW w:w="143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8"/>
        <w:gridCol w:w="1080"/>
        <w:gridCol w:w="1800"/>
        <w:gridCol w:w="360"/>
        <w:gridCol w:w="1080"/>
        <w:gridCol w:w="1080"/>
        <w:gridCol w:w="1440"/>
        <w:gridCol w:w="900"/>
        <w:gridCol w:w="1422"/>
        <w:gridCol w:w="592"/>
        <w:gridCol w:w="567"/>
        <w:gridCol w:w="583"/>
        <w:gridCol w:w="595"/>
        <w:gridCol w:w="778"/>
        <w:gridCol w:w="1583"/>
      </w:tblGrid>
      <w:tr w14:paraId="38A7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468" w:type="dxa"/>
            <w:vMerge w:val="restart"/>
            <w:noWrap w:val="0"/>
            <w:vAlign w:val="center"/>
          </w:tcPr>
          <w:p w14:paraId="041148A0">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序号</w:t>
            </w:r>
          </w:p>
        </w:tc>
        <w:tc>
          <w:tcPr>
            <w:tcW w:w="1080" w:type="dxa"/>
            <w:vMerge w:val="restart"/>
            <w:noWrap w:val="0"/>
            <w:vAlign w:val="center"/>
          </w:tcPr>
          <w:p w14:paraId="7326E3C0">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工作步骤</w:t>
            </w:r>
          </w:p>
        </w:tc>
        <w:tc>
          <w:tcPr>
            <w:tcW w:w="2160" w:type="dxa"/>
            <w:gridSpan w:val="2"/>
            <w:vMerge w:val="restart"/>
            <w:noWrap w:val="0"/>
            <w:vAlign w:val="center"/>
          </w:tcPr>
          <w:p w14:paraId="76B462A4">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危险有害因素</w:t>
            </w:r>
          </w:p>
        </w:tc>
        <w:tc>
          <w:tcPr>
            <w:tcW w:w="1080" w:type="dxa"/>
            <w:vMerge w:val="restart"/>
            <w:noWrap w:val="0"/>
            <w:vAlign w:val="center"/>
          </w:tcPr>
          <w:p w14:paraId="269BDC61">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可能导致的事故</w:t>
            </w:r>
          </w:p>
        </w:tc>
        <w:tc>
          <w:tcPr>
            <w:tcW w:w="4842" w:type="dxa"/>
            <w:gridSpan w:val="4"/>
            <w:noWrap w:val="0"/>
            <w:vAlign w:val="center"/>
          </w:tcPr>
          <w:p w14:paraId="395C9306">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以往发生频率及现有安全措施</w:t>
            </w:r>
          </w:p>
        </w:tc>
        <w:tc>
          <w:tcPr>
            <w:tcW w:w="592" w:type="dxa"/>
            <w:vMerge w:val="restart"/>
            <w:noWrap w:val="0"/>
            <w:vAlign w:val="center"/>
          </w:tcPr>
          <w:p w14:paraId="1A7D4D0C">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L</w:t>
            </w:r>
          </w:p>
        </w:tc>
        <w:tc>
          <w:tcPr>
            <w:tcW w:w="567" w:type="dxa"/>
            <w:vMerge w:val="restart"/>
            <w:noWrap w:val="0"/>
            <w:vAlign w:val="center"/>
          </w:tcPr>
          <w:p w14:paraId="414A2B6D">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E</w:t>
            </w:r>
          </w:p>
        </w:tc>
        <w:tc>
          <w:tcPr>
            <w:tcW w:w="583" w:type="dxa"/>
            <w:vMerge w:val="restart"/>
            <w:noWrap w:val="0"/>
            <w:vAlign w:val="center"/>
          </w:tcPr>
          <w:p w14:paraId="39DFBECB">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C</w:t>
            </w:r>
          </w:p>
        </w:tc>
        <w:tc>
          <w:tcPr>
            <w:tcW w:w="595" w:type="dxa"/>
            <w:vMerge w:val="restart"/>
            <w:noWrap w:val="0"/>
            <w:vAlign w:val="center"/>
          </w:tcPr>
          <w:p w14:paraId="6913414D">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D</w:t>
            </w:r>
          </w:p>
        </w:tc>
        <w:tc>
          <w:tcPr>
            <w:tcW w:w="778" w:type="dxa"/>
            <w:vMerge w:val="restart"/>
            <w:noWrap w:val="0"/>
            <w:vAlign w:val="center"/>
          </w:tcPr>
          <w:p w14:paraId="75CE1C4F">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危险</w:t>
            </w:r>
          </w:p>
          <w:p w14:paraId="3F22BAB4">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等级</w:t>
            </w:r>
          </w:p>
        </w:tc>
        <w:tc>
          <w:tcPr>
            <w:tcW w:w="1583" w:type="dxa"/>
            <w:vMerge w:val="restart"/>
            <w:noWrap w:val="0"/>
            <w:vAlign w:val="center"/>
          </w:tcPr>
          <w:p w14:paraId="6600A154">
            <w:pPr>
              <w:spacing w:line="300" w:lineRule="exact"/>
              <w:ind w:firstLine="0" w:firstLineChars="0"/>
              <w:jc w:val="center"/>
              <w:rPr>
                <w:rFonts w:hint="eastAsia" w:ascii="Times New Roman" w:hAnsi="宋体" w:eastAsia="宋体" w:cs="Times New Roman"/>
                <w:color w:val="auto"/>
                <w:sz w:val="21"/>
                <w:szCs w:val="21"/>
              </w:rPr>
            </w:pPr>
            <w:r>
              <w:rPr>
                <w:rFonts w:ascii="Times New Roman" w:hAnsi="宋体" w:eastAsia="宋体" w:cs="Times New Roman"/>
                <w:color w:val="auto"/>
                <w:sz w:val="21"/>
                <w:szCs w:val="21"/>
              </w:rPr>
              <w:t>建议改正</w:t>
            </w:r>
          </w:p>
          <w:p w14:paraId="37E82933">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控制措施</w:t>
            </w:r>
          </w:p>
        </w:tc>
      </w:tr>
      <w:tr w14:paraId="2C496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468" w:type="dxa"/>
            <w:vMerge w:val="continue"/>
            <w:noWrap w:val="0"/>
            <w:vAlign w:val="center"/>
          </w:tcPr>
          <w:p w14:paraId="11657B76">
            <w:pPr>
              <w:widowControl/>
              <w:spacing w:line="300" w:lineRule="exact"/>
              <w:ind w:firstLine="0" w:firstLineChars="0"/>
              <w:jc w:val="left"/>
              <w:rPr>
                <w:rFonts w:ascii="Times New Roman" w:hAnsi="Times New Roman" w:eastAsia="宋体" w:cs="Times New Roman"/>
                <w:color w:val="auto"/>
                <w:sz w:val="21"/>
                <w:szCs w:val="21"/>
              </w:rPr>
            </w:pPr>
          </w:p>
        </w:tc>
        <w:tc>
          <w:tcPr>
            <w:tcW w:w="1080" w:type="dxa"/>
            <w:vMerge w:val="continue"/>
            <w:noWrap w:val="0"/>
            <w:vAlign w:val="center"/>
          </w:tcPr>
          <w:p w14:paraId="0B5F4E81">
            <w:pPr>
              <w:widowControl/>
              <w:spacing w:line="300" w:lineRule="exact"/>
              <w:ind w:firstLine="0" w:firstLineChars="0"/>
              <w:jc w:val="left"/>
              <w:rPr>
                <w:rFonts w:ascii="Times New Roman" w:hAnsi="Times New Roman" w:eastAsia="宋体" w:cs="Times New Roman"/>
                <w:color w:val="auto"/>
                <w:sz w:val="21"/>
                <w:szCs w:val="21"/>
              </w:rPr>
            </w:pPr>
          </w:p>
        </w:tc>
        <w:tc>
          <w:tcPr>
            <w:tcW w:w="2160" w:type="dxa"/>
            <w:gridSpan w:val="2"/>
            <w:vMerge w:val="continue"/>
            <w:noWrap w:val="0"/>
            <w:vAlign w:val="center"/>
          </w:tcPr>
          <w:p w14:paraId="2FDE7A3F">
            <w:pPr>
              <w:widowControl/>
              <w:spacing w:line="300" w:lineRule="exact"/>
              <w:ind w:firstLine="0" w:firstLineChars="0"/>
              <w:jc w:val="left"/>
              <w:rPr>
                <w:rFonts w:ascii="Times New Roman" w:hAnsi="Times New Roman" w:eastAsia="宋体" w:cs="Times New Roman"/>
                <w:color w:val="auto"/>
                <w:sz w:val="21"/>
                <w:szCs w:val="21"/>
              </w:rPr>
            </w:pPr>
          </w:p>
        </w:tc>
        <w:tc>
          <w:tcPr>
            <w:tcW w:w="1080" w:type="dxa"/>
            <w:vMerge w:val="continue"/>
            <w:noWrap w:val="0"/>
            <w:vAlign w:val="center"/>
          </w:tcPr>
          <w:p w14:paraId="4BFDAC0E">
            <w:pPr>
              <w:widowControl/>
              <w:spacing w:line="300" w:lineRule="exact"/>
              <w:ind w:firstLine="0" w:firstLineChars="0"/>
              <w:jc w:val="left"/>
              <w:rPr>
                <w:rFonts w:ascii="Times New Roman" w:hAnsi="Times New Roman" w:eastAsia="宋体" w:cs="Times New Roman"/>
                <w:color w:val="auto"/>
                <w:sz w:val="21"/>
                <w:szCs w:val="21"/>
              </w:rPr>
            </w:pPr>
          </w:p>
        </w:tc>
        <w:tc>
          <w:tcPr>
            <w:tcW w:w="1080" w:type="dxa"/>
            <w:noWrap w:val="0"/>
            <w:vAlign w:val="center"/>
          </w:tcPr>
          <w:p w14:paraId="3153B0AE">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偏差发生频率</w:t>
            </w:r>
          </w:p>
        </w:tc>
        <w:tc>
          <w:tcPr>
            <w:tcW w:w="1440" w:type="dxa"/>
            <w:noWrap w:val="0"/>
            <w:vAlign w:val="center"/>
          </w:tcPr>
          <w:p w14:paraId="704C4793">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管理措施</w:t>
            </w:r>
          </w:p>
        </w:tc>
        <w:tc>
          <w:tcPr>
            <w:tcW w:w="900" w:type="dxa"/>
            <w:noWrap w:val="0"/>
            <w:vAlign w:val="center"/>
          </w:tcPr>
          <w:p w14:paraId="3255796A">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员工</w:t>
            </w:r>
          </w:p>
          <w:p w14:paraId="3F1B376C">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胜任度</w:t>
            </w:r>
          </w:p>
        </w:tc>
        <w:tc>
          <w:tcPr>
            <w:tcW w:w="1422" w:type="dxa"/>
            <w:noWrap w:val="0"/>
            <w:vAlign w:val="center"/>
          </w:tcPr>
          <w:p w14:paraId="2A976813">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安全措施</w:t>
            </w:r>
          </w:p>
        </w:tc>
        <w:tc>
          <w:tcPr>
            <w:tcW w:w="0" w:type="auto"/>
            <w:vMerge w:val="continue"/>
            <w:noWrap w:val="0"/>
            <w:vAlign w:val="center"/>
          </w:tcPr>
          <w:p w14:paraId="45D2B9A7">
            <w:pPr>
              <w:widowControl/>
              <w:spacing w:line="300" w:lineRule="exact"/>
              <w:ind w:firstLine="0" w:firstLineChars="0"/>
              <w:jc w:val="left"/>
              <w:rPr>
                <w:rFonts w:ascii="Times New Roman" w:hAnsi="Times New Roman" w:eastAsia="宋体" w:cs="Times New Roman"/>
                <w:color w:val="auto"/>
                <w:sz w:val="21"/>
                <w:szCs w:val="21"/>
              </w:rPr>
            </w:pPr>
          </w:p>
        </w:tc>
        <w:tc>
          <w:tcPr>
            <w:tcW w:w="0" w:type="auto"/>
            <w:vMerge w:val="continue"/>
            <w:noWrap w:val="0"/>
            <w:vAlign w:val="center"/>
          </w:tcPr>
          <w:p w14:paraId="37EA4E2D">
            <w:pPr>
              <w:widowControl/>
              <w:spacing w:line="300" w:lineRule="exact"/>
              <w:ind w:firstLine="0" w:firstLineChars="0"/>
              <w:jc w:val="left"/>
              <w:rPr>
                <w:rFonts w:ascii="Times New Roman" w:hAnsi="Times New Roman" w:eastAsia="宋体" w:cs="Times New Roman"/>
                <w:color w:val="auto"/>
                <w:sz w:val="21"/>
                <w:szCs w:val="21"/>
              </w:rPr>
            </w:pPr>
          </w:p>
        </w:tc>
        <w:tc>
          <w:tcPr>
            <w:tcW w:w="0" w:type="auto"/>
            <w:vMerge w:val="continue"/>
            <w:noWrap w:val="0"/>
            <w:vAlign w:val="center"/>
          </w:tcPr>
          <w:p w14:paraId="7FBD4795">
            <w:pPr>
              <w:widowControl/>
              <w:spacing w:line="300" w:lineRule="exact"/>
              <w:ind w:firstLine="0" w:firstLineChars="0"/>
              <w:jc w:val="left"/>
              <w:rPr>
                <w:rFonts w:ascii="Times New Roman" w:hAnsi="Times New Roman" w:eastAsia="宋体" w:cs="Times New Roman"/>
                <w:color w:val="auto"/>
                <w:sz w:val="21"/>
                <w:szCs w:val="21"/>
              </w:rPr>
            </w:pPr>
          </w:p>
        </w:tc>
        <w:tc>
          <w:tcPr>
            <w:tcW w:w="0" w:type="auto"/>
            <w:vMerge w:val="continue"/>
            <w:noWrap w:val="0"/>
            <w:vAlign w:val="center"/>
          </w:tcPr>
          <w:p w14:paraId="566672EB">
            <w:pPr>
              <w:widowControl/>
              <w:spacing w:line="300" w:lineRule="exact"/>
              <w:ind w:firstLine="0" w:firstLineChars="0"/>
              <w:jc w:val="left"/>
              <w:rPr>
                <w:rFonts w:ascii="Times New Roman" w:hAnsi="Times New Roman" w:eastAsia="宋体" w:cs="Times New Roman"/>
                <w:color w:val="auto"/>
                <w:sz w:val="21"/>
                <w:szCs w:val="21"/>
              </w:rPr>
            </w:pPr>
          </w:p>
        </w:tc>
        <w:tc>
          <w:tcPr>
            <w:tcW w:w="0" w:type="auto"/>
            <w:vMerge w:val="continue"/>
            <w:tcBorders>
              <w:bottom w:val="single" w:color="auto" w:sz="4" w:space="0"/>
            </w:tcBorders>
            <w:noWrap w:val="0"/>
            <w:vAlign w:val="center"/>
          </w:tcPr>
          <w:p w14:paraId="1FC9E42A">
            <w:pPr>
              <w:widowControl/>
              <w:spacing w:line="300" w:lineRule="exact"/>
              <w:ind w:firstLine="0" w:firstLineChars="0"/>
              <w:jc w:val="left"/>
              <w:rPr>
                <w:rFonts w:ascii="Times New Roman" w:hAnsi="Times New Roman" w:eastAsia="宋体" w:cs="Times New Roman"/>
                <w:color w:val="auto"/>
                <w:sz w:val="21"/>
                <w:szCs w:val="21"/>
              </w:rPr>
            </w:pPr>
          </w:p>
        </w:tc>
        <w:tc>
          <w:tcPr>
            <w:tcW w:w="1583" w:type="dxa"/>
            <w:vMerge w:val="continue"/>
            <w:noWrap w:val="0"/>
            <w:vAlign w:val="center"/>
          </w:tcPr>
          <w:p w14:paraId="076A8682">
            <w:pPr>
              <w:widowControl/>
              <w:spacing w:line="300" w:lineRule="exact"/>
              <w:ind w:firstLine="0" w:firstLineChars="0"/>
              <w:jc w:val="left"/>
              <w:rPr>
                <w:rFonts w:ascii="Times New Roman" w:hAnsi="Times New Roman" w:eastAsia="宋体" w:cs="Times New Roman"/>
                <w:color w:val="auto"/>
                <w:sz w:val="21"/>
                <w:szCs w:val="21"/>
              </w:rPr>
            </w:pPr>
          </w:p>
        </w:tc>
      </w:tr>
      <w:tr w14:paraId="42C2D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468" w:type="dxa"/>
            <w:shd w:val="clear" w:color="auto" w:fill="auto"/>
            <w:noWrap w:val="0"/>
            <w:vAlign w:val="center"/>
          </w:tcPr>
          <w:p w14:paraId="77C63993">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1080" w:type="dxa"/>
            <w:vMerge w:val="restart"/>
            <w:shd w:val="clear" w:color="auto" w:fill="auto"/>
            <w:noWrap w:val="0"/>
            <w:vAlign w:val="center"/>
          </w:tcPr>
          <w:p w14:paraId="0687BE33">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作业环境检查</w:t>
            </w:r>
          </w:p>
        </w:tc>
        <w:tc>
          <w:tcPr>
            <w:tcW w:w="2160" w:type="dxa"/>
            <w:gridSpan w:val="2"/>
            <w:shd w:val="clear" w:color="auto" w:fill="auto"/>
            <w:noWrap w:val="0"/>
            <w:vAlign w:val="center"/>
          </w:tcPr>
          <w:p w14:paraId="0A65BE41">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雷电、暴雨、台风、大雪</w:t>
            </w:r>
          </w:p>
        </w:tc>
        <w:tc>
          <w:tcPr>
            <w:tcW w:w="1080" w:type="dxa"/>
            <w:shd w:val="clear" w:color="auto" w:fill="auto"/>
            <w:noWrap w:val="0"/>
            <w:vAlign w:val="center"/>
          </w:tcPr>
          <w:p w14:paraId="24312850">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人身伤害</w:t>
            </w:r>
          </w:p>
        </w:tc>
        <w:tc>
          <w:tcPr>
            <w:tcW w:w="1080" w:type="dxa"/>
            <w:shd w:val="clear" w:color="auto" w:fill="auto"/>
            <w:noWrap w:val="0"/>
            <w:vAlign w:val="center"/>
          </w:tcPr>
          <w:p w14:paraId="0FF06096">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曾经发生</w:t>
            </w:r>
          </w:p>
        </w:tc>
        <w:tc>
          <w:tcPr>
            <w:tcW w:w="1440" w:type="dxa"/>
            <w:shd w:val="clear" w:color="auto" w:fill="auto"/>
            <w:noWrap w:val="0"/>
            <w:vAlign w:val="center"/>
          </w:tcPr>
          <w:p w14:paraId="07AEA352">
            <w:pPr>
              <w:spacing w:line="300" w:lineRule="exact"/>
              <w:ind w:firstLine="0" w:firstLineChars="0"/>
              <w:jc w:val="center"/>
              <w:rPr>
                <w:rFonts w:hint="eastAsia" w:ascii="Times New Roman" w:hAnsi="宋体" w:eastAsia="宋体" w:cs="Times New Roman"/>
                <w:color w:val="auto"/>
                <w:sz w:val="21"/>
                <w:szCs w:val="21"/>
              </w:rPr>
            </w:pPr>
            <w:r>
              <w:rPr>
                <w:rFonts w:ascii="Times New Roman" w:hAnsi="宋体" w:eastAsia="宋体" w:cs="Times New Roman"/>
                <w:color w:val="auto"/>
                <w:sz w:val="21"/>
                <w:szCs w:val="21"/>
              </w:rPr>
              <w:t>执行</w:t>
            </w:r>
          </w:p>
          <w:p w14:paraId="5AEC7228">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操作规程</w:t>
            </w:r>
          </w:p>
        </w:tc>
        <w:tc>
          <w:tcPr>
            <w:tcW w:w="900" w:type="dxa"/>
            <w:shd w:val="clear" w:color="auto" w:fill="auto"/>
            <w:noWrap w:val="0"/>
            <w:vAlign w:val="center"/>
          </w:tcPr>
          <w:p w14:paraId="4A542C68">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胜任</w:t>
            </w:r>
          </w:p>
        </w:tc>
        <w:tc>
          <w:tcPr>
            <w:tcW w:w="1422" w:type="dxa"/>
            <w:shd w:val="clear" w:color="auto" w:fill="auto"/>
            <w:noWrap w:val="0"/>
            <w:vAlign w:val="center"/>
          </w:tcPr>
          <w:p w14:paraId="22E95762">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设置防雷电保护设施</w:t>
            </w:r>
          </w:p>
        </w:tc>
        <w:tc>
          <w:tcPr>
            <w:tcW w:w="592" w:type="dxa"/>
            <w:shd w:val="clear" w:color="auto" w:fill="auto"/>
            <w:noWrap w:val="0"/>
            <w:vAlign w:val="center"/>
          </w:tcPr>
          <w:p w14:paraId="0B4D65C2">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5</w:t>
            </w:r>
          </w:p>
        </w:tc>
        <w:tc>
          <w:tcPr>
            <w:tcW w:w="567" w:type="dxa"/>
            <w:shd w:val="clear" w:color="auto" w:fill="auto"/>
            <w:noWrap w:val="0"/>
            <w:vAlign w:val="center"/>
          </w:tcPr>
          <w:p w14:paraId="77F74374">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583" w:type="dxa"/>
            <w:shd w:val="clear" w:color="auto" w:fill="auto"/>
            <w:noWrap w:val="0"/>
            <w:vAlign w:val="center"/>
          </w:tcPr>
          <w:p w14:paraId="531CC932">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7</w:t>
            </w:r>
          </w:p>
        </w:tc>
        <w:tc>
          <w:tcPr>
            <w:tcW w:w="595" w:type="dxa"/>
            <w:shd w:val="clear" w:color="auto" w:fill="auto"/>
            <w:noWrap w:val="0"/>
            <w:vAlign w:val="center"/>
          </w:tcPr>
          <w:p w14:paraId="5EBF620B">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35</w:t>
            </w:r>
          </w:p>
        </w:tc>
        <w:tc>
          <w:tcPr>
            <w:tcW w:w="778" w:type="dxa"/>
            <w:shd w:val="clear" w:color="auto" w:fill="0000FF"/>
            <w:noWrap w:val="0"/>
            <w:vAlign w:val="center"/>
          </w:tcPr>
          <w:p w14:paraId="5B0B4633">
            <w:pPr>
              <w:widowControl/>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B</w:t>
            </w:r>
          </w:p>
        </w:tc>
        <w:tc>
          <w:tcPr>
            <w:tcW w:w="1583" w:type="dxa"/>
            <w:noWrap w:val="0"/>
            <w:vAlign w:val="center"/>
          </w:tcPr>
          <w:p w14:paraId="1A1F998F">
            <w:pPr>
              <w:spacing w:line="300" w:lineRule="exact"/>
              <w:ind w:firstLine="0" w:firstLineChars="0"/>
              <w:jc w:val="center"/>
              <w:rPr>
                <w:rFonts w:ascii="Times New Roman" w:hAnsi="Times New Roman" w:eastAsia="宋体" w:cs="Times New Roman"/>
                <w:color w:val="auto"/>
                <w:sz w:val="21"/>
                <w:szCs w:val="21"/>
              </w:rPr>
            </w:pPr>
          </w:p>
        </w:tc>
      </w:tr>
      <w:tr w14:paraId="2CBC4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468" w:type="dxa"/>
            <w:shd w:val="clear" w:color="auto" w:fill="auto"/>
            <w:noWrap w:val="0"/>
            <w:vAlign w:val="center"/>
          </w:tcPr>
          <w:p w14:paraId="459BC57F">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w:t>
            </w:r>
          </w:p>
        </w:tc>
        <w:tc>
          <w:tcPr>
            <w:tcW w:w="1080" w:type="dxa"/>
            <w:vMerge w:val="continue"/>
            <w:shd w:val="clear" w:color="auto" w:fill="auto"/>
            <w:noWrap w:val="0"/>
            <w:vAlign w:val="center"/>
          </w:tcPr>
          <w:p w14:paraId="3FCF181B">
            <w:pPr>
              <w:widowControl/>
              <w:spacing w:line="300" w:lineRule="exact"/>
              <w:ind w:firstLine="0" w:firstLineChars="0"/>
              <w:jc w:val="left"/>
              <w:rPr>
                <w:rFonts w:ascii="Times New Roman" w:hAnsi="Times New Roman" w:eastAsia="宋体" w:cs="Times New Roman"/>
                <w:color w:val="auto"/>
                <w:sz w:val="21"/>
                <w:szCs w:val="21"/>
              </w:rPr>
            </w:pPr>
          </w:p>
        </w:tc>
        <w:tc>
          <w:tcPr>
            <w:tcW w:w="2160" w:type="dxa"/>
            <w:gridSpan w:val="2"/>
            <w:shd w:val="clear" w:color="auto" w:fill="auto"/>
            <w:noWrap w:val="0"/>
            <w:vAlign w:val="center"/>
          </w:tcPr>
          <w:p w14:paraId="5E14405D">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动物伤害</w:t>
            </w:r>
          </w:p>
        </w:tc>
        <w:tc>
          <w:tcPr>
            <w:tcW w:w="1080" w:type="dxa"/>
            <w:shd w:val="clear" w:color="auto" w:fill="auto"/>
            <w:noWrap w:val="0"/>
            <w:vAlign w:val="center"/>
          </w:tcPr>
          <w:p w14:paraId="7EE75415">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人身伤害</w:t>
            </w:r>
          </w:p>
        </w:tc>
        <w:tc>
          <w:tcPr>
            <w:tcW w:w="1080" w:type="dxa"/>
            <w:shd w:val="clear" w:color="auto" w:fill="auto"/>
            <w:noWrap w:val="0"/>
            <w:vAlign w:val="center"/>
          </w:tcPr>
          <w:p w14:paraId="16DF6EE0">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曾经发生</w:t>
            </w:r>
          </w:p>
        </w:tc>
        <w:tc>
          <w:tcPr>
            <w:tcW w:w="1440" w:type="dxa"/>
            <w:shd w:val="clear" w:color="auto" w:fill="auto"/>
            <w:noWrap w:val="0"/>
            <w:vAlign w:val="center"/>
          </w:tcPr>
          <w:p w14:paraId="15DD829E">
            <w:pPr>
              <w:spacing w:line="300" w:lineRule="exact"/>
              <w:ind w:firstLine="0" w:firstLineChars="0"/>
              <w:jc w:val="center"/>
              <w:rPr>
                <w:rFonts w:hint="eastAsia" w:ascii="Times New Roman" w:hAnsi="宋体" w:eastAsia="宋体" w:cs="Times New Roman"/>
                <w:color w:val="auto"/>
                <w:sz w:val="21"/>
                <w:szCs w:val="21"/>
              </w:rPr>
            </w:pPr>
            <w:r>
              <w:rPr>
                <w:rFonts w:ascii="Times New Roman" w:hAnsi="宋体" w:eastAsia="宋体" w:cs="Times New Roman"/>
                <w:color w:val="auto"/>
                <w:sz w:val="21"/>
                <w:szCs w:val="21"/>
              </w:rPr>
              <w:t>执行</w:t>
            </w:r>
          </w:p>
          <w:p w14:paraId="4AB9C3F5">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操作规程</w:t>
            </w:r>
          </w:p>
        </w:tc>
        <w:tc>
          <w:tcPr>
            <w:tcW w:w="900" w:type="dxa"/>
            <w:shd w:val="clear" w:color="auto" w:fill="auto"/>
            <w:noWrap w:val="0"/>
            <w:vAlign w:val="center"/>
          </w:tcPr>
          <w:p w14:paraId="3ED59653">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胜任</w:t>
            </w:r>
          </w:p>
        </w:tc>
        <w:tc>
          <w:tcPr>
            <w:tcW w:w="1422" w:type="dxa"/>
            <w:shd w:val="clear" w:color="auto" w:fill="auto"/>
            <w:noWrap w:val="0"/>
            <w:vAlign w:val="center"/>
          </w:tcPr>
          <w:p w14:paraId="26C40EEB">
            <w:pPr>
              <w:spacing w:line="300" w:lineRule="exact"/>
              <w:ind w:firstLine="0" w:firstLineChars="0"/>
              <w:jc w:val="center"/>
              <w:rPr>
                <w:rFonts w:hint="eastAsia" w:ascii="Times New Roman" w:hAnsi="宋体" w:eastAsia="宋体" w:cs="Times New Roman"/>
                <w:color w:val="auto"/>
                <w:sz w:val="21"/>
                <w:szCs w:val="21"/>
              </w:rPr>
            </w:pPr>
            <w:r>
              <w:rPr>
                <w:rFonts w:ascii="Times New Roman" w:hAnsi="宋体" w:eastAsia="宋体" w:cs="Times New Roman"/>
                <w:color w:val="auto"/>
                <w:sz w:val="21"/>
                <w:szCs w:val="21"/>
              </w:rPr>
              <w:t>穿戴好</w:t>
            </w:r>
          </w:p>
          <w:p w14:paraId="764CF209">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劳保用品</w:t>
            </w:r>
          </w:p>
        </w:tc>
        <w:tc>
          <w:tcPr>
            <w:tcW w:w="592" w:type="dxa"/>
            <w:shd w:val="clear" w:color="auto" w:fill="auto"/>
            <w:noWrap w:val="0"/>
            <w:vAlign w:val="center"/>
          </w:tcPr>
          <w:p w14:paraId="42CC562A">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567" w:type="dxa"/>
            <w:shd w:val="clear" w:color="auto" w:fill="auto"/>
            <w:noWrap w:val="0"/>
            <w:vAlign w:val="center"/>
          </w:tcPr>
          <w:p w14:paraId="2CCB9254">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583" w:type="dxa"/>
            <w:shd w:val="clear" w:color="auto" w:fill="auto"/>
            <w:noWrap w:val="0"/>
            <w:vAlign w:val="center"/>
          </w:tcPr>
          <w:p w14:paraId="7C449269">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595" w:type="dxa"/>
            <w:shd w:val="clear" w:color="auto" w:fill="auto"/>
            <w:noWrap w:val="0"/>
            <w:vAlign w:val="center"/>
          </w:tcPr>
          <w:p w14:paraId="6BEF09F9">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9</w:t>
            </w:r>
          </w:p>
        </w:tc>
        <w:tc>
          <w:tcPr>
            <w:tcW w:w="778" w:type="dxa"/>
            <w:shd w:val="clear" w:color="auto" w:fill="0000FF"/>
            <w:noWrap w:val="0"/>
            <w:vAlign w:val="center"/>
          </w:tcPr>
          <w:p w14:paraId="7F304B79">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A</w:t>
            </w:r>
          </w:p>
        </w:tc>
        <w:tc>
          <w:tcPr>
            <w:tcW w:w="1583" w:type="dxa"/>
            <w:noWrap w:val="0"/>
            <w:vAlign w:val="center"/>
          </w:tcPr>
          <w:p w14:paraId="68FB34BB">
            <w:pPr>
              <w:spacing w:line="300" w:lineRule="exact"/>
              <w:ind w:firstLine="0" w:firstLineChars="0"/>
              <w:jc w:val="center"/>
              <w:rPr>
                <w:rFonts w:ascii="Times New Roman" w:hAnsi="Times New Roman" w:eastAsia="宋体" w:cs="Times New Roman"/>
                <w:color w:val="auto"/>
                <w:sz w:val="21"/>
                <w:szCs w:val="21"/>
              </w:rPr>
            </w:pPr>
          </w:p>
        </w:tc>
      </w:tr>
      <w:tr w14:paraId="49DA47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468" w:type="dxa"/>
            <w:shd w:val="clear" w:color="auto" w:fill="auto"/>
            <w:noWrap w:val="0"/>
            <w:vAlign w:val="center"/>
          </w:tcPr>
          <w:p w14:paraId="4411EB61">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1080" w:type="dxa"/>
            <w:vMerge w:val="continue"/>
            <w:shd w:val="clear" w:color="auto" w:fill="auto"/>
            <w:noWrap w:val="0"/>
            <w:vAlign w:val="center"/>
          </w:tcPr>
          <w:p w14:paraId="1C8032BA">
            <w:pPr>
              <w:widowControl/>
              <w:spacing w:line="300" w:lineRule="exact"/>
              <w:ind w:firstLine="0" w:firstLineChars="0"/>
              <w:jc w:val="left"/>
              <w:rPr>
                <w:rFonts w:ascii="Times New Roman" w:hAnsi="Times New Roman" w:eastAsia="宋体" w:cs="Times New Roman"/>
                <w:color w:val="auto"/>
                <w:sz w:val="21"/>
                <w:szCs w:val="21"/>
              </w:rPr>
            </w:pPr>
          </w:p>
        </w:tc>
        <w:tc>
          <w:tcPr>
            <w:tcW w:w="2160" w:type="dxa"/>
            <w:gridSpan w:val="2"/>
            <w:shd w:val="clear" w:color="auto" w:fill="auto"/>
            <w:noWrap w:val="0"/>
            <w:vAlign w:val="center"/>
          </w:tcPr>
          <w:p w14:paraId="0E31D424">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沙尘</w:t>
            </w:r>
          </w:p>
        </w:tc>
        <w:tc>
          <w:tcPr>
            <w:tcW w:w="1080" w:type="dxa"/>
            <w:shd w:val="clear" w:color="auto" w:fill="auto"/>
            <w:noWrap w:val="0"/>
            <w:vAlign w:val="center"/>
          </w:tcPr>
          <w:p w14:paraId="2F48928C">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粉尘危害</w:t>
            </w:r>
          </w:p>
        </w:tc>
        <w:tc>
          <w:tcPr>
            <w:tcW w:w="1080" w:type="dxa"/>
            <w:shd w:val="clear" w:color="auto" w:fill="auto"/>
            <w:noWrap w:val="0"/>
            <w:vAlign w:val="center"/>
          </w:tcPr>
          <w:p w14:paraId="40DC9569">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经常发生</w:t>
            </w:r>
          </w:p>
        </w:tc>
        <w:tc>
          <w:tcPr>
            <w:tcW w:w="1440" w:type="dxa"/>
            <w:shd w:val="clear" w:color="auto" w:fill="auto"/>
            <w:noWrap w:val="0"/>
            <w:vAlign w:val="center"/>
          </w:tcPr>
          <w:p w14:paraId="73156E07">
            <w:pPr>
              <w:spacing w:line="300" w:lineRule="exact"/>
              <w:ind w:firstLine="0" w:firstLineChars="0"/>
              <w:jc w:val="center"/>
              <w:rPr>
                <w:rFonts w:hint="eastAsia" w:ascii="Times New Roman" w:hAnsi="宋体" w:eastAsia="宋体" w:cs="Times New Roman"/>
                <w:color w:val="auto"/>
                <w:sz w:val="21"/>
                <w:szCs w:val="21"/>
              </w:rPr>
            </w:pPr>
            <w:r>
              <w:rPr>
                <w:rFonts w:ascii="Times New Roman" w:hAnsi="宋体" w:eastAsia="宋体" w:cs="Times New Roman"/>
                <w:color w:val="auto"/>
                <w:sz w:val="21"/>
                <w:szCs w:val="21"/>
              </w:rPr>
              <w:t>执行</w:t>
            </w:r>
          </w:p>
          <w:p w14:paraId="72664C58">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操作规程</w:t>
            </w:r>
          </w:p>
        </w:tc>
        <w:tc>
          <w:tcPr>
            <w:tcW w:w="900" w:type="dxa"/>
            <w:shd w:val="clear" w:color="auto" w:fill="auto"/>
            <w:noWrap w:val="0"/>
            <w:vAlign w:val="center"/>
          </w:tcPr>
          <w:p w14:paraId="100A43A9">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胜任</w:t>
            </w:r>
          </w:p>
        </w:tc>
        <w:tc>
          <w:tcPr>
            <w:tcW w:w="1422" w:type="dxa"/>
            <w:shd w:val="clear" w:color="auto" w:fill="auto"/>
            <w:noWrap w:val="0"/>
            <w:vAlign w:val="center"/>
          </w:tcPr>
          <w:p w14:paraId="3C16CA0D">
            <w:pPr>
              <w:spacing w:line="300" w:lineRule="exact"/>
              <w:ind w:firstLine="0" w:firstLineChars="0"/>
              <w:jc w:val="center"/>
              <w:rPr>
                <w:rFonts w:hint="eastAsia" w:ascii="Times New Roman" w:hAnsi="宋体" w:eastAsia="宋体" w:cs="Times New Roman"/>
                <w:color w:val="auto"/>
                <w:sz w:val="21"/>
                <w:szCs w:val="21"/>
              </w:rPr>
            </w:pPr>
            <w:r>
              <w:rPr>
                <w:rFonts w:ascii="Times New Roman" w:hAnsi="宋体" w:eastAsia="宋体" w:cs="Times New Roman"/>
                <w:color w:val="auto"/>
                <w:sz w:val="21"/>
                <w:szCs w:val="21"/>
              </w:rPr>
              <w:t>穿戴好</w:t>
            </w:r>
          </w:p>
          <w:p w14:paraId="7CCCBA39">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劳保用品</w:t>
            </w:r>
          </w:p>
        </w:tc>
        <w:tc>
          <w:tcPr>
            <w:tcW w:w="592" w:type="dxa"/>
            <w:shd w:val="clear" w:color="auto" w:fill="auto"/>
            <w:noWrap w:val="0"/>
            <w:vAlign w:val="center"/>
          </w:tcPr>
          <w:p w14:paraId="42A79180">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10</w:t>
            </w:r>
          </w:p>
        </w:tc>
        <w:tc>
          <w:tcPr>
            <w:tcW w:w="567" w:type="dxa"/>
            <w:shd w:val="clear" w:color="auto" w:fill="auto"/>
            <w:noWrap w:val="0"/>
            <w:vAlign w:val="center"/>
          </w:tcPr>
          <w:p w14:paraId="5119232E">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583" w:type="dxa"/>
            <w:shd w:val="clear" w:color="auto" w:fill="auto"/>
            <w:noWrap w:val="0"/>
            <w:vAlign w:val="center"/>
          </w:tcPr>
          <w:p w14:paraId="4D4A4EA7">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595" w:type="dxa"/>
            <w:shd w:val="clear" w:color="auto" w:fill="auto"/>
            <w:noWrap w:val="0"/>
            <w:vAlign w:val="center"/>
          </w:tcPr>
          <w:p w14:paraId="042653F8">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30</w:t>
            </w:r>
          </w:p>
        </w:tc>
        <w:tc>
          <w:tcPr>
            <w:tcW w:w="778" w:type="dxa"/>
            <w:shd w:val="clear" w:color="auto" w:fill="0000FF"/>
            <w:noWrap w:val="0"/>
            <w:vAlign w:val="center"/>
          </w:tcPr>
          <w:p w14:paraId="411CF62C">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B</w:t>
            </w:r>
          </w:p>
        </w:tc>
        <w:tc>
          <w:tcPr>
            <w:tcW w:w="1583" w:type="dxa"/>
            <w:noWrap w:val="0"/>
            <w:vAlign w:val="center"/>
          </w:tcPr>
          <w:p w14:paraId="7962688B">
            <w:pPr>
              <w:spacing w:line="300" w:lineRule="exact"/>
              <w:ind w:firstLine="0" w:firstLineChars="0"/>
              <w:jc w:val="center"/>
              <w:rPr>
                <w:rFonts w:hint="eastAsia" w:ascii="Times New Roman" w:hAnsi="宋体" w:eastAsia="宋体" w:cs="Times New Roman"/>
                <w:color w:val="auto"/>
                <w:sz w:val="21"/>
                <w:szCs w:val="21"/>
              </w:rPr>
            </w:pPr>
            <w:r>
              <w:rPr>
                <w:rFonts w:ascii="Times New Roman" w:hAnsi="宋体" w:eastAsia="宋体" w:cs="Times New Roman"/>
                <w:color w:val="auto"/>
                <w:sz w:val="21"/>
                <w:szCs w:val="21"/>
              </w:rPr>
              <w:t>完善降尘设施、</w:t>
            </w:r>
          </w:p>
          <w:p w14:paraId="26F380DB">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个体防护</w:t>
            </w:r>
          </w:p>
        </w:tc>
      </w:tr>
      <w:tr w14:paraId="052E3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468" w:type="dxa"/>
            <w:shd w:val="clear" w:color="auto" w:fill="auto"/>
            <w:noWrap w:val="0"/>
            <w:vAlign w:val="center"/>
          </w:tcPr>
          <w:p w14:paraId="3A043FFE">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4</w:t>
            </w:r>
          </w:p>
        </w:tc>
        <w:tc>
          <w:tcPr>
            <w:tcW w:w="1080" w:type="dxa"/>
            <w:vMerge w:val="continue"/>
            <w:shd w:val="clear" w:color="auto" w:fill="auto"/>
            <w:noWrap w:val="0"/>
            <w:vAlign w:val="center"/>
          </w:tcPr>
          <w:p w14:paraId="64FECE7C">
            <w:pPr>
              <w:widowControl/>
              <w:spacing w:line="300" w:lineRule="exact"/>
              <w:ind w:firstLine="0" w:firstLineChars="0"/>
              <w:jc w:val="left"/>
              <w:rPr>
                <w:rFonts w:ascii="Times New Roman" w:hAnsi="Times New Roman" w:eastAsia="宋体" w:cs="Times New Roman"/>
                <w:color w:val="auto"/>
                <w:sz w:val="21"/>
                <w:szCs w:val="21"/>
              </w:rPr>
            </w:pPr>
          </w:p>
        </w:tc>
        <w:tc>
          <w:tcPr>
            <w:tcW w:w="2160" w:type="dxa"/>
            <w:gridSpan w:val="2"/>
            <w:shd w:val="clear" w:color="auto" w:fill="auto"/>
            <w:noWrap w:val="0"/>
            <w:vAlign w:val="center"/>
          </w:tcPr>
          <w:p w14:paraId="630AA9C3">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滑坡、塌方</w:t>
            </w:r>
          </w:p>
        </w:tc>
        <w:tc>
          <w:tcPr>
            <w:tcW w:w="1080" w:type="dxa"/>
            <w:shd w:val="clear" w:color="auto" w:fill="auto"/>
            <w:noWrap w:val="0"/>
            <w:vAlign w:val="center"/>
          </w:tcPr>
          <w:p w14:paraId="43F2F3FE">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人身伤害</w:t>
            </w:r>
          </w:p>
        </w:tc>
        <w:tc>
          <w:tcPr>
            <w:tcW w:w="1080" w:type="dxa"/>
            <w:shd w:val="clear" w:color="auto" w:fill="auto"/>
            <w:noWrap w:val="0"/>
            <w:vAlign w:val="center"/>
          </w:tcPr>
          <w:p w14:paraId="0344EAE1">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曾经发生</w:t>
            </w:r>
          </w:p>
        </w:tc>
        <w:tc>
          <w:tcPr>
            <w:tcW w:w="1440" w:type="dxa"/>
            <w:shd w:val="clear" w:color="auto" w:fill="auto"/>
            <w:noWrap w:val="0"/>
            <w:vAlign w:val="center"/>
          </w:tcPr>
          <w:p w14:paraId="5DAAF1D1">
            <w:pPr>
              <w:spacing w:line="300" w:lineRule="exact"/>
              <w:ind w:firstLine="0" w:firstLineChars="0"/>
              <w:jc w:val="center"/>
              <w:rPr>
                <w:rFonts w:hint="eastAsia" w:ascii="Times New Roman" w:hAnsi="宋体" w:eastAsia="宋体" w:cs="Times New Roman"/>
                <w:color w:val="auto"/>
                <w:sz w:val="21"/>
                <w:szCs w:val="21"/>
              </w:rPr>
            </w:pPr>
            <w:r>
              <w:rPr>
                <w:rFonts w:ascii="Times New Roman" w:hAnsi="宋体" w:eastAsia="宋体" w:cs="Times New Roman"/>
                <w:color w:val="auto"/>
                <w:sz w:val="21"/>
                <w:szCs w:val="21"/>
              </w:rPr>
              <w:t>执行</w:t>
            </w:r>
          </w:p>
          <w:p w14:paraId="56B1DBB0">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操作规程</w:t>
            </w:r>
          </w:p>
        </w:tc>
        <w:tc>
          <w:tcPr>
            <w:tcW w:w="900" w:type="dxa"/>
            <w:shd w:val="clear" w:color="auto" w:fill="auto"/>
            <w:noWrap w:val="0"/>
            <w:vAlign w:val="center"/>
          </w:tcPr>
          <w:p w14:paraId="410260DF">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胜任</w:t>
            </w:r>
          </w:p>
        </w:tc>
        <w:tc>
          <w:tcPr>
            <w:tcW w:w="1422" w:type="dxa"/>
            <w:shd w:val="clear" w:color="auto" w:fill="auto"/>
            <w:noWrap w:val="0"/>
            <w:vAlign w:val="center"/>
          </w:tcPr>
          <w:p w14:paraId="1C1D9F5C">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加强监测</w:t>
            </w:r>
          </w:p>
        </w:tc>
        <w:tc>
          <w:tcPr>
            <w:tcW w:w="592" w:type="dxa"/>
            <w:shd w:val="clear" w:color="auto" w:fill="auto"/>
            <w:noWrap w:val="0"/>
            <w:vAlign w:val="center"/>
          </w:tcPr>
          <w:p w14:paraId="7DD023CB">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567" w:type="dxa"/>
            <w:shd w:val="clear" w:color="auto" w:fill="auto"/>
            <w:noWrap w:val="0"/>
            <w:vAlign w:val="center"/>
          </w:tcPr>
          <w:p w14:paraId="0F9FE584">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583" w:type="dxa"/>
            <w:shd w:val="clear" w:color="auto" w:fill="auto"/>
            <w:noWrap w:val="0"/>
            <w:vAlign w:val="center"/>
          </w:tcPr>
          <w:p w14:paraId="024C9897">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15</w:t>
            </w:r>
          </w:p>
        </w:tc>
        <w:tc>
          <w:tcPr>
            <w:tcW w:w="595" w:type="dxa"/>
            <w:shd w:val="clear" w:color="auto" w:fill="auto"/>
            <w:noWrap w:val="0"/>
            <w:vAlign w:val="center"/>
          </w:tcPr>
          <w:p w14:paraId="6E9B153F">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45</w:t>
            </w:r>
          </w:p>
        </w:tc>
        <w:tc>
          <w:tcPr>
            <w:tcW w:w="778" w:type="dxa"/>
            <w:shd w:val="clear" w:color="auto" w:fill="0000FF"/>
            <w:noWrap w:val="0"/>
            <w:vAlign w:val="center"/>
          </w:tcPr>
          <w:p w14:paraId="4740D9CF">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B</w:t>
            </w:r>
          </w:p>
        </w:tc>
        <w:tc>
          <w:tcPr>
            <w:tcW w:w="1583" w:type="dxa"/>
            <w:noWrap w:val="0"/>
            <w:vAlign w:val="center"/>
          </w:tcPr>
          <w:p w14:paraId="1B8DE36C">
            <w:pPr>
              <w:spacing w:line="300" w:lineRule="exact"/>
              <w:ind w:firstLine="0" w:firstLineChars="0"/>
              <w:jc w:val="center"/>
              <w:rPr>
                <w:rFonts w:ascii="Times New Roman" w:hAnsi="Times New Roman" w:eastAsia="宋体" w:cs="Times New Roman"/>
                <w:color w:val="auto"/>
                <w:sz w:val="21"/>
                <w:szCs w:val="21"/>
              </w:rPr>
            </w:pPr>
          </w:p>
        </w:tc>
      </w:tr>
      <w:tr w14:paraId="68E86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468" w:type="dxa"/>
            <w:shd w:val="clear" w:color="auto" w:fill="auto"/>
            <w:noWrap w:val="0"/>
            <w:vAlign w:val="center"/>
          </w:tcPr>
          <w:p w14:paraId="18415732">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5</w:t>
            </w:r>
          </w:p>
        </w:tc>
        <w:tc>
          <w:tcPr>
            <w:tcW w:w="1080" w:type="dxa"/>
            <w:vMerge w:val="continue"/>
            <w:shd w:val="clear" w:color="auto" w:fill="auto"/>
            <w:noWrap w:val="0"/>
            <w:vAlign w:val="center"/>
          </w:tcPr>
          <w:p w14:paraId="7B0300EC">
            <w:pPr>
              <w:widowControl/>
              <w:spacing w:line="300" w:lineRule="exact"/>
              <w:ind w:firstLine="0" w:firstLineChars="0"/>
              <w:jc w:val="left"/>
              <w:rPr>
                <w:rFonts w:ascii="Times New Roman" w:hAnsi="Times New Roman" w:eastAsia="宋体" w:cs="Times New Roman"/>
                <w:color w:val="auto"/>
                <w:sz w:val="21"/>
                <w:szCs w:val="21"/>
              </w:rPr>
            </w:pPr>
          </w:p>
        </w:tc>
        <w:tc>
          <w:tcPr>
            <w:tcW w:w="2160" w:type="dxa"/>
            <w:gridSpan w:val="2"/>
            <w:shd w:val="clear" w:color="auto" w:fill="auto"/>
            <w:noWrap w:val="0"/>
            <w:vAlign w:val="center"/>
          </w:tcPr>
          <w:p w14:paraId="2DDFB261">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淹溺</w:t>
            </w:r>
          </w:p>
        </w:tc>
        <w:tc>
          <w:tcPr>
            <w:tcW w:w="1080" w:type="dxa"/>
            <w:shd w:val="clear" w:color="auto" w:fill="auto"/>
            <w:noWrap w:val="0"/>
            <w:vAlign w:val="center"/>
          </w:tcPr>
          <w:p w14:paraId="550B8446">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人身伤害</w:t>
            </w:r>
          </w:p>
        </w:tc>
        <w:tc>
          <w:tcPr>
            <w:tcW w:w="1080" w:type="dxa"/>
            <w:shd w:val="clear" w:color="auto" w:fill="auto"/>
            <w:noWrap w:val="0"/>
            <w:vAlign w:val="center"/>
          </w:tcPr>
          <w:p w14:paraId="6456F2DC">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曾经发生</w:t>
            </w:r>
          </w:p>
        </w:tc>
        <w:tc>
          <w:tcPr>
            <w:tcW w:w="1440" w:type="dxa"/>
            <w:shd w:val="clear" w:color="auto" w:fill="auto"/>
            <w:noWrap w:val="0"/>
            <w:vAlign w:val="center"/>
          </w:tcPr>
          <w:p w14:paraId="1A8964F2">
            <w:pPr>
              <w:spacing w:line="300" w:lineRule="exact"/>
              <w:ind w:firstLine="0" w:firstLineChars="0"/>
              <w:jc w:val="center"/>
              <w:rPr>
                <w:rFonts w:hint="eastAsia" w:ascii="Times New Roman" w:hAnsi="宋体" w:eastAsia="宋体" w:cs="Times New Roman"/>
                <w:color w:val="auto"/>
                <w:sz w:val="21"/>
                <w:szCs w:val="21"/>
              </w:rPr>
            </w:pPr>
            <w:r>
              <w:rPr>
                <w:rFonts w:ascii="Times New Roman" w:hAnsi="宋体" w:eastAsia="宋体" w:cs="Times New Roman"/>
                <w:color w:val="auto"/>
                <w:sz w:val="21"/>
                <w:szCs w:val="21"/>
              </w:rPr>
              <w:t>执行</w:t>
            </w:r>
          </w:p>
          <w:p w14:paraId="30E6E303">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操作规程</w:t>
            </w:r>
          </w:p>
        </w:tc>
        <w:tc>
          <w:tcPr>
            <w:tcW w:w="900" w:type="dxa"/>
            <w:shd w:val="clear" w:color="auto" w:fill="auto"/>
            <w:noWrap w:val="0"/>
            <w:vAlign w:val="center"/>
          </w:tcPr>
          <w:p w14:paraId="16EAEE80">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胜任</w:t>
            </w:r>
          </w:p>
        </w:tc>
        <w:tc>
          <w:tcPr>
            <w:tcW w:w="1422" w:type="dxa"/>
            <w:shd w:val="clear" w:color="auto" w:fill="auto"/>
            <w:noWrap w:val="0"/>
            <w:vAlign w:val="center"/>
          </w:tcPr>
          <w:p w14:paraId="4A1E1F58">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禁止下库</w:t>
            </w:r>
          </w:p>
        </w:tc>
        <w:tc>
          <w:tcPr>
            <w:tcW w:w="592" w:type="dxa"/>
            <w:shd w:val="clear" w:color="auto" w:fill="auto"/>
            <w:noWrap w:val="0"/>
            <w:vAlign w:val="center"/>
          </w:tcPr>
          <w:p w14:paraId="1455E896">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567" w:type="dxa"/>
            <w:shd w:val="clear" w:color="auto" w:fill="auto"/>
            <w:noWrap w:val="0"/>
            <w:vAlign w:val="center"/>
          </w:tcPr>
          <w:p w14:paraId="53C07E3A">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0.5</w:t>
            </w:r>
          </w:p>
        </w:tc>
        <w:tc>
          <w:tcPr>
            <w:tcW w:w="583" w:type="dxa"/>
            <w:shd w:val="clear" w:color="auto" w:fill="auto"/>
            <w:noWrap w:val="0"/>
            <w:vAlign w:val="center"/>
          </w:tcPr>
          <w:p w14:paraId="7C533300">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15</w:t>
            </w:r>
          </w:p>
        </w:tc>
        <w:tc>
          <w:tcPr>
            <w:tcW w:w="595" w:type="dxa"/>
            <w:shd w:val="clear" w:color="auto" w:fill="auto"/>
            <w:noWrap w:val="0"/>
            <w:vAlign w:val="center"/>
          </w:tcPr>
          <w:p w14:paraId="0487487D">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7.5</w:t>
            </w:r>
          </w:p>
        </w:tc>
        <w:tc>
          <w:tcPr>
            <w:tcW w:w="778" w:type="dxa"/>
            <w:shd w:val="clear" w:color="auto" w:fill="0000FF"/>
            <w:noWrap w:val="0"/>
            <w:vAlign w:val="center"/>
          </w:tcPr>
          <w:p w14:paraId="5077CAFE">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A</w:t>
            </w:r>
          </w:p>
        </w:tc>
        <w:tc>
          <w:tcPr>
            <w:tcW w:w="1583" w:type="dxa"/>
            <w:noWrap w:val="0"/>
            <w:vAlign w:val="center"/>
          </w:tcPr>
          <w:p w14:paraId="17B42EF2">
            <w:pPr>
              <w:spacing w:line="300" w:lineRule="exact"/>
              <w:ind w:firstLine="0" w:firstLineChars="0"/>
              <w:jc w:val="center"/>
              <w:rPr>
                <w:rFonts w:ascii="Times New Roman" w:hAnsi="Times New Roman" w:eastAsia="宋体" w:cs="Times New Roman"/>
                <w:color w:val="auto"/>
                <w:sz w:val="21"/>
                <w:szCs w:val="21"/>
              </w:rPr>
            </w:pPr>
          </w:p>
        </w:tc>
      </w:tr>
      <w:tr w14:paraId="57DB0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468" w:type="dxa"/>
            <w:shd w:val="clear" w:color="auto" w:fill="auto"/>
            <w:noWrap w:val="0"/>
            <w:vAlign w:val="center"/>
          </w:tcPr>
          <w:p w14:paraId="014D6F40">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6</w:t>
            </w:r>
          </w:p>
        </w:tc>
        <w:tc>
          <w:tcPr>
            <w:tcW w:w="1080" w:type="dxa"/>
            <w:vMerge w:val="continue"/>
            <w:shd w:val="clear" w:color="auto" w:fill="auto"/>
            <w:noWrap w:val="0"/>
            <w:vAlign w:val="center"/>
          </w:tcPr>
          <w:p w14:paraId="1A0B8C08">
            <w:pPr>
              <w:widowControl/>
              <w:spacing w:line="300" w:lineRule="exact"/>
              <w:ind w:firstLine="0" w:firstLineChars="0"/>
              <w:jc w:val="left"/>
              <w:rPr>
                <w:rFonts w:ascii="Times New Roman" w:hAnsi="Times New Roman" w:eastAsia="宋体" w:cs="Times New Roman"/>
                <w:color w:val="auto"/>
                <w:sz w:val="21"/>
                <w:szCs w:val="21"/>
              </w:rPr>
            </w:pPr>
          </w:p>
        </w:tc>
        <w:tc>
          <w:tcPr>
            <w:tcW w:w="2160" w:type="dxa"/>
            <w:gridSpan w:val="2"/>
            <w:shd w:val="clear" w:color="auto" w:fill="auto"/>
            <w:noWrap w:val="0"/>
            <w:vAlign w:val="center"/>
          </w:tcPr>
          <w:p w14:paraId="0814F1C6">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高温</w:t>
            </w:r>
          </w:p>
        </w:tc>
        <w:tc>
          <w:tcPr>
            <w:tcW w:w="1080" w:type="dxa"/>
            <w:shd w:val="clear" w:color="auto" w:fill="auto"/>
            <w:noWrap w:val="0"/>
            <w:vAlign w:val="center"/>
          </w:tcPr>
          <w:p w14:paraId="428CB6B4">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中暑</w:t>
            </w:r>
          </w:p>
        </w:tc>
        <w:tc>
          <w:tcPr>
            <w:tcW w:w="1080" w:type="dxa"/>
            <w:shd w:val="clear" w:color="auto" w:fill="auto"/>
            <w:noWrap w:val="0"/>
            <w:vAlign w:val="center"/>
          </w:tcPr>
          <w:p w14:paraId="266B0DCB">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曾经发生</w:t>
            </w:r>
          </w:p>
        </w:tc>
        <w:tc>
          <w:tcPr>
            <w:tcW w:w="1440" w:type="dxa"/>
            <w:shd w:val="clear" w:color="auto" w:fill="auto"/>
            <w:noWrap w:val="0"/>
            <w:vAlign w:val="center"/>
          </w:tcPr>
          <w:p w14:paraId="1AE1D175">
            <w:pPr>
              <w:spacing w:line="300" w:lineRule="exact"/>
              <w:ind w:firstLine="0" w:firstLineChars="0"/>
              <w:jc w:val="center"/>
              <w:rPr>
                <w:rFonts w:hint="eastAsia" w:ascii="Times New Roman" w:hAnsi="宋体" w:eastAsia="宋体" w:cs="Times New Roman"/>
                <w:color w:val="auto"/>
                <w:sz w:val="21"/>
                <w:szCs w:val="21"/>
              </w:rPr>
            </w:pPr>
            <w:r>
              <w:rPr>
                <w:rFonts w:ascii="Times New Roman" w:hAnsi="宋体" w:eastAsia="宋体" w:cs="Times New Roman"/>
                <w:color w:val="auto"/>
                <w:sz w:val="21"/>
                <w:szCs w:val="21"/>
              </w:rPr>
              <w:t>按时发放</w:t>
            </w:r>
          </w:p>
          <w:p w14:paraId="0DC3D9DD">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劳保用品</w:t>
            </w:r>
          </w:p>
        </w:tc>
        <w:tc>
          <w:tcPr>
            <w:tcW w:w="900" w:type="dxa"/>
            <w:shd w:val="clear" w:color="auto" w:fill="auto"/>
            <w:noWrap w:val="0"/>
            <w:vAlign w:val="center"/>
          </w:tcPr>
          <w:p w14:paraId="6FEDD679">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胜任</w:t>
            </w:r>
          </w:p>
        </w:tc>
        <w:tc>
          <w:tcPr>
            <w:tcW w:w="1422" w:type="dxa"/>
            <w:shd w:val="clear" w:color="auto" w:fill="auto"/>
            <w:noWrap w:val="0"/>
            <w:vAlign w:val="center"/>
          </w:tcPr>
          <w:p w14:paraId="7667CFC9">
            <w:pPr>
              <w:spacing w:line="300" w:lineRule="exact"/>
              <w:ind w:firstLine="0" w:firstLineChars="0"/>
              <w:jc w:val="center"/>
              <w:rPr>
                <w:rFonts w:hint="eastAsia" w:ascii="Times New Roman" w:hAnsi="宋体" w:eastAsia="宋体" w:cs="Times New Roman"/>
                <w:color w:val="auto"/>
                <w:sz w:val="21"/>
                <w:szCs w:val="21"/>
              </w:rPr>
            </w:pPr>
            <w:r>
              <w:rPr>
                <w:rFonts w:ascii="Times New Roman" w:hAnsi="宋体" w:eastAsia="宋体" w:cs="Times New Roman"/>
                <w:color w:val="auto"/>
                <w:sz w:val="21"/>
                <w:szCs w:val="21"/>
              </w:rPr>
              <w:t>避开高温</w:t>
            </w:r>
          </w:p>
          <w:p w14:paraId="62F0EE4E">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时段作业</w:t>
            </w:r>
          </w:p>
        </w:tc>
        <w:tc>
          <w:tcPr>
            <w:tcW w:w="592" w:type="dxa"/>
            <w:shd w:val="clear" w:color="auto" w:fill="auto"/>
            <w:noWrap w:val="0"/>
            <w:vAlign w:val="center"/>
          </w:tcPr>
          <w:p w14:paraId="7DCC62A8">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567" w:type="dxa"/>
            <w:shd w:val="clear" w:color="auto" w:fill="auto"/>
            <w:noWrap w:val="0"/>
            <w:vAlign w:val="center"/>
          </w:tcPr>
          <w:p w14:paraId="6E5A8174">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w:t>
            </w:r>
          </w:p>
        </w:tc>
        <w:tc>
          <w:tcPr>
            <w:tcW w:w="583" w:type="dxa"/>
            <w:shd w:val="clear" w:color="auto" w:fill="auto"/>
            <w:noWrap w:val="0"/>
            <w:vAlign w:val="center"/>
          </w:tcPr>
          <w:p w14:paraId="4F7AB958">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5</w:t>
            </w:r>
          </w:p>
        </w:tc>
        <w:tc>
          <w:tcPr>
            <w:tcW w:w="595" w:type="dxa"/>
            <w:shd w:val="clear" w:color="auto" w:fill="auto"/>
            <w:noWrap w:val="0"/>
            <w:vAlign w:val="center"/>
          </w:tcPr>
          <w:p w14:paraId="18FC8F89">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30</w:t>
            </w:r>
          </w:p>
        </w:tc>
        <w:tc>
          <w:tcPr>
            <w:tcW w:w="778" w:type="dxa"/>
            <w:shd w:val="clear" w:color="auto" w:fill="0000FF"/>
            <w:noWrap w:val="0"/>
            <w:vAlign w:val="center"/>
          </w:tcPr>
          <w:p w14:paraId="6F5748CB">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B</w:t>
            </w:r>
          </w:p>
        </w:tc>
        <w:tc>
          <w:tcPr>
            <w:tcW w:w="1583" w:type="dxa"/>
            <w:noWrap w:val="0"/>
            <w:vAlign w:val="center"/>
          </w:tcPr>
          <w:p w14:paraId="5603CD16">
            <w:pPr>
              <w:spacing w:line="300" w:lineRule="exact"/>
              <w:ind w:firstLine="0" w:firstLineChars="0"/>
              <w:jc w:val="center"/>
              <w:rPr>
                <w:rFonts w:hint="eastAsia" w:ascii="Times New Roman" w:hAnsi="宋体" w:eastAsia="宋体" w:cs="Times New Roman"/>
                <w:color w:val="auto"/>
                <w:sz w:val="21"/>
                <w:szCs w:val="21"/>
              </w:rPr>
            </w:pPr>
            <w:r>
              <w:rPr>
                <w:rFonts w:ascii="Times New Roman" w:hAnsi="宋体" w:eastAsia="宋体" w:cs="Times New Roman"/>
                <w:color w:val="auto"/>
                <w:sz w:val="21"/>
                <w:szCs w:val="21"/>
              </w:rPr>
              <w:t>随身携带</w:t>
            </w:r>
          </w:p>
          <w:p w14:paraId="43FFB9E0">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防暑降温药品</w:t>
            </w:r>
          </w:p>
        </w:tc>
      </w:tr>
      <w:tr w14:paraId="78067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468" w:type="dxa"/>
            <w:shd w:val="clear" w:color="auto" w:fill="auto"/>
            <w:noWrap w:val="0"/>
            <w:vAlign w:val="center"/>
          </w:tcPr>
          <w:p w14:paraId="6405AD57">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7</w:t>
            </w:r>
          </w:p>
        </w:tc>
        <w:tc>
          <w:tcPr>
            <w:tcW w:w="1080" w:type="dxa"/>
            <w:vMerge w:val="continue"/>
            <w:shd w:val="clear" w:color="auto" w:fill="auto"/>
            <w:noWrap w:val="0"/>
            <w:vAlign w:val="center"/>
          </w:tcPr>
          <w:p w14:paraId="13B82149">
            <w:pPr>
              <w:widowControl/>
              <w:spacing w:line="300" w:lineRule="exact"/>
              <w:ind w:firstLine="0" w:firstLineChars="0"/>
              <w:jc w:val="left"/>
              <w:rPr>
                <w:rFonts w:ascii="Times New Roman" w:hAnsi="Times New Roman" w:eastAsia="宋体" w:cs="Times New Roman"/>
                <w:color w:val="auto"/>
                <w:sz w:val="21"/>
                <w:szCs w:val="21"/>
              </w:rPr>
            </w:pPr>
          </w:p>
        </w:tc>
        <w:tc>
          <w:tcPr>
            <w:tcW w:w="2160" w:type="dxa"/>
            <w:gridSpan w:val="2"/>
            <w:shd w:val="clear" w:color="auto" w:fill="auto"/>
            <w:noWrap w:val="0"/>
            <w:vAlign w:val="center"/>
          </w:tcPr>
          <w:p w14:paraId="5A412A1D">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低温</w:t>
            </w:r>
          </w:p>
        </w:tc>
        <w:tc>
          <w:tcPr>
            <w:tcW w:w="1080" w:type="dxa"/>
            <w:shd w:val="clear" w:color="auto" w:fill="auto"/>
            <w:noWrap w:val="0"/>
            <w:vAlign w:val="center"/>
          </w:tcPr>
          <w:p w14:paraId="4A66CD7D">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冻伤</w:t>
            </w:r>
          </w:p>
        </w:tc>
        <w:tc>
          <w:tcPr>
            <w:tcW w:w="1080" w:type="dxa"/>
            <w:shd w:val="clear" w:color="auto" w:fill="auto"/>
            <w:noWrap w:val="0"/>
            <w:vAlign w:val="center"/>
          </w:tcPr>
          <w:p w14:paraId="2A4861F7">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曾经发生</w:t>
            </w:r>
          </w:p>
        </w:tc>
        <w:tc>
          <w:tcPr>
            <w:tcW w:w="1440" w:type="dxa"/>
            <w:shd w:val="clear" w:color="auto" w:fill="auto"/>
            <w:noWrap w:val="0"/>
            <w:vAlign w:val="center"/>
          </w:tcPr>
          <w:p w14:paraId="0EB60675">
            <w:pPr>
              <w:spacing w:line="300" w:lineRule="exact"/>
              <w:ind w:firstLine="0" w:firstLineChars="0"/>
              <w:jc w:val="center"/>
              <w:rPr>
                <w:rFonts w:hint="eastAsia" w:ascii="Times New Roman" w:hAnsi="宋体" w:eastAsia="宋体" w:cs="Times New Roman"/>
                <w:color w:val="auto"/>
                <w:sz w:val="21"/>
                <w:szCs w:val="21"/>
              </w:rPr>
            </w:pPr>
            <w:r>
              <w:rPr>
                <w:rFonts w:ascii="Times New Roman" w:hAnsi="宋体" w:eastAsia="宋体" w:cs="Times New Roman"/>
                <w:color w:val="auto"/>
                <w:sz w:val="21"/>
                <w:szCs w:val="21"/>
              </w:rPr>
              <w:t>按时发放</w:t>
            </w:r>
          </w:p>
          <w:p w14:paraId="399D0315">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劳保用品</w:t>
            </w:r>
          </w:p>
        </w:tc>
        <w:tc>
          <w:tcPr>
            <w:tcW w:w="900" w:type="dxa"/>
            <w:shd w:val="clear" w:color="auto" w:fill="auto"/>
            <w:noWrap w:val="0"/>
            <w:vAlign w:val="center"/>
          </w:tcPr>
          <w:p w14:paraId="12C89E1C">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胜任</w:t>
            </w:r>
          </w:p>
        </w:tc>
        <w:tc>
          <w:tcPr>
            <w:tcW w:w="1422" w:type="dxa"/>
            <w:shd w:val="clear" w:color="auto" w:fill="auto"/>
            <w:noWrap w:val="0"/>
            <w:vAlign w:val="center"/>
          </w:tcPr>
          <w:p w14:paraId="339FD02D">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个体防护</w:t>
            </w:r>
          </w:p>
        </w:tc>
        <w:tc>
          <w:tcPr>
            <w:tcW w:w="592" w:type="dxa"/>
            <w:shd w:val="clear" w:color="auto" w:fill="auto"/>
            <w:noWrap w:val="0"/>
            <w:vAlign w:val="center"/>
          </w:tcPr>
          <w:p w14:paraId="019EA8F0">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567" w:type="dxa"/>
            <w:shd w:val="clear" w:color="auto" w:fill="auto"/>
            <w:noWrap w:val="0"/>
            <w:vAlign w:val="center"/>
          </w:tcPr>
          <w:p w14:paraId="66275E23">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583" w:type="dxa"/>
            <w:shd w:val="clear" w:color="auto" w:fill="auto"/>
            <w:noWrap w:val="0"/>
            <w:vAlign w:val="center"/>
          </w:tcPr>
          <w:p w14:paraId="7D98EF19">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5</w:t>
            </w:r>
          </w:p>
        </w:tc>
        <w:tc>
          <w:tcPr>
            <w:tcW w:w="595" w:type="dxa"/>
            <w:shd w:val="clear" w:color="auto" w:fill="auto"/>
            <w:noWrap w:val="0"/>
            <w:vAlign w:val="center"/>
          </w:tcPr>
          <w:p w14:paraId="79DD4812">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15</w:t>
            </w:r>
          </w:p>
        </w:tc>
        <w:tc>
          <w:tcPr>
            <w:tcW w:w="778" w:type="dxa"/>
            <w:shd w:val="clear" w:color="auto" w:fill="0000FF"/>
            <w:noWrap w:val="0"/>
            <w:vAlign w:val="center"/>
          </w:tcPr>
          <w:p w14:paraId="65A15D0E">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A</w:t>
            </w:r>
          </w:p>
        </w:tc>
        <w:tc>
          <w:tcPr>
            <w:tcW w:w="1583" w:type="dxa"/>
            <w:noWrap w:val="0"/>
            <w:vAlign w:val="center"/>
          </w:tcPr>
          <w:p w14:paraId="4E8CB258">
            <w:pPr>
              <w:spacing w:line="300" w:lineRule="exact"/>
              <w:ind w:firstLine="0" w:firstLineChars="0"/>
              <w:jc w:val="center"/>
              <w:rPr>
                <w:rFonts w:ascii="Times New Roman" w:hAnsi="Times New Roman" w:eastAsia="宋体" w:cs="Times New Roman"/>
                <w:color w:val="auto"/>
                <w:sz w:val="21"/>
                <w:szCs w:val="21"/>
              </w:rPr>
            </w:pPr>
          </w:p>
        </w:tc>
      </w:tr>
      <w:tr w14:paraId="54A37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468" w:type="dxa"/>
            <w:shd w:val="clear" w:color="auto" w:fill="auto"/>
            <w:noWrap w:val="0"/>
            <w:vAlign w:val="center"/>
          </w:tcPr>
          <w:p w14:paraId="6FA9E47A">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8</w:t>
            </w:r>
          </w:p>
        </w:tc>
        <w:tc>
          <w:tcPr>
            <w:tcW w:w="1080" w:type="dxa"/>
            <w:vMerge w:val="continue"/>
            <w:shd w:val="clear" w:color="auto" w:fill="auto"/>
            <w:noWrap w:val="0"/>
            <w:vAlign w:val="center"/>
          </w:tcPr>
          <w:p w14:paraId="232352B0">
            <w:pPr>
              <w:widowControl/>
              <w:spacing w:line="300" w:lineRule="exact"/>
              <w:ind w:firstLine="0" w:firstLineChars="0"/>
              <w:jc w:val="left"/>
              <w:rPr>
                <w:rFonts w:ascii="Times New Roman" w:hAnsi="Times New Roman" w:eastAsia="宋体" w:cs="Times New Roman"/>
                <w:color w:val="auto"/>
                <w:sz w:val="21"/>
                <w:szCs w:val="21"/>
              </w:rPr>
            </w:pPr>
          </w:p>
        </w:tc>
        <w:tc>
          <w:tcPr>
            <w:tcW w:w="2160" w:type="dxa"/>
            <w:gridSpan w:val="2"/>
            <w:shd w:val="clear" w:color="auto" w:fill="auto"/>
            <w:noWrap w:val="0"/>
            <w:vAlign w:val="center"/>
          </w:tcPr>
          <w:p w14:paraId="5F396967">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噪声</w:t>
            </w:r>
          </w:p>
        </w:tc>
        <w:tc>
          <w:tcPr>
            <w:tcW w:w="1080" w:type="dxa"/>
            <w:shd w:val="clear" w:color="auto" w:fill="auto"/>
            <w:noWrap w:val="0"/>
            <w:vAlign w:val="center"/>
          </w:tcPr>
          <w:p w14:paraId="435CE1C0">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职业病</w:t>
            </w:r>
          </w:p>
        </w:tc>
        <w:tc>
          <w:tcPr>
            <w:tcW w:w="1080" w:type="dxa"/>
            <w:shd w:val="clear" w:color="auto" w:fill="auto"/>
            <w:noWrap w:val="0"/>
            <w:vAlign w:val="center"/>
          </w:tcPr>
          <w:p w14:paraId="3E116143">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可能发生</w:t>
            </w:r>
          </w:p>
        </w:tc>
        <w:tc>
          <w:tcPr>
            <w:tcW w:w="1440" w:type="dxa"/>
            <w:shd w:val="clear" w:color="auto" w:fill="auto"/>
            <w:noWrap w:val="0"/>
            <w:vAlign w:val="center"/>
          </w:tcPr>
          <w:p w14:paraId="4C745F64">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定期检查</w:t>
            </w:r>
          </w:p>
        </w:tc>
        <w:tc>
          <w:tcPr>
            <w:tcW w:w="900" w:type="dxa"/>
            <w:shd w:val="clear" w:color="auto" w:fill="auto"/>
            <w:noWrap w:val="0"/>
            <w:vAlign w:val="center"/>
          </w:tcPr>
          <w:p w14:paraId="084952DD">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胜任</w:t>
            </w:r>
          </w:p>
        </w:tc>
        <w:tc>
          <w:tcPr>
            <w:tcW w:w="1422" w:type="dxa"/>
            <w:shd w:val="clear" w:color="auto" w:fill="auto"/>
            <w:noWrap w:val="0"/>
            <w:vAlign w:val="center"/>
          </w:tcPr>
          <w:p w14:paraId="1E5C55ED">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个体防护</w:t>
            </w:r>
          </w:p>
        </w:tc>
        <w:tc>
          <w:tcPr>
            <w:tcW w:w="592" w:type="dxa"/>
            <w:shd w:val="clear" w:color="auto" w:fill="auto"/>
            <w:noWrap w:val="0"/>
            <w:vAlign w:val="center"/>
          </w:tcPr>
          <w:p w14:paraId="1B125E92">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567" w:type="dxa"/>
            <w:shd w:val="clear" w:color="auto" w:fill="auto"/>
            <w:noWrap w:val="0"/>
            <w:vAlign w:val="center"/>
          </w:tcPr>
          <w:p w14:paraId="64D0C8E4">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6</w:t>
            </w:r>
          </w:p>
        </w:tc>
        <w:tc>
          <w:tcPr>
            <w:tcW w:w="583" w:type="dxa"/>
            <w:shd w:val="clear" w:color="auto" w:fill="auto"/>
            <w:noWrap w:val="0"/>
            <w:vAlign w:val="center"/>
          </w:tcPr>
          <w:p w14:paraId="3E36BBF9">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595" w:type="dxa"/>
            <w:shd w:val="clear" w:color="auto" w:fill="auto"/>
            <w:noWrap w:val="0"/>
            <w:vAlign w:val="center"/>
          </w:tcPr>
          <w:p w14:paraId="72C6CE63">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18</w:t>
            </w:r>
          </w:p>
        </w:tc>
        <w:tc>
          <w:tcPr>
            <w:tcW w:w="778" w:type="dxa"/>
            <w:shd w:val="clear" w:color="auto" w:fill="0000FF"/>
            <w:noWrap w:val="0"/>
            <w:vAlign w:val="center"/>
          </w:tcPr>
          <w:p w14:paraId="18F9B50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A</w:t>
            </w:r>
          </w:p>
        </w:tc>
        <w:tc>
          <w:tcPr>
            <w:tcW w:w="1583" w:type="dxa"/>
            <w:noWrap w:val="0"/>
            <w:vAlign w:val="center"/>
          </w:tcPr>
          <w:p w14:paraId="4CBDE415">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降噪</w:t>
            </w:r>
          </w:p>
        </w:tc>
      </w:tr>
      <w:tr w14:paraId="6934D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468" w:type="dxa"/>
            <w:shd w:val="clear" w:color="auto" w:fill="auto"/>
            <w:noWrap w:val="0"/>
            <w:vAlign w:val="center"/>
          </w:tcPr>
          <w:p w14:paraId="386AC2C5">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11</w:t>
            </w:r>
          </w:p>
        </w:tc>
        <w:tc>
          <w:tcPr>
            <w:tcW w:w="1080" w:type="dxa"/>
            <w:vMerge w:val="continue"/>
            <w:shd w:val="clear" w:color="auto" w:fill="auto"/>
            <w:noWrap w:val="0"/>
            <w:vAlign w:val="center"/>
          </w:tcPr>
          <w:p w14:paraId="7AC5CACD">
            <w:pPr>
              <w:widowControl/>
              <w:spacing w:line="300" w:lineRule="exact"/>
              <w:ind w:firstLine="0" w:firstLineChars="0"/>
              <w:jc w:val="left"/>
              <w:rPr>
                <w:rFonts w:ascii="Times New Roman" w:hAnsi="Times New Roman" w:eastAsia="宋体" w:cs="Times New Roman"/>
                <w:color w:val="auto"/>
                <w:sz w:val="21"/>
                <w:szCs w:val="21"/>
              </w:rPr>
            </w:pPr>
          </w:p>
        </w:tc>
        <w:tc>
          <w:tcPr>
            <w:tcW w:w="2160" w:type="dxa"/>
            <w:gridSpan w:val="2"/>
            <w:shd w:val="clear" w:color="auto" w:fill="auto"/>
            <w:noWrap w:val="0"/>
            <w:vAlign w:val="center"/>
          </w:tcPr>
          <w:p w14:paraId="16093318">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地震</w:t>
            </w:r>
          </w:p>
        </w:tc>
        <w:tc>
          <w:tcPr>
            <w:tcW w:w="1080" w:type="dxa"/>
            <w:shd w:val="clear" w:color="auto" w:fill="auto"/>
            <w:noWrap w:val="0"/>
            <w:vAlign w:val="center"/>
          </w:tcPr>
          <w:p w14:paraId="3D66F51E">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坍塌</w:t>
            </w:r>
          </w:p>
        </w:tc>
        <w:tc>
          <w:tcPr>
            <w:tcW w:w="1080" w:type="dxa"/>
            <w:shd w:val="clear" w:color="auto" w:fill="auto"/>
            <w:noWrap w:val="0"/>
            <w:vAlign w:val="center"/>
          </w:tcPr>
          <w:p w14:paraId="4F1EC1EF">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从未发生</w:t>
            </w:r>
          </w:p>
        </w:tc>
        <w:tc>
          <w:tcPr>
            <w:tcW w:w="1440" w:type="dxa"/>
            <w:shd w:val="clear" w:color="auto" w:fill="auto"/>
            <w:noWrap w:val="0"/>
            <w:vAlign w:val="center"/>
          </w:tcPr>
          <w:p w14:paraId="575CADD1">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加强监测</w:t>
            </w:r>
          </w:p>
        </w:tc>
        <w:tc>
          <w:tcPr>
            <w:tcW w:w="900" w:type="dxa"/>
            <w:shd w:val="clear" w:color="auto" w:fill="auto"/>
            <w:noWrap w:val="0"/>
            <w:vAlign w:val="center"/>
          </w:tcPr>
          <w:p w14:paraId="78AEC0D4">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胜任</w:t>
            </w:r>
          </w:p>
        </w:tc>
        <w:tc>
          <w:tcPr>
            <w:tcW w:w="1422" w:type="dxa"/>
            <w:shd w:val="clear" w:color="auto" w:fill="auto"/>
            <w:noWrap w:val="0"/>
            <w:vAlign w:val="center"/>
          </w:tcPr>
          <w:p w14:paraId="4FAB307D">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禁止作业</w:t>
            </w:r>
          </w:p>
        </w:tc>
        <w:tc>
          <w:tcPr>
            <w:tcW w:w="592" w:type="dxa"/>
            <w:shd w:val="clear" w:color="auto" w:fill="auto"/>
            <w:noWrap w:val="0"/>
            <w:vAlign w:val="center"/>
          </w:tcPr>
          <w:p w14:paraId="05E28824">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0.1</w:t>
            </w:r>
          </w:p>
        </w:tc>
        <w:tc>
          <w:tcPr>
            <w:tcW w:w="567" w:type="dxa"/>
            <w:shd w:val="clear" w:color="auto" w:fill="auto"/>
            <w:noWrap w:val="0"/>
            <w:vAlign w:val="center"/>
          </w:tcPr>
          <w:p w14:paraId="1C25527F">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w:t>
            </w:r>
          </w:p>
        </w:tc>
        <w:tc>
          <w:tcPr>
            <w:tcW w:w="583" w:type="dxa"/>
            <w:shd w:val="clear" w:color="auto" w:fill="auto"/>
            <w:noWrap w:val="0"/>
            <w:vAlign w:val="center"/>
          </w:tcPr>
          <w:p w14:paraId="72940BDD">
            <w:pPr>
              <w:spacing w:line="300" w:lineRule="exact"/>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r>
              <w:rPr>
                <w:rFonts w:ascii="Times New Roman" w:hAnsi="Times New Roman" w:eastAsia="宋体" w:cs="Times New Roman"/>
                <w:color w:val="auto"/>
                <w:sz w:val="21"/>
                <w:szCs w:val="21"/>
              </w:rPr>
              <w:t>0</w:t>
            </w:r>
          </w:p>
        </w:tc>
        <w:tc>
          <w:tcPr>
            <w:tcW w:w="595" w:type="dxa"/>
            <w:shd w:val="clear" w:color="auto" w:fill="auto"/>
            <w:noWrap w:val="0"/>
            <w:vAlign w:val="center"/>
          </w:tcPr>
          <w:p w14:paraId="458365B0">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24</w:t>
            </w:r>
          </w:p>
        </w:tc>
        <w:tc>
          <w:tcPr>
            <w:tcW w:w="778" w:type="dxa"/>
            <w:shd w:val="clear" w:color="auto" w:fill="0000FF"/>
            <w:noWrap w:val="0"/>
            <w:vAlign w:val="center"/>
          </w:tcPr>
          <w:p w14:paraId="5A41283E">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B</w:t>
            </w:r>
          </w:p>
        </w:tc>
        <w:tc>
          <w:tcPr>
            <w:tcW w:w="1583" w:type="dxa"/>
            <w:noWrap w:val="0"/>
            <w:vAlign w:val="center"/>
          </w:tcPr>
          <w:p w14:paraId="7932BAAB">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宋体" w:eastAsia="宋体" w:cs="Times New Roman"/>
                <w:color w:val="auto"/>
                <w:sz w:val="21"/>
                <w:szCs w:val="21"/>
              </w:rPr>
              <w:t xml:space="preserve"> </w:t>
            </w:r>
          </w:p>
        </w:tc>
      </w:tr>
      <w:tr w14:paraId="1B32D2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468" w:type="dxa"/>
            <w:shd w:val="clear" w:color="auto" w:fill="auto"/>
            <w:noWrap w:val="0"/>
            <w:vAlign w:val="center"/>
          </w:tcPr>
          <w:p w14:paraId="75D5B456">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12</w:t>
            </w:r>
          </w:p>
        </w:tc>
        <w:tc>
          <w:tcPr>
            <w:tcW w:w="1080" w:type="dxa"/>
            <w:vMerge w:val="restart"/>
            <w:shd w:val="clear" w:color="auto" w:fill="auto"/>
            <w:noWrap w:val="0"/>
            <w:vAlign w:val="center"/>
          </w:tcPr>
          <w:p w14:paraId="0BEC294A">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设备设施检查</w:t>
            </w:r>
          </w:p>
        </w:tc>
        <w:tc>
          <w:tcPr>
            <w:tcW w:w="2160" w:type="dxa"/>
            <w:gridSpan w:val="2"/>
            <w:shd w:val="clear" w:color="auto" w:fill="auto"/>
            <w:noWrap w:val="0"/>
            <w:vAlign w:val="center"/>
          </w:tcPr>
          <w:p w14:paraId="0E28F118">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输送管道破裂</w:t>
            </w:r>
          </w:p>
        </w:tc>
        <w:tc>
          <w:tcPr>
            <w:tcW w:w="1080" w:type="dxa"/>
            <w:shd w:val="clear" w:color="auto" w:fill="auto"/>
            <w:noWrap w:val="0"/>
            <w:vAlign w:val="center"/>
          </w:tcPr>
          <w:p w14:paraId="0C8750E1">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粉尘危害</w:t>
            </w:r>
          </w:p>
        </w:tc>
        <w:tc>
          <w:tcPr>
            <w:tcW w:w="1080" w:type="dxa"/>
            <w:shd w:val="clear" w:color="auto" w:fill="auto"/>
            <w:noWrap w:val="0"/>
            <w:vAlign w:val="center"/>
          </w:tcPr>
          <w:p w14:paraId="2CD5E25C">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曾经发生</w:t>
            </w:r>
          </w:p>
        </w:tc>
        <w:tc>
          <w:tcPr>
            <w:tcW w:w="1440" w:type="dxa"/>
            <w:shd w:val="clear" w:color="auto" w:fill="auto"/>
            <w:noWrap w:val="0"/>
            <w:vAlign w:val="center"/>
          </w:tcPr>
          <w:p w14:paraId="78A2CA2D">
            <w:pPr>
              <w:spacing w:line="300" w:lineRule="exact"/>
              <w:ind w:firstLine="0" w:firstLineChars="0"/>
              <w:jc w:val="center"/>
              <w:rPr>
                <w:rFonts w:hint="eastAsia" w:ascii="Times New Roman" w:hAnsi="宋体" w:eastAsia="宋体" w:cs="Times New Roman"/>
                <w:color w:val="auto"/>
                <w:sz w:val="21"/>
                <w:szCs w:val="21"/>
              </w:rPr>
            </w:pPr>
            <w:r>
              <w:rPr>
                <w:rFonts w:ascii="Times New Roman" w:hAnsi="宋体" w:eastAsia="宋体" w:cs="Times New Roman"/>
                <w:color w:val="auto"/>
                <w:sz w:val="21"/>
                <w:szCs w:val="21"/>
              </w:rPr>
              <w:t>执行</w:t>
            </w:r>
          </w:p>
          <w:p w14:paraId="7973EC4C">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操作规程</w:t>
            </w:r>
          </w:p>
        </w:tc>
        <w:tc>
          <w:tcPr>
            <w:tcW w:w="900" w:type="dxa"/>
            <w:shd w:val="clear" w:color="auto" w:fill="auto"/>
            <w:noWrap w:val="0"/>
            <w:vAlign w:val="center"/>
          </w:tcPr>
          <w:p w14:paraId="4FD537D3">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胜任</w:t>
            </w:r>
          </w:p>
        </w:tc>
        <w:tc>
          <w:tcPr>
            <w:tcW w:w="1422" w:type="dxa"/>
            <w:shd w:val="clear" w:color="auto" w:fill="auto"/>
            <w:noWrap w:val="0"/>
            <w:vAlign w:val="center"/>
          </w:tcPr>
          <w:p w14:paraId="0F0B46F2">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加强监测</w:t>
            </w:r>
          </w:p>
        </w:tc>
        <w:tc>
          <w:tcPr>
            <w:tcW w:w="592" w:type="dxa"/>
            <w:shd w:val="clear" w:color="auto" w:fill="auto"/>
            <w:noWrap w:val="0"/>
            <w:vAlign w:val="center"/>
          </w:tcPr>
          <w:p w14:paraId="0DC65CA6">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5</w:t>
            </w:r>
          </w:p>
        </w:tc>
        <w:tc>
          <w:tcPr>
            <w:tcW w:w="567" w:type="dxa"/>
            <w:shd w:val="clear" w:color="auto" w:fill="auto"/>
            <w:noWrap w:val="0"/>
            <w:vAlign w:val="center"/>
          </w:tcPr>
          <w:p w14:paraId="37A16AE6">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w:t>
            </w:r>
          </w:p>
        </w:tc>
        <w:tc>
          <w:tcPr>
            <w:tcW w:w="583" w:type="dxa"/>
            <w:shd w:val="clear" w:color="auto" w:fill="auto"/>
            <w:noWrap w:val="0"/>
            <w:vAlign w:val="center"/>
          </w:tcPr>
          <w:p w14:paraId="0CF21C7F">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595" w:type="dxa"/>
            <w:shd w:val="clear" w:color="auto" w:fill="auto"/>
            <w:noWrap w:val="0"/>
            <w:vAlign w:val="center"/>
          </w:tcPr>
          <w:p w14:paraId="05FB8A67">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10</w:t>
            </w:r>
          </w:p>
        </w:tc>
        <w:tc>
          <w:tcPr>
            <w:tcW w:w="778" w:type="dxa"/>
            <w:shd w:val="clear" w:color="auto" w:fill="0000FF"/>
            <w:noWrap w:val="0"/>
            <w:vAlign w:val="center"/>
          </w:tcPr>
          <w:p w14:paraId="51759B1D">
            <w:pPr>
              <w:widowControl/>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A</w:t>
            </w:r>
          </w:p>
        </w:tc>
        <w:tc>
          <w:tcPr>
            <w:tcW w:w="1583" w:type="dxa"/>
            <w:noWrap w:val="0"/>
            <w:vAlign w:val="center"/>
          </w:tcPr>
          <w:p w14:paraId="22EC86C5">
            <w:pPr>
              <w:spacing w:line="300" w:lineRule="exact"/>
              <w:ind w:firstLine="0" w:firstLineChars="0"/>
              <w:jc w:val="center"/>
              <w:rPr>
                <w:rFonts w:ascii="Times New Roman" w:hAnsi="Times New Roman" w:eastAsia="宋体" w:cs="Times New Roman"/>
                <w:color w:val="auto"/>
                <w:sz w:val="21"/>
                <w:szCs w:val="21"/>
              </w:rPr>
            </w:pPr>
          </w:p>
        </w:tc>
      </w:tr>
      <w:tr w14:paraId="1597F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468" w:type="dxa"/>
            <w:shd w:val="clear" w:color="auto" w:fill="auto"/>
            <w:noWrap w:val="0"/>
            <w:vAlign w:val="center"/>
          </w:tcPr>
          <w:p w14:paraId="2F977ED5">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13</w:t>
            </w:r>
          </w:p>
        </w:tc>
        <w:tc>
          <w:tcPr>
            <w:tcW w:w="1080" w:type="dxa"/>
            <w:vMerge w:val="continue"/>
            <w:shd w:val="clear" w:color="auto" w:fill="auto"/>
            <w:noWrap w:val="0"/>
            <w:vAlign w:val="center"/>
          </w:tcPr>
          <w:p w14:paraId="7D4A1807">
            <w:pPr>
              <w:widowControl/>
              <w:spacing w:line="300" w:lineRule="exact"/>
              <w:ind w:firstLine="0" w:firstLineChars="0"/>
              <w:jc w:val="left"/>
              <w:rPr>
                <w:rFonts w:ascii="Times New Roman" w:hAnsi="Times New Roman" w:eastAsia="宋体" w:cs="Times New Roman"/>
                <w:color w:val="auto"/>
                <w:sz w:val="21"/>
                <w:szCs w:val="21"/>
              </w:rPr>
            </w:pPr>
          </w:p>
        </w:tc>
        <w:tc>
          <w:tcPr>
            <w:tcW w:w="2160" w:type="dxa"/>
            <w:gridSpan w:val="2"/>
            <w:shd w:val="clear" w:color="auto" w:fill="auto"/>
            <w:noWrap w:val="0"/>
            <w:vAlign w:val="center"/>
          </w:tcPr>
          <w:p w14:paraId="5ACFD00B">
            <w:pPr>
              <w:spacing w:line="300" w:lineRule="exact"/>
              <w:ind w:firstLine="0" w:firstLineChars="0"/>
              <w:jc w:val="center"/>
              <w:rPr>
                <w:rFonts w:hint="eastAsia" w:ascii="Times New Roman" w:hAnsi="宋体" w:eastAsia="宋体" w:cs="Times New Roman"/>
                <w:color w:val="auto"/>
                <w:sz w:val="21"/>
                <w:szCs w:val="21"/>
              </w:rPr>
            </w:pPr>
            <w:r>
              <w:rPr>
                <w:rFonts w:ascii="Times New Roman" w:hAnsi="宋体" w:eastAsia="宋体" w:cs="Times New Roman"/>
                <w:color w:val="auto"/>
                <w:sz w:val="21"/>
                <w:szCs w:val="21"/>
              </w:rPr>
              <w:t>照明线路漏电、</w:t>
            </w:r>
          </w:p>
          <w:p w14:paraId="54D9AD7C">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未采用安全电压</w:t>
            </w:r>
          </w:p>
        </w:tc>
        <w:tc>
          <w:tcPr>
            <w:tcW w:w="1080" w:type="dxa"/>
            <w:shd w:val="clear" w:color="auto" w:fill="auto"/>
            <w:noWrap w:val="0"/>
            <w:vAlign w:val="center"/>
          </w:tcPr>
          <w:p w14:paraId="76E5B4B0">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触电</w:t>
            </w:r>
          </w:p>
        </w:tc>
        <w:tc>
          <w:tcPr>
            <w:tcW w:w="1080" w:type="dxa"/>
            <w:shd w:val="clear" w:color="auto" w:fill="auto"/>
            <w:noWrap w:val="0"/>
            <w:vAlign w:val="center"/>
          </w:tcPr>
          <w:p w14:paraId="3D927B0D">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曾经发生</w:t>
            </w:r>
          </w:p>
        </w:tc>
        <w:tc>
          <w:tcPr>
            <w:tcW w:w="1440" w:type="dxa"/>
            <w:shd w:val="clear" w:color="auto" w:fill="auto"/>
            <w:noWrap w:val="0"/>
            <w:vAlign w:val="center"/>
          </w:tcPr>
          <w:p w14:paraId="26BA9C4E">
            <w:pPr>
              <w:spacing w:line="300" w:lineRule="exact"/>
              <w:ind w:firstLine="0" w:firstLineChars="0"/>
              <w:jc w:val="center"/>
              <w:rPr>
                <w:rFonts w:hint="eastAsia" w:ascii="Times New Roman" w:hAnsi="宋体" w:eastAsia="宋体" w:cs="Times New Roman"/>
                <w:color w:val="auto"/>
                <w:sz w:val="21"/>
                <w:szCs w:val="21"/>
              </w:rPr>
            </w:pPr>
            <w:r>
              <w:rPr>
                <w:rFonts w:ascii="Times New Roman" w:hAnsi="宋体" w:eastAsia="宋体" w:cs="Times New Roman"/>
                <w:color w:val="auto"/>
                <w:sz w:val="21"/>
                <w:szCs w:val="21"/>
              </w:rPr>
              <w:t>执行</w:t>
            </w:r>
          </w:p>
          <w:p w14:paraId="7275A3DD">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操作规程</w:t>
            </w:r>
          </w:p>
        </w:tc>
        <w:tc>
          <w:tcPr>
            <w:tcW w:w="900" w:type="dxa"/>
            <w:shd w:val="clear" w:color="auto" w:fill="auto"/>
            <w:noWrap w:val="0"/>
            <w:vAlign w:val="center"/>
          </w:tcPr>
          <w:p w14:paraId="79AD9C0B">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胜任</w:t>
            </w:r>
          </w:p>
        </w:tc>
        <w:tc>
          <w:tcPr>
            <w:tcW w:w="1422" w:type="dxa"/>
            <w:shd w:val="clear" w:color="auto" w:fill="auto"/>
            <w:noWrap w:val="0"/>
            <w:vAlign w:val="center"/>
          </w:tcPr>
          <w:p w14:paraId="16600A23">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加强监测</w:t>
            </w:r>
          </w:p>
        </w:tc>
        <w:tc>
          <w:tcPr>
            <w:tcW w:w="592" w:type="dxa"/>
            <w:shd w:val="clear" w:color="auto" w:fill="auto"/>
            <w:noWrap w:val="0"/>
            <w:vAlign w:val="center"/>
          </w:tcPr>
          <w:p w14:paraId="07CD349E">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567" w:type="dxa"/>
            <w:shd w:val="clear" w:color="auto" w:fill="auto"/>
            <w:noWrap w:val="0"/>
            <w:vAlign w:val="center"/>
          </w:tcPr>
          <w:p w14:paraId="260ACD9B">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583" w:type="dxa"/>
            <w:shd w:val="clear" w:color="auto" w:fill="auto"/>
            <w:noWrap w:val="0"/>
            <w:vAlign w:val="center"/>
          </w:tcPr>
          <w:p w14:paraId="48C68E48">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15</w:t>
            </w:r>
          </w:p>
        </w:tc>
        <w:tc>
          <w:tcPr>
            <w:tcW w:w="595" w:type="dxa"/>
            <w:shd w:val="clear" w:color="auto" w:fill="auto"/>
            <w:noWrap w:val="0"/>
            <w:vAlign w:val="center"/>
          </w:tcPr>
          <w:p w14:paraId="43A842CE">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15</w:t>
            </w:r>
          </w:p>
        </w:tc>
        <w:tc>
          <w:tcPr>
            <w:tcW w:w="778" w:type="dxa"/>
            <w:shd w:val="clear" w:color="auto" w:fill="0000FF"/>
            <w:noWrap w:val="0"/>
            <w:vAlign w:val="center"/>
          </w:tcPr>
          <w:p w14:paraId="7608BD53">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A</w:t>
            </w:r>
          </w:p>
        </w:tc>
        <w:tc>
          <w:tcPr>
            <w:tcW w:w="1583" w:type="dxa"/>
            <w:noWrap w:val="0"/>
            <w:vAlign w:val="center"/>
          </w:tcPr>
          <w:p w14:paraId="35EAA216">
            <w:pPr>
              <w:spacing w:line="300" w:lineRule="exact"/>
              <w:ind w:firstLine="0" w:firstLineChars="0"/>
              <w:jc w:val="center"/>
              <w:rPr>
                <w:rFonts w:ascii="Times New Roman" w:hAnsi="Times New Roman" w:eastAsia="宋体" w:cs="Times New Roman"/>
                <w:color w:val="auto"/>
                <w:sz w:val="21"/>
                <w:szCs w:val="21"/>
              </w:rPr>
            </w:pPr>
          </w:p>
        </w:tc>
      </w:tr>
      <w:tr w14:paraId="21526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468" w:type="dxa"/>
            <w:shd w:val="clear" w:color="auto" w:fill="auto"/>
            <w:noWrap w:val="0"/>
            <w:vAlign w:val="center"/>
          </w:tcPr>
          <w:p w14:paraId="2011411F">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14</w:t>
            </w:r>
          </w:p>
        </w:tc>
        <w:tc>
          <w:tcPr>
            <w:tcW w:w="1080" w:type="dxa"/>
            <w:vMerge w:val="restart"/>
            <w:shd w:val="clear" w:color="auto" w:fill="auto"/>
            <w:noWrap w:val="0"/>
            <w:vAlign w:val="center"/>
          </w:tcPr>
          <w:p w14:paraId="249FB21A">
            <w:pPr>
              <w:spacing w:line="300" w:lineRule="exact"/>
              <w:ind w:firstLine="0" w:firstLineChars="0"/>
              <w:jc w:val="center"/>
              <w:rPr>
                <w:rFonts w:hint="eastAsia" w:ascii="Times New Roman" w:hAnsi="宋体" w:eastAsia="宋体" w:cs="Times New Roman"/>
                <w:color w:val="auto"/>
                <w:sz w:val="21"/>
                <w:szCs w:val="21"/>
              </w:rPr>
            </w:pPr>
            <w:r>
              <w:rPr>
                <w:rFonts w:ascii="Times New Roman" w:hAnsi="宋体" w:eastAsia="宋体" w:cs="Times New Roman"/>
                <w:color w:val="auto"/>
                <w:sz w:val="21"/>
                <w:szCs w:val="21"/>
              </w:rPr>
              <w:t>作业</w:t>
            </w:r>
          </w:p>
          <w:p w14:paraId="6AFBABA8">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过程</w:t>
            </w:r>
          </w:p>
        </w:tc>
        <w:tc>
          <w:tcPr>
            <w:tcW w:w="2160" w:type="dxa"/>
            <w:gridSpan w:val="2"/>
            <w:shd w:val="clear" w:color="auto" w:fill="auto"/>
            <w:noWrap w:val="0"/>
            <w:vAlign w:val="center"/>
          </w:tcPr>
          <w:p w14:paraId="29BDCAAC">
            <w:pPr>
              <w:spacing w:line="300" w:lineRule="exact"/>
              <w:ind w:firstLine="0" w:firstLineChars="0"/>
              <w:jc w:val="center"/>
              <w:rPr>
                <w:rFonts w:hint="eastAsia" w:ascii="Times New Roman" w:hAnsi="宋体" w:eastAsia="宋体" w:cs="Times New Roman"/>
                <w:color w:val="auto"/>
                <w:sz w:val="21"/>
                <w:szCs w:val="21"/>
              </w:rPr>
            </w:pPr>
            <w:r>
              <w:rPr>
                <w:rFonts w:ascii="Times New Roman" w:hAnsi="宋体" w:eastAsia="宋体" w:cs="Times New Roman"/>
                <w:color w:val="auto"/>
                <w:sz w:val="21"/>
                <w:szCs w:val="21"/>
              </w:rPr>
              <w:t>未正确穿戴</w:t>
            </w:r>
          </w:p>
          <w:p w14:paraId="3293CE57">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劳保用品</w:t>
            </w:r>
          </w:p>
        </w:tc>
        <w:tc>
          <w:tcPr>
            <w:tcW w:w="1080" w:type="dxa"/>
            <w:shd w:val="clear" w:color="auto" w:fill="auto"/>
            <w:noWrap w:val="0"/>
            <w:vAlign w:val="center"/>
          </w:tcPr>
          <w:p w14:paraId="02CFD38B">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物体伤害</w:t>
            </w:r>
          </w:p>
        </w:tc>
        <w:tc>
          <w:tcPr>
            <w:tcW w:w="1080" w:type="dxa"/>
            <w:shd w:val="clear" w:color="auto" w:fill="auto"/>
            <w:noWrap w:val="0"/>
            <w:vAlign w:val="center"/>
          </w:tcPr>
          <w:p w14:paraId="45BE977A">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曾经发生</w:t>
            </w:r>
          </w:p>
        </w:tc>
        <w:tc>
          <w:tcPr>
            <w:tcW w:w="1440" w:type="dxa"/>
            <w:shd w:val="clear" w:color="auto" w:fill="auto"/>
            <w:noWrap w:val="0"/>
            <w:vAlign w:val="center"/>
          </w:tcPr>
          <w:p w14:paraId="21E7CAB9">
            <w:pPr>
              <w:spacing w:line="300" w:lineRule="exact"/>
              <w:ind w:firstLine="0" w:firstLineChars="0"/>
              <w:jc w:val="center"/>
              <w:rPr>
                <w:rFonts w:hint="eastAsia" w:ascii="Times New Roman" w:hAnsi="宋体" w:eastAsia="宋体" w:cs="Times New Roman"/>
                <w:color w:val="auto"/>
                <w:sz w:val="21"/>
                <w:szCs w:val="21"/>
              </w:rPr>
            </w:pPr>
            <w:r>
              <w:rPr>
                <w:rFonts w:ascii="Times New Roman" w:hAnsi="宋体" w:eastAsia="宋体" w:cs="Times New Roman"/>
                <w:color w:val="auto"/>
                <w:sz w:val="21"/>
                <w:szCs w:val="21"/>
              </w:rPr>
              <w:t>执行</w:t>
            </w:r>
          </w:p>
          <w:p w14:paraId="5F4A8B97">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操作规程</w:t>
            </w:r>
          </w:p>
        </w:tc>
        <w:tc>
          <w:tcPr>
            <w:tcW w:w="900" w:type="dxa"/>
            <w:shd w:val="clear" w:color="auto" w:fill="auto"/>
            <w:noWrap w:val="0"/>
            <w:vAlign w:val="center"/>
          </w:tcPr>
          <w:p w14:paraId="75C48B84">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胜任</w:t>
            </w:r>
          </w:p>
        </w:tc>
        <w:tc>
          <w:tcPr>
            <w:tcW w:w="1422" w:type="dxa"/>
            <w:shd w:val="clear" w:color="auto" w:fill="auto"/>
            <w:noWrap w:val="0"/>
            <w:vAlign w:val="center"/>
          </w:tcPr>
          <w:p w14:paraId="74FBBADF">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加强管理</w:t>
            </w:r>
          </w:p>
        </w:tc>
        <w:tc>
          <w:tcPr>
            <w:tcW w:w="592" w:type="dxa"/>
            <w:shd w:val="clear" w:color="auto" w:fill="auto"/>
            <w:noWrap w:val="0"/>
            <w:vAlign w:val="center"/>
          </w:tcPr>
          <w:p w14:paraId="3E0D40F4">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567" w:type="dxa"/>
            <w:shd w:val="clear" w:color="auto" w:fill="auto"/>
            <w:noWrap w:val="0"/>
            <w:vAlign w:val="center"/>
          </w:tcPr>
          <w:p w14:paraId="7F2D40C9">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583" w:type="dxa"/>
            <w:shd w:val="clear" w:color="auto" w:fill="auto"/>
            <w:noWrap w:val="0"/>
            <w:vAlign w:val="center"/>
          </w:tcPr>
          <w:p w14:paraId="1450B34F">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595" w:type="dxa"/>
            <w:shd w:val="clear" w:color="auto" w:fill="auto"/>
            <w:noWrap w:val="0"/>
            <w:vAlign w:val="center"/>
          </w:tcPr>
          <w:p w14:paraId="5E208D62">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27</w:t>
            </w:r>
          </w:p>
        </w:tc>
        <w:tc>
          <w:tcPr>
            <w:tcW w:w="778" w:type="dxa"/>
            <w:shd w:val="clear" w:color="auto" w:fill="0000FF"/>
            <w:noWrap w:val="0"/>
            <w:vAlign w:val="center"/>
          </w:tcPr>
          <w:p w14:paraId="1A32FCD9">
            <w:pPr>
              <w:spacing w:line="300" w:lineRule="exact"/>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B</w:t>
            </w:r>
          </w:p>
        </w:tc>
        <w:tc>
          <w:tcPr>
            <w:tcW w:w="1583" w:type="dxa"/>
            <w:noWrap w:val="0"/>
            <w:vAlign w:val="center"/>
          </w:tcPr>
          <w:p w14:paraId="42BF69E4">
            <w:pPr>
              <w:spacing w:line="300" w:lineRule="exact"/>
              <w:ind w:firstLine="0" w:firstLineChars="0"/>
              <w:jc w:val="center"/>
              <w:rPr>
                <w:rFonts w:ascii="Times New Roman" w:hAnsi="Times New Roman" w:eastAsia="宋体" w:cs="Times New Roman"/>
                <w:color w:val="auto"/>
                <w:sz w:val="21"/>
                <w:szCs w:val="21"/>
              </w:rPr>
            </w:pPr>
          </w:p>
        </w:tc>
      </w:tr>
      <w:tr w14:paraId="109D4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468" w:type="dxa"/>
            <w:shd w:val="clear" w:color="auto" w:fill="auto"/>
            <w:noWrap w:val="0"/>
            <w:vAlign w:val="center"/>
          </w:tcPr>
          <w:p w14:paraId="4E5C0B63">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16</w:t>
            </w:r>
          </w:p>
        </w:tc>
        <w:tc>
          <w:tcPr>
            <w:tcW w:w="1080" w:type="dxa"/>
            <w:vMerge w:val="continue"/>
            <w:shd w:val="clear" w:color="auto" w:fill="auto"/>
            <w:noWrap w:val="0"/>
            <w:vAlign w:val="center"/>
          </w:tcPr>
          <w:p w14:paraId="4366D8D4">
            <w:pPr>
              <w:widowControl/>
              <w:spacing w:line="300" w:lineRule="exact"/>
              <w:ind w:firstLine="0" w:firstLineChars="0"/>
              <w:jc w:val="left"/>
              <w:rPr>
                <w:rFonts w:ascii="Times New Roman" w:hAnsi="Times New Roman" w:eastAsia="宋体" w:cs="Times New Roman"/>
                <w:color w:val="auto"/>
                <w:sz w:val="21"/>
                <w:szCs w:val="21"/>
              </w:rPr>
            </w:pPr>
          </w:p>
        </w:tc>
        <w:tc>
          <w:tcPr>
            <w:tcW w:w="2160" w:type="dxa"/>
            <w:gridSpan w:val="2"/>
            <w:shd w:val="clear" w:color="auto" w:fill="auto"/>
            <w:noWrap w:val="0"/>
            <w:vAlign w:val="center"/>
          </w:tcPr>
          <w:p w14:paraId="2ACE708D">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球阀漏量</w:t>
            </w:r>
          </w:p>
        </w:tc>
        <w:tc>
          <w:tcPr>
            <w:tcW w:w="1080" w:type="dxa"/>
            <w:shd w:val="clear" w:color="auto" w:fill="auto"/>
            <w:noWrap w:val="0"/>
            <w:vAlign w:val="center"/>
          </w:tcPr>
          <w:p w14:paraId="1186F474">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粉尘伤害</w:t>
            </w:r>
          </w:p>
        </w:tc>
        <w:tc>
          <w:tcPr>
            <w:tcW w:w="1080" w:type="dxa"/>
            <w:shd w:val="clear" w:color="auto" w:fill="auto"/>
            <w:noWrap w:val="0"/>
            <w:vAlign w:val="center"/>
          </w:tcPr>
          <w:p w14:paraId="39B1B4B2">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曾经发生</w:t>
            </w:r>
          </w:p>
        </w:tc>
        <w:tc>
          <w:tcPr>
            <w:tcW w:w="1440" w:type="dxa"/>
            <w:shd w:val="clear" w:color="auto" w:fill="auto"/>
            <w:noWrap w:val="0"/>
            <w:vAlign w:val="center"/>
          </w:tcPr>
          <w:p w14:paraId="1C8DCEB5">
            <w:pPr>
              <w:spacing w:line="300" w:lineRule="exact"/>
              <w:ind w:firstLine="0" w:firstLineChars="0"/>
              <w:jc w:val="center"/>
              <w:rPr>
                <w:rFonts w:hint="eastAsia" w:ascii="Times New Roman" w:hAnsi="宋体" w:eastAsia="宋体" w:cs="Times New Roman"/>
                <w:color w:val="auto"/>
                <w:sz w:val="21"/>
                <w:szCs w:val="21"/>
              </w:rPr>
            </w:pPr>
            <w:r>
              <w:rPr>
                <w:rFonts w:ascii="Times New Roman" w:hAnsi="宋体" w:eastAsia="宋体" w:cs="Times New Roman"/>
                <w:color w:val="auto"/>
                <w:sz w:val="21"/>
                <w:szCs w:val="21"/>
              </w:rPr>
              <w:t>执行</w:t>
            </w:r>
          </w:p>
          <w:p w14:paraId="69E6F9F0">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操作规程</w:t>
            </w:r>
          </w:p>
        </w:tc>
        <w:tc>
          <w:tcPr>
            <w:tcW w:w="900" w:type="dxa"/>
            <w:shd w:val="clear" w:color="auto" w:fill="auto"/>
            <w:noWrap w:val="0"/>
            <w:vAlign w:val="center"/>
          </w:tcPr>
          <w:p w14:paraId="64496149">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胜任</w:t>
            </w:r>
          </w:p>
        </w:tc>
        <w:tc>
          <w:tcPr>
            <w:tcW w:w="1422" w:type="dxa"/>
            <w:shd w:val="clear" w:color="auto" w:fill="auto"/>
            <w:noWrap w:val="0"/>
            <w:vAlign w:val="center"/>
          </w:tcPr>
          <w:p w14:paraId="7B171DBC">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加强监测</w:t>
            </w:r>
          </w:p>
        </w:tc>
        <w:tc>
          <w:tcPr>
            <w:tcW w:w="592" w:type="dxa"/>
            <w:shd w:val="clear" w:color="auto" w:fill="auto"/>
            <w:noWrap w:val="0"/>
            <w:vAlign w:val="center"/>
          </w:tcPr>
          <w:p w14:paraId="046A4E75">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5</w:t>
            </w:r>
          </w:p>
        </w:tc>
        <w:tc>
          <w:tcPr>
            <w:tcW w:w="567" w:type="dxa"/>
            <w:shd w:val="clear" w:color="auto" w:fill="auto"/>
            <w:noWrap w:val="0"/>
            <w:vAlign w:val="center"/>
          </w:tcPr>
          <w:p w14:paraId="08740C7C">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w:t>
            </w:r>
          </w:p>
        </w:tc>
        <w:tc>
          <w:tcPr>
            <w:tcW w:w="583" w:type="dxa"/>
            <w:shd w:val="clear" w:color="auto" w:fill="auto"/>
            <w:noWrap w:val="0"/>
            <w:vAlign w:val="center"/>
          </w:tcPr>
          <w:p w14:paraId="2C8C9BD8">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595" w:type="dxa"/>
            <w:shd w:val="clear" w:color="auto" w:fill="auto"/>
            <w:noWrap w:val="0"/>
            <w:vAlign w:val="center"/>
          </w:tcPr>
          <w:p w14:paraId="50AFEAC8">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10</w:t>
            </w:r>
          </w:p>
        </w:tc>
        <w:tc>
          <w:tcPr>
            <w:tcW w:w="778" w:type="dxa"/>
            <w:shd w:val="clear" w:color="auto" w:fill="0000FF"/>
            <w:noWrap w:val="0"/>
            <w:vAlign w:val="center"/>
          </w:tcPr>
          <w:p w14:paraId="03A68865">
            <w:pPr>
              <w:spacing w:line="300" w:lineRule="exact"/>
              <w:ind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A</w:t>
            </w:r>
          </w:p>
        </w:tc>
        <w:tc>
          <w:tcPr>
            <w:tcW w:w="1583" w:type="dxa"/>
            <w:noWrap w:val="0"/>
            <w:vAlign w:val="center"/>
          </w:tcPr>
          <w:p w14:paraId="6AE91EB6">
            <w:pPr>
              <w:spacing w:line="300" w:lineRule="exact"/>
              <w:ind w:firstLine="0" w:firstLineChars="0"/>
              <w:jc w:val="center"/>
              <w:rPr>
                <w:rFonts w:ascii="Times New Roman" w:hAnsi="Times New Roman" w:eastAsia="宋体" w:cs="Times New Roman"/>
                <w:color w:val="auto"/>
                <w:sz w:val="21"/>
                <w:szCs w:val="21"/>
              </w:rPr>
            </w:pPr>
          </w:p>
        </w:tc>
      </w:tr>
      <w:tr w14:paraId="33A41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468" w:type="dxa"/>
            <w:shd w:val="clear" w:color="auto" w:fill="auto"/>
            <w:noWrap w:val="0"/>
            <w:vAlign w:val="center"/>
          </w:tcPr>
          <w:p w14:paraId="64A227FF">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17</w:t>
            </w:r>
          </w:p>
        </w:tc>
        <w:tc>
          <w:tcPr>
            <w:tcW w:w="1080" w:type="dxa"/>
            <w:vMerge w:val="continue"/>
            <w:shd w:val="clear" w:color="auto" w:fill="auto"/>
            <w:noWrap w:val="0"/>
            <w:vAlign w:val="center"/>
          </w:tcPr>
          <w:p w14:paraId="33BF2276">
            <w:pPr>
              <w:widowControl/>
              <w:spacing w:line="300" w:lineRule="exact"/>
              <w:ind w:firstLine="0" w:firstLineChars="0"/>
              <w:jc w:val="left"/>
              <w:rPr>
                <w:rFonts w:ascii="Times New Roman" w:hAnsi="Times New Roman" w:eastAsia="宋体" w:cs="Times New Roman"/>
                <w:color w:val="auto"/>
                <w:sz w:val="21"/>
                <w:szCs w:val="21"/>
              </w:rPr>
            </w:pPr>
          </w:p>
        </w:tc>
        <w:tc>
          <w:tcPr>
            <w:tcW w:w="1800" w:type="dxa"/>
            <w:shd w:val="clear" w:color="auto" w:fill="auto"/>
            <w:noWrap w:val="0"/>
            <w:vAlign w:val="center"/>
          </w:tcPr>
          <w:p w14:paraId="3DF0F0BE">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疲劳作业</w:t>
            </w:r>
          </w:p>
        </w:tc>
        <w:tc>
          <w:tcPr>
            <w:tcW w:w="1440" w:type="dxa"/>
            <w:gridSpan w:val="2"/>
            <w:shd w:val="clear" w:color="auto" w:fill="auto"/>
            <w:noWrap w:val="0"/>
            <w:vAlign w:val="center"/>
          </w:tcPr>
          <w:p w14:paraId="3DE20E3A">
            <w:pPr>
              <w:spacing w:line="300" w:lineRule="exact"/>
              <w:ind w:firstLine="0" w:firstLineChars="0"/>
              <w:jc w:val="center"/>
              <w:rPr>
                <w:rFonts w:hint="eastAsia" w:ascii="Times New Roman" w:hAnsi="宋体" w:eastAsia="宋体" w:cs="Times New Roman"/>
                <w:color w:val="auto"/>
                <w:sz w:val="21"/>
                <w:szCs w:val="21"/>
              </w:rPr>
            </w:pPr>
            <w:r>
              <w:rPr>
                <w:rFonts w:ascii="Times New Roman" w:hAnsi="宋体" w:eastAsia="宋体" w:cs="Times New Roman"/>
                <w:color w:val="auto"/>
                <w:sz w:val="21"/>
                <w:szCs w:val="21"/>
              </w:rPr>
              <w:t>机械伤害、</w:t>
            </w:r>
          </w:p>
          <w:p w14:paraId="177A041C">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其它伤害</w:t>
            </w:r>
          </w:p>
        </w:tc>
        <w:tc>
          <w:tcPr>
            <w:tcW w:w="1080" w:type="dxa"/>
            <w:shd w:val="clear" w:color="auto" w:fill="auto"/>
            <w:noWrap w:val="0"/>
            <w:vAlign w:val="center"/>
          </w:tcPr>
          <w:p w14:paraId="459E6C44">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曾经发生</w:t>
            </w:r>
          </w:p>
        </w:tc>
        <w:tc>
          <w:tcPr>
            <w:tcW w:w="1440" w:type="dxa"/>
            <w:shd w:val="clear" w:color="auto" w:fill="auto"/>
            <w:noWrap w:val="0"/>
            <w:vAlign w:val="center"/>
          </w:tcPr>
          <w:p w14:paraId="372255F1">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与员工沟通</w:t>
            </w:r>
          </w:p>
        </w:tc>
        <w:tc>
          <w:tcPr>
            <w:tcW w:w="900" w:type="dxa"/>
            <w:shd w:val="clear" w:color="auto" w:fill="auto"/>
            <w:noWrap w:val="0"/>
            <w:vAlign w:val="center"/>
          </w:tcPr>
          <w:p w14:paraId="0A3DB7E7">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不胜任</w:t>
            </w:r>
          </w:p>
        </w:tc>
        <w:tc>
          <w:tcPr>
            <w:tcW w:w="1422" w:type="dxa"/>
            <w:shd w:val="clear" w:color="auto" w:fill="auto"/>
            <w:noWrap w:val="0"/>
            <w:vAlign w:val="center"/>
          </w:tcPr>
          <w:p w14:paraId="6E67F695">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安排休息</w:t>
            </w:r>
          </w:p>
        </w:tc>
        <w:tc>
          <w:tcPr>
            <w:tcW w:w="592" w:type="dxa"/>
            <w:shd w:val="clear" w:color="auto" w:fill="auto"/>
            <w:noWrap w:val="0"/>
            <w:vAlign w:val="center"/>
          </w:tcPr>
          <w:p w14:paraId="14D24386">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567" w:type="dxa"/>
            <w:shd w:val="clear" w:color="auto" w:fill="auto"/>
            <w:noWrap w:val="0"/>
            <w:vAlign w:val="center"/>
          </w:tcPr>
          <w:p w14:paraId="537C98E4">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w:t>
            </w:r>
          </w:p>
        </w:tc>
        <w:tc>
          <w:tcPr>
            <w:tcW w:w="583" w:type="dxa"/>
            <w:shd w:val="clear" w:color="auto" w:fill="auto"/>
            <w:noWrap w:val="0"/>
            <w:vAlign w:val="center"/>
          </w:tcPr>
          <w:p w14:paraId="203CFAAF">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5</w:t>
            </w:r>
          </w:p>
        </w:tc>
        <w:tc>
          <w:tcPr>
            <w:tcW w:w="595" w:type="dxa"/>
            <w:shd w:val="clear" w:color="auto" w:fill="auto"/>
            <w:noWrap w:val="0"/>
            <w:vAlign w:val="center"/>
          </w:tcPr>
          <w:p w14:paraId="1BEB9366">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30</w:t>
            </w:r>
          </w:p>
        </w:tc>
        <w:tc>
          <w:tcPr>
            <w:tcW w:w="778" w:type="dxa"/>
            <w:shd w:val="clear" w:color="auto" w:fill="0000FF"/>
            <w:noWrap w:val="0"/>
            <w:vAlign w:val="center"/>
          </w:tcPr>
          <w:p w14:paraId="5646B9A9">
            <w:pPr>
              <w:spacing w:line="300" w:lineRule="exact"/>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B</w:t>
            </w:r>
          </w:p>
        </w:tc>
        <w:tc>
          <w:tcPr>
            <w:tcW w:w="1583" w:type="dxa"/>
            <w:noWrap w:val="0"/>
            <w:vAlign w:val="center"/>
          </w:tcPr>
          <w:p w14:paraId="2A67E1AF">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加强</w:t>
            </w:r>
            <w:r>
              <w:rPr>
                <w:rFonts w:hint="eastAsia" w:ascii="Times New Roman" w:hAnsi="宋体" w:eastAsia="宋体" w:cs="Times New Roman"/>
                <w:color w:val="auto"/>
                <w:sz w:val="21"/>
                <w:szCs w:val="21"/>
              </w:rPr>
              <w:t>安全</w:t>
            </w:r>
            <w:r>
              <w:rPr>
                <w:rFonts w:ascii="Times New Roman" w:hAnsi="宋体" w:eastAsia="宋体" w:cs="Times New Roman"/>
                <w:color w:val="auto"/>
                <w:sz w:val="21"/>
                <w:szCs w:val="21"/>
              </w:rPr>
              <w:t>教育</w:t>
            </w:r>
          </w:p>
        </w:tc>
      </w:tr>
      <w:tr w14:paraId="5DB02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468" w:type="dxa"/>
            <w:shd w:val="clear" w:color="auto" w:fill="auto"/>
            <w:noWrap w:val="0"/>
            <w:vAlign w:val="center"/>
          </w:tcPr>
          <w:p w14:paraId="38B31D4A">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18</w:t>
            </w:r>
          </w:p>
        </w:tc>
        <w:tc>
          <w:tcPr>
            <w:tcW w:w="1080" w:type="dxa"/>
            <w:vMerge w:val="continue"/>
            <w:shd w:val="clear" w:color="auto" w:fill="auto"/>
            <w:noWrap w:val="0"/>
            <w:vAlign w:val="center"/>
          </w:tcPr>
          <w:p w14:paraId="4C03C186">
            <w:pPr>
              <w:widowControl/>
              <w:spacing w:line="300" w:lineRule="exact"/>
              <w:ind w:firstLine="0" w:firstLineChars="0"/>
              <w:jc w:val="left"/>
              <w:rPr>
                <w:rFonts w:ascii="Times New Roman" w:hAnsi="Times New Roman" w:eastAsia="宋体" w:cs="Times New Roman"/>
                <w:color w:val="auto"/>
                <w:sz w:val="21"/>
                <w:szCs w:val="21"/>
              </w:rPr>
            </w:pPr>
          </w:p>
        </w:tc>
        <w:tc>
          <w:tcPr>
            <w:tcW w:w="2160" w:type="dxa"/>
            <w:gridSpan w:val="2"/>
            <w:shd w:val="clear" w:color="auto" w:fill="auto"/>
            <w:noWrap w:val="0"/>
            <w:vAlign w:val="center"/>
          </w:tcPr>
          <w:p w14:paraId="38462A81">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心理异常</w:t>
            </w:r>
          </w:p>
        </w:tc>
        <w:tc>
          <w:tcPr>
            <w:tcW w:w="1080" w:type="dxa"/>
            <w:shd w:val="clear" w:color="auto" w:fill="auto"/>
            <w:noWrap w:val="0"/>
            <w:vAlign w:val="center"/>
          </w:tcPr>
          <w:p w14:paraId="3F0F4644">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触电</w:t>
            </w:r>
          </w:p>
        </w:tc>
        <w:tc>
          <w:tcPr>
            <w:tcW w:w="1080" w:type="dxa"/>
            <w:shd w:val="clear" w:color="auto" w:fill="auto"/>
            <w:noWrap w:val="0"/>
            <w:vAlign w:val="center"/>
          </w:tcPr>
          <w:p w14:paraId="0C36A76B">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曾经发生</w:t>
            </w:r>
          </w:p>
        </w:tc>
        <w:tc>
          <w:tcPr>
            <w:tcW w:w="1440" w:type="dxa"/>
            <w:shd w:val="clear" w:color="auto" w:fill="auto"/>
            <w:noWrap w:val="0"/>
            <w:vAlign w:val="center"/>
          </w:tcPr>
          <w:p w14:paraId="32F282C2">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与员工沟通</w:t>
            </w:r>
          </w:p>
        </w:tc>
        <w:tc>
          <w:tcPr>
            <w:tcW w:w="900" w:type="dxa"/>
            <w:shd w:val="clear" w:color="auto" w:fill="auto"/>
            <w:noWrap w:val="0"/>
            <w:vAlign w:val="center"/>
          </w:tcPr>
          <w:p w14:paraId="30C8B0F4">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不胜任</w:t>
            </w:r>
          </w:p>
        </w:tc>
        <w:tc>
          <w:tcPr>
            <w:tcW w:w="1422" w:type="dxa"/>
            <w:shd w:val="clear" w:color="auto" w:fill="auto"/>
            <w:noWrap w:val="0"/>
            <w:vAlign w:val="center"/>
          </w:tcPr>
          <w:p w14:paraId="79D6EF11">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安排休息</w:t>
            </w:r>
          </w:p>
        </w:tc>
        <w:tc>
          <w:tcPr>
            <w:tcW w:w="592" w:type="dxa"/>
            <w:shd w:val="clear" w:color="auto" w:fill="auto"/>
            <w:noWrap w:val="0"/>
            <w:vAlign w:val="center"/>
          </w:tcPr>
          <w:p w14:paraId="1C9A5781">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567" w:type="dxa"/>
            <w:shd w:val="clear" w:color="auto" w:fill="auto"/>
            <w:noWrap w:val="0"/>
            <w:vAlign w:val="center"/>
          </w:tcPr>
          <w:p w14:paraId="3FBC1397">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w:t>
            </w:r>
          </w:p>
        </w:tc>
        <w:tc>
          <w:tcPr>
            <w:tcW w:w="583" w:type="dxa"/>
            <w:shd w:val="clear" w:color="auto" w:fill="auto"/>
            <w:noWrap w:val="0"/>
            <w:vAlign w:val="center"/>
          </w:tcPr>
          <w:p w14:paraId="4C2BC1AD">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5</w:t>
            </w:r>
          </w:p>
        </w:tc>
        <w:tc>
          <w:tcPr>
            <w:tcW w:w="595" w:type="dxa"/>
            <w:shd w:val="clear" w:color="auto" w:fill="auto"/>
            <w:noWrap w:val="0"/>
            <w:vAlign w:val="center"/>
          </w:tcPr>
          <w:p w14:paraId="308BADB1">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30</w:t>
            </w:r>
          </w:p>
        </w:tc>
        <w:tc>
          <w:tcPr>
            <w:tcW w:w="778" w:type="dxa"/>
            <w:shd w:val="clear" w:color="auto" w:fill="0000FF"/>
            <w:noWrap w:val="0"/>
            <w:vAlign w:val="top"/>
          </w:tcPr>
          <w:p w14:paraId="612E73E7">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szCs w:val="21"/>
              </w:rPr>
              <w:t>B</w:t>
            </w:r>
          </w:p>
        </w:tc>
        <w:tc>
          <w:tcPr>
            <w:tcW w:w="1583" w:type="dxa"/>
            <w:noWrap w:val="0"/>
            <w:vAlign w:val="center"/>
          </w:tcPr>
          <w:p w14:paraId="2A88C800">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加强</w:t>
            </w:r>
            <w:r>
              <w:rPr>
                <w:rFonts w:hint="eastAsia" w:ascii="Times New Roman" w:hAnsi="宋体" w:eastAsia="宋体" w:cs="Times New Roman"/>
                <w:color w:val="auto"/>
                <w:sz w:val="21"/>
                <w:szCs w:val="21"/>
              </w:rPr>
              <w:t>安全</w:t>
            </w:r>
            <w:r>
              <w:rPr>
                <w:rFonts w:ascii="Times New Roman" w:hAnsi="宋体" w:eastAsia="宋体" w:cs="Times New Roman"/>
                <w:color w:val="auto"/>
                <w:sz w:val="21"/>
                <w:szCs w:val="21"/>
              </w:rPr>
              <w:t>教育</w:t>
            </w:r>
          </w:p>
        </w:tc>
      </w:tr>
      <w:tr w14:paraId="4BF27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468" w:type="dxa"/>
            <w:shd w:val="clear" w:color="auto" w:fill="auto"/>
            <w:noWrap w:val="0"/>
            <w:vAlign w:val="center"/>
          </w:tcPr>
          <w:p w14:paraId="56215D93">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19</w:t>
            </w:r>
          </w:p>
        </w:tc>
        <w:tc>
          <w:tcPr>
            <w:tcW w:w="1080" w:type="dxa"/>
            <w:vMerge w:val="continue"/>
            <w:shd w:val="clear" w:color="auto" w:fill="auto"/>
            <w:noWrap w:val="0"/>
            <w:vAlign w:val="center"/>
          </w:tcPr>
          <w:p w14:paraId="654EF03D">
            <w:pPr>
              <w:widowControl/>
              <w:spacing w:line="300" w:lineRule="exact"/>
              <w:ind w:firstLine="0" w:firstLineChars="0"/>
              <w:jc w:val="left"/>
              <w:rPr>
                <w:rFonts w:ascii="Times New Roman" w:hAnsi="Times New Roman" w:eastAsia="宋体" w:cs="Times New Roman"/>
                <w:color w:val="auto"/>
                <w:sz w:val="21"/>
                <w:szCs w:val="21"/>
              </w:rPr>
            </w:pPr>
          </w:p>
        </w:tc>
        <w:tc>
          <w:tcPr>
            <w:tcW w:w="2160" w:type="dxa"/>
            <w:gridSpan w:val="2"/>
            <w:shd w:val="clear" w:color="auto" w:fill="auto"/>
            <w:noWrap w:val="0"/>
            <w:vAlign w:val="center"/>
          </w:tcPr>
          <w:p w14:paraId="5BF10FBC">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高空作业未系安全带</w:t>
            </w:r>
          </w:p>
        </w:tc>
        <w:tc>
          <w:tcPr>
            <w:tcW w:w="1080" w:type="dxa"/>
            <w:shd w:val="clear" w:color="auto" w:fill="auto"/>
            <w:noWrap w:val="0"/>
            <w:vAlign w:val="center"/>
          </w:tcPr>
          <w:p w14:paraId="147B08F0">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高处坠落</w:t>
            </w:r>
          </w:p>
        </w:tc>
        <w:tc>
          <w:tcPr>
            <w:tcW w:w="1080" w:type="dxa"/>
            <w:shd w:val="clear" w:color="auto" w:fill="auto"/>
            <w:noWrap w:val="0"/>
            <w:vAlign w:val="center"/>
          </w:tcPr>
          <w:p w14:paraId="564BF0B1">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可能发生</w:t>
            </w:r>
          </w:p>
        </w:tc>
        <w:tc>
          <w:tcPr>
            <w:tcW w:w="1440" w:type="dxa"/>
            <w:shd w:val="clear" w:color="auto" w:fill="auto"/>
            <w:noWrap w:val="0"/>
            <w:vAlign w:val="center"/>
          </w:tcPr>
          <w:p w14:paraId="11E154F6">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加强监管</w:t>
            </w:r>
          </w:p>
        </w:tc>
        <w:tc>
          <w:tcPr>
            <w:tcW w:w="900" w:type="dxa"/>
            <w:shd w:val="clear" w:color="auto" w:fill="auto"/>
            <w:noWrap w:val="0"/>
            <w:vAlign w:val="center"/>
          </w:tcPr>
          <w:p w14:paraId="29088215">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不胜任</w:t>
            </w:r>
          </w:p>
        </w:tc>
        <w:tc>
          <w:tcPr>
            <w:tcW w:w="1422" w:type="dxa"/>
            <w:shd w:val="clear" w:color="auto" w:fill="auto"/>
            <w:noWrap w:val="0"/>
            <w:vAlign w:val="center"/>
          </w:tcPr>
          <w:p w14:paraId="10C5D12F">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系安全带</w:t>
            </w:r>
          </w:p>
        </w:tc>
        <w:tc>
          <w:tcPr>
            <w:tcW w:w="592" w:type="dxa"/>
            <w:shd w:val="clear" w:color="auto" w:fill="auto"/>
            <w:noWrap w:val="0"/>
            <w:vAlign w:val="center"/>
          </w:tcPr>
          <w:p w14:paraId="352C8C25">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567" w:type="dxa"/>
            <w:shd w:val="clear" w:color="auto" w:fill="auto"/>
            <w:noWrap w:val="0"/>
            <w:vAlign w:val="center"/>
          </w:tcPr>
          <w:p w14:paraId="12E91AC9">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6</w:t>
            </w:r>
          </w:p>
        </w:tc>
        <w:tc>
          <w:tcPr>
            <w:tcW w:w="583" w:type="dxa"/>
            <w:shd w:val="clear" w:color="auto" w:fill="auto"/>
            <w:noWrap w:val="0"/>
            <w:vAlign w:val="center"/>
          </w:tcPr>
          <w:p w14:paraId="25C3D68E">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5</w:t>
            </w:r>
          </w:p>
        </w:tc>
        <w:tc>
          <w:tcPr>
            <w:tcW w:w="595" w:type="dxa"/>
            <w:shd w:val="clear" w:color="auto" w:fill="auto"/>
            <w:noWrap w:val="0"/>
            <w:vAlign w:val="center"/>
          </w:tcPr>
          <w:p w14:paraId="0ECB861E">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30</w:t>
            </w:r>
          </w:p>
        </w:tc>
        <w:tc>
          <w:tcPr>
            <w:tcW w:w="778" w:type="dxa"/>
            <w:shd w:val="clear" w:color="auto" w:fill="0000FF"/>
            <w:noWrap w:val="0"/>
            <w:vAlign w:val="top"/>
          </w:tcPr>
          <w:p w14:paraId="169F37CD">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szCs w:val="21"/>
              </w:rPr>
              <w:t>B</w:t>
            </w:r>
          </w:p>
        </w:tc>
        <w:tc>
          <w:tcPr>
            <w:tcW w:w="1583" w:type="dxa"/>
            <w:noWrap w:val="0"/>
            <w:vAlign w:val="center"/>
          </w:tcPr>
          <w:p w14:paraId="2F0935E1">
            <w:pPr>
              <w:spacing w:line="300" w:lineRule="exact"/>
              <w:ind w:firstLine="0" w:firstLineChars="0"/>
              <w:jc w:val="center"/>
              <w:rPr>
                <w:rFonts w:hint="eastAsia" w:ascii="Times New Roman" w:hAnsi="宋体" w:eastAsia="宋体" w:cs="Times New Roman"/>
                <w:color w:val="auto"/>
                <w:sz w:val="21"/>
                <w:szCs w:val="21"/>
              </w:rPr>
            </w:pPr>
            <w:r>
              <w:rPr>
                <w:rFonts w:ascii="Times New Roman" w:hAnsi="宋体" w:eastAsia="宋体" w:cs="Times New Roman"/>
                <w:color w:val="auto"/>
                <w:sz w:val="21"/>
                <w:szCs w:val="21"/>
              </w:rPr>
              <w:t>加强安全教育</w:t>
            </w:r>
          </w:p>
        </w:tc>
      </w:tr>
      <w:tr w14:paraId="5736E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468" w:type="dxa"/>
            <w:shd w:val="clear" w:color="auto" w:fill="auto"/>
            <w:noWrap w:val="0"/>
            <w:vAlign w:val="center"/>
          </w:tcPr>
          <w:p w14:paraId="74F847AC">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21</w:t>
            </w:r>
          </w:p>
        </w:tc>
        <w:tc>
          <w:tcPr>
            <w:tcW w:w="1080" w:type="dxa"/>
            <w:vMerge w:val="continue"/>
            <w:shd w:val="clear" w:color="auto" w:fill="auto"/>
            <w:noWrap w:val="0"/>
            <w:vAlign w:val="center"/>
          </w:tcPr>
          <w:p w14:paraId="5A1F0300">
            <w:pPr>
              <w:widowControl/>
              <w:spacing w:line="300" w:lineRule="exact"/>
              <w:ind w:firstLine="0" w:firstLineChars="0"/>
              <w:jc w:val="left"/>
              <w:rPr>
                <w:rFonts w:ascii="Times New Roman" w:hAnsi="Times New Roman" w:eastAsia="宋体" w:cs="Times New Roman"/>
                <w:color w:val="auto"/>
                <w:sz w:val="21"/>
                <w:szCs w:val="21"/>
              </w:rPr>
            </w:pPr>
          </w:p>
        </w:tc>
        <w:tc>
          <w:tcPr>
            <w:tcW w:w="2160" w:type="dxa"/>
            <w:gridSpan w:val="2"/>
            <w:shd w:val="clear" w:color="auto" w:fill="auto"/>
            <w:noWrap w:val="0"/>
            <w:vAlign w:val="center"/>
          </w:tcPr>
          <w:p w14:paraId="57A6A283">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滑到</w:t>
            </w:r>
          </w:p>
        </w:tc>
        <w:tc>
          <w:tcPr>
            <w:tcW w:w="1080" w:type="dxa"/>
            <w:shd w:val="clear" w:color="auto" w:fill="auto"/>
            <w:noWrap w:val="0"/>
            <w:vAlign w:val="center"/>
          </w:tcPr>
          <w:p w14:paraId="1C7B8AA9">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物体打击</w:t>
            </w:r>
          </w:p>
        </w:tc>
        <w:tc>
          <w:tcPr>
            <w:tcW w:w="1080" w:type="dxa"/>
            <w:shd w:val="clear" w:color="auto" w:fill="auto"/>
            <w:noWrap w:val="0"/>
            <w:vAlign w:val="center"/>
          </w:tcPr>
          <w:p w14:paraId="7D0BBB14">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可能发生</w:t>
            </w:r>
          </w:p>
        </w:tc>
        <w:tc>
          <w:tcPr>
            <w:tcW w:w="1440" w:type="dxa"/>
            <w:shd w:val="clear" w:color="auto" w:fill="auto"/>
            <w:noWrap w:val="0"/>
            <w:vAlign w:val="center"/>
          </w:tcPr>
          <w:p w14:paraId="63A4D165">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加强监管</w:t>
            </w:r>
          </w:p>
        </w:tc>
        <w:tc>
          <w:tcPr>
            <w:tcW w:w="900" w:type="dxa"/>
            <w:shd w:val="clear" w:color="auto" w:fill="auto"/>
            <w:noWrap w:val="0"/>
            <w:vAlign w:val="center"/>
          </w:tcPr>
          <w:p w14:paraId="2EEF1D8B">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不胜任</w:t>
            </w:r>
          </w:p>
        </w:tc>
        <w:tc>
          <w:tcPr>
            <w:tcW w:w="1422" w:type="dxa"/>
            <w:shd w:val="clear" w:color="auto" w:fill="auto"/>
            <w:noWrap w:val="0"/>
            <w:vAlign w:val="center"/>
          </w:tcPr>
          <w:p w14:paraId="376E1B1E">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个体防护</w:t>
            </w:r>
          </w:p>
        </w:tc>
        <w:tc>
          <w:tcPr>
            <w:tcW w:w="592" w:type="dxa"/>
            <w:shd w:val="clear" w:color="auto" w:fill="auto"/>
            <w:noWrap w:val="0"/>
            <w:vAlign w:val="center"/>
          </w:tcPr>
          <w:p w14:paraId="57118EA3">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567" w:type="dxa"/>
            <w:shd w:val="clear" w:color="auto" w:fill="auto"/>
            <w:noWrap w:val="0"/>
            <w:vAlign w:val="center"/>
          </w:tcPr>
          <w:p w14:paraId="7F849C93">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w:t>
            </w:r>
          </w:p>
        </w:tc>
        <w:tc>
          <w:tcPr>
            <w:tcW w:w="583" w:type="dxa"/>
            <w:shd w:val="clear" w:color="auto" w:fill="auto"/>
            <w:noWrap w:val="0"/>
            <w:vAlign w:val="center"/>
          </w:tcPr>
          <w:p w14:paraId="31805BA1">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5</w:t>
            </w:r>
          </w:p>
        </w:tc>
        <w:tc>
          <w:tcPr>
            <w:tcW w:w="595" w:type="dxa"/>
            <w:shd w:val="clear" w:color="auto" w:fill="auto"/>
            <w:noWrap w:val="0"/>
            <w:vAlign w:val="center"/>
          </w:tcPr>
          <w:p w14:paraId="14ABB916">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30</w:t>
            </w:r>
          </w:p>
        </w:tc>
        <w:tc>
          <w:tcPr>
            <w:tcW w:w="778" w:type="dxa"/>
            <w:shd w:val="clear" w:color="auto" w:fill="0000FF"/>
            <w:noWrap w:val="0"/>
            <w:vAlign w:val="top"/>
          </w:tcPr>
          <w:p w14:paraId="4C362EBD">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szCs w:val="21"/>
              </w:rPr>
              <w:t>B</w:t>
            </w:r>
          </w:p>
        </w:tc>
        <w:tc>
          <w:tcPr>
            <w:tcW w:w="1583" w:type="dxa"/>
            <w:noWrap w:val="0"/>
            <w:vAlign w:val="center"/>
          </w:tcPr>
          <w:p w14:paraId="2A462094">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加强安全教育</w:t>
            </w:r>
          </w:p>
        </w:tc>
      </w:tr>
    </w:tbl>
    <w:p w14:paraId="26E9EDCF">
      <w:pPr>
        <w:bidi w:val="0"/>
        <w:ind w:left="0" w:leftChars="0" w:firstLine="0" w:firstLineChars="0"/>
        <w:jc w:val="center"/>
        <w:rPr>
          <w:rFonts w:hint="default"/>
          <w:color w:val="auto"/>
          <w:lang w:val="en-US" w:eastAsia="zh-CN"/>
        </w:rPr>
      </w:pPr>
      <w:r>
        <w:rPr>
          <w:rFonts w:hint="eastAsia"/>
          <w:color w:val="auto"/>
          <w:lang w:val="en-US" w:eastAsia="zh-CN"/>
        </w:rPr>
        <w:t xml:space="preserve">表5.6-4 </w:t>
      </w:r>
      <w:r>
        <w:rPr>
          <w:rFonts w:hint="default"/>
          <w:color w:val="auto"/>
          <w:lang w:val="en-US" w:eastAsia="zh-CN"/>
        </w:rPr>
        <w:t>特殊情况作业过程危险有害因素辨识与评价记录</w:t>
      </w:r>
    </w:p>
    <w:tbl>
      <w:tblPr>
        <w:tblStyle w:val="19"/>
        <w:tblW w:w="143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8"/>
        <w:gridCol w:w="900"/>
        <w:gridCol w:w="1800"/>
        <w:gridCol w:w="1080"/>
        <w:gridCol w:w="900"/>
        <w:gridCol w:w="1800"/>
        <w:gridCol w:w="1080"/>
        <w:gridCol w:w="1980"/>
        <w:gridCol w:w="360"/>
        <w:gridCol w:w="360"/>
        <w:gridCol w:w="540"/>
        <w:gridCol w:w="540"/>
        <w:gridCol w:w="759"/>
        <w:gridCol w:w="1761"/>
      </w:tblGrid>
      <w:tr w14:paraId="54918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trPr>
        <w:tc>
          <w:tcPr>
            <w:tcW w:w="468" w:type="dxa"/>
            <w:vMerge w:val="restart"/>
            <w:noWrap w:val="0"/>
            <w:vAlign w:val="center"/>
          </w:tcPr>
          <w:p w14:paraId="4064E367">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序号</w:t>
            </w:r>
          </w:p>
        </w:tc>
        <w:tc>
          <w:tcPr>
            <w:tcW w:w="900" w:type="dxa"/>
            <w:vMerge w:val="restart"/>
            <w:noWrap w:val="0"/>
            <w:vAlign w:val="center"/>
          </w:tcPr>
          <w:p w14:paraId="7770D5FB">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工作</w:t>
            </w:r>
          </w:p>
          <w:p w14:paraId="50E0B8AF">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步骤</w:t>
            </w:r>
          </w:p>
        </w:tc>
        <w:tc>
          <w:tcPr>
            <w:tcW w:w="1800" w:type="dxa"/>
            <w:vMerge w:val="restart"/>
            <w:noWrap w:val="0"/>
            <w:vAlign w:val="center"/>
          </w:tcPr>
          <w:p w14:paraId="35CE4E47">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危险有害因素</w:t>
            </w:r>
          </w:p>
        </w:tc>
        <w:tc>
          <w:tcPr>
            <w:tcW w:w="1080" w:type="dxa"/>
            <w:vMerge w:val="restart"/>
            <w:noWrap w:val="0"/>
            <w:vAlign w:val="center"/>
          </w:tcPr>
          <w:p w14:paraId="635A0337">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可能导致的事故</w:t>
            </w:r>
          </w:p>
        </w:tc>
        <w:tc>
          <w:tcPr>
            <w:tcW w:w="5760" w:type="dxa"/>
            <w:gridSpan w:val="4"/>
            <w:noWrap w:val="0"/>
            <w:vAlign w:val="center"/>
          </w:tcPr>
          <w:p w14:paraId="766F98BF">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以往发生频率及现有安全措施</w:t>
            </w:r>
          </w:p>
        </w:tc>
        <w:tc>
          <w:tcPr>
            <w:tcW w:w="360" w:type="dxa"/>
            <w:vMerge w:val="restart"/>
            <w:noWrap w:val="0"/>
            <w:vAlign w:val="center"/>
          </w:tcPr>
          <w:p w14:paraId="18A6EECA">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L</w:t>
            </w:r>
          </w:p>
        </w:tc>
        <w:tc>
          <w:tcPr>
            <w:tcW w:w="360" w:type="dxa"/>
            <w:vMerge w:val="restart"/>
            <w:noWrap w:val="0"/>
            <w:vAlign w:val="center"/>
          </w:tcPr>
          <w:p w14:paraId="1EC6F188">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E</w:t>
            </w:r>
          </w:p>
        </w:tc>
        <w:tc>
          <w:tcPr>
            <w:tcW w:w="540" w:type="dxa"/>
            <w:vMerge w:val="restart"/>
            <w:noWrap w:val="0"/>
            <w:vAlign w:val="center"/>
          </w:tcPr>
          <w:p w14:paraId="07367E5C">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C</w:t>
            </w:r>
          </w:p>
        </w:tc>
        <w:tc>
          <w:tcPr>
            <w:tcW w:w="540" w:type="dxa"/>
            <w:vMerge w:val="restart"/>
            <w:noWrap w:val="0"/>
            <w:vAlign w:val="center"/>
          </w:tcPr>
          <w:p w14:paraId="3E98E561">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D</w:t>
            </w:r>
          </w:p>
        </w:tc>
        <w:tc>
          <w:tcPr>
            <w:tcW w:w="759" w:type="dxa"/>
            <w:vMerge w:val="restart"/>
            <w:noWrap w:val="0"/>
            <w:vAlign w:val="center"/>
          </w:tcPr>
          <w:p w14:paraId="072BABBB">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危险等级</w:t>
            </w:r>
          </w:p>
        </w:tc>
        <w:tc>
          <w:tcPr>
            <w:tcW w:w="1761" w:type="dxa"/>
            <w:vMerge w:val="restart"/>
            <w:noWrap w:val="0"/>
            <w:vAlign w:val="center"/>
          </w:tcPr>
          <w:p w14:paraId="0CB1AC24">
            <w:pPr>
              <w:spacing w:line="300" w:lineRule="exact"/>
              <w:ind w:firstLine="0" w:firstLineChars="0"/>
              <w:jc w:val="center"/>
              <w:rPr>
                <w:rFonts w:hint="eastAsia" w:ascii="Times New Roman" w:hAnsi="宋体" w:eastAsia="宋体" w:cs="Times New Roman"/>
                <w:color w:val="auto"/>
                <w:sz w:val="21"/>
                <w:szCs w:val="21"/>
              </w:rPr>
            </w:pPr>
            <w:r>
              <w:rPr>
                <w:rFonts w:ascii="Times New Roman" w:hAnsi="宋体" w:eastAsia="宋体" w:cs="Times New Roman"/>
                <w:color w:val="auto"/>
                <w:sz w:val="21"/>
                <w:szCs w:val="21"/>
              </w:rPr>
              <w:t>建议改正</w:t>
            </w:r>
          </w:p>
          <w:p w14:paraId="5EBB2018">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控制措施</w:t>
            </w:r>
          </w:p>
        </w:tc>
      </w:tr>
      <w:tr w14:paraId="46453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468" w:type="dxa"/>
            <w:vMerge w:val="continue"/>
            <w:noWrap w:val="0"/>
            <w:vAlign w:val="center"/>
          </w:tcPr>
          <w:p w14:paraId="7414B434">
            <w:pPr>
              <w:widowControl/>
              <w:spacing w:line="300" w:lineRule="exact"/>
              <w:ind w:firstLine="0" w:firstLineChars="0"/>
              <w:jc w:val="left"/>
              <w:rPr>
                <w:rFonts w:ascii="Times New Roman" w:hAnsi="Times New Roman" w:eastAsia="宋体" w:cs="Times New Roman"/>
                <w:color w:val="auto"/>
                <w:sz w:val="21"/>
                <w:szCs w:val="21"/>
              </w:rPr>
            </w:pPr>
          </w:p>
        </w:tc>
        <w:tc>
          <w:tcPr>
            <w:tcW w:w="900" w:type="dxa"/>
            <w:vMerge w:val="continue"/>
            <w:noWrap w:val="0"/>
            <w:vAlign w:val="center"/>
          </w:tcPr>
          <w:p w14:paraId="1E33E3EE">
            <w:pPr>
              <w:widowControl/>
              <w:spacing w:line="300" w:lineRule="exact"/>
              <w:ind w:firstLine="0" w:firstLineChars="0"/>
              <w:jc w:val="left"/>
              <w:rPr>
                <w:rFonts w:ascii="Times New Roman" w:hAnsi="Times New Roman" w:eastAsia="宋体" w:cs="Times New Roman"/>
                <w:color w:val="auto"/>
                <w:sz w:val="21"/>
                <w:szCs w:val="21"/>
              </w:rPr>
            </w:pPr>
          </w:p>
        </w:tc>
        <w:tc>
          <w:tcPr>
            <w:tcW w:w="1800" w:type="dxa"/>
            <w:vMerge w:val="continue"/>
            <w:noWrap w:val="0"/>
            <w:vAlign w:val="center"/>
          </w:tcPr>
          <w:p w14:paraId="4A5B1146">
            <w:pPr>
              <w:widowControl/>
              <w:spacing w:line="300" w:lineRule="exact"/>
              <w:ind w:firstLine="0" w:firstLineChars="0"/>
              <w:jc w:val="left"/>
              <w:rPr>
                <w:rFonts w:ascii="Times New Roman" w:hAnsi="Times New Roman" w:eastAsia="宋体" w:cs="Times New Roman"/>
                <w:color w:val="auto"/>
                <w:sz w:val="21"/>
                <w:szCs w:val="21"/>
              </w:rPr>
            </w:pPr>
          </w:p>
        </w:tc>
        <w:tc>
          <w:tcPr>
            <w:tcW w:w="1080" w:type="dxa"/>
            <w:vMerge w:val="continue"/>
            <w:noWrap w:val="0"/>
            <w:vAlign w:val="center"/>
          </w:tcPr>
          <w:p w14:paraId="5C35379E">
            <w:pPr>
              <w:widowControl/>
              <w:spacing w:line="300" w:lineRule="exact"/>
              <w:ind w:firstLine="0" w:firstLineChars="0"/>
              <w:jc w:val="left"/>
              <w:rPr>
                <w:rFonts w:ascii="Times New Roman" w:hAnsi="Times New Roman" w:eastAsia="宋体" w:cs="Times New Roman"/>
                <w:color w:val="auto"/>
                <w:sz w:val="21"/>
                <w:szCs w:val="21"/>
              </w:rPr>
            </w:pPr>
          </w:p>
        </w:tc>
        <w:tc>
          <w:tcPr>
            <w:tcW w:w="900" w:type="dxa"/>
            <w:noWrap w:val="0"/>
            <w:vAlign w:val="center"/>
          </w:tcPr>
          <w:p w14:paraId="5A322596">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偏差发</w:t>
            </w:r>
          </w:p>
          <w:p w14:paraId="645CDB17">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生频率</w:t>
            </w:r>
          </w:p>
        </w:tc>
        <w:tc>
          <w:tcPr>
            <w:tcW w:w="1800" w:type="dxa"/>
            <w:noWrap w:val="0"/>
            <w:vAlign w:val="center"/>
          </w:tcPr>
          <w:p w14:paraId="16965F43">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管理</w:t>
            </w:r>
          </w:p>
          <w:p w14:paraId="60A65D0A">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措施</w:t>
            </w:r>
          </w:p>
        </w:tc>
        <w:tc>
          <w:tcPr>
            <w:tcW w:w="1080" w:type="dxa"/>
            <w:noWrap w:val="0"/>
            <w:vAlign w:val="center"/>
          </w:tcPr>
          <w:p w14:paraId="0402D812">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员工</w:t>
            </w:r>
          </w:p>
          <w:p w14:paraId="3A929AEF">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胜任度</w:t>
            </w:r>
          </w:p>
        </w:tc>
        <w:tc>
          <w:tcPr>
            <w:tcW w:w="1980" w:type="dxa"/>
            <w:noWrap w:val="0"/>
            <w:vAlign w:val="center"/>
          </w:tcPr>
          <w:p w14:paraId="7B94F747">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安全</w:t>
            </w:r>
          </w:p>
          <w:p w14:paraId="007601C7">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措施</w:t>
            </w:r>
          </w:p>
        </w:tc>
        <w:tc>
          <w:tcPr>
            <w:tcW w:w="360" w:type="dxa"/>
            <w:vMerge w:val="continue"/>
            <w:noWrap w:val="0"/>
            <w:vAlign w:val="center"/>
          </w:tcPr>
          <w:p w14:paraId="3FC17971">
            <w:pPr>
              <w:widowControl/>
              <w:spacing w:line="300" w:lineRule="exact"/>
              <w:ind w:firstLine="0" w:firstLineChars="0"/>
              <w:jc w:val="left"/>
              <w:rPr>
                <w:rFonts w:ascii="Times New Roman" w:hAnsi="Times New Roman" w:eastAsia="宋体" w:cs="Times New Roman"/>
                <w:color w:val="auto"/>
                <w:sz w:val="21"/>
                <w:szCs w:val="21"/>
              </w:rPr>
            </w:pPr>
          </w:p>
        </w:tc>
        <w:tc>
          <w:tcPr>
            <w:tcW w:w="360" w:type="dxa"/>
            <w:vMerge w:val="continue"/>
            <w:noWrap w:val="0"/>
            <w:vAlign w:val="center"/>
          </w:tcPr>
          <w:p w14:paraId="11DD764C">
            <w:pPr>
              <w:widowControl/>
              <w:spacing w:line="300" w:lineRule="exact"/>
              <w:ind w:firstLine="0" w:firstLineChars="0"/>
              <w:jc w:val="left"/>
              <w:rPr>
                <w:rFonts w:ascii="Times New Roman" w:hAnsi="Times New Roman" w:eastAsia="宋体" w:cs="Times New Roman"/>
                <w:color w:val="auto"/>
                <w:sz w:val="21"/>
                <w:szCs w:val="21"/>
              </w:rPr>
            </w:pPr>
          </w:p>
        </w:tc>
        <w:tc>
          <w:tcPr>
            <w:tcW w:w="540" w:type="dxa"/>
            <w:vMerge w:val="continue"/>
            <w:noWrap w:val="0"/>
            <w:vAlign w:val="center"/>
          </w:tcPr>
          <w:p w14:paraId="33397753">
            <w:pPr>
              <w:widowControl/>
              <w:spacing w:line="300" w:lineRule="exact"/>
              <w:ind w:firstLine="0" w:firstLineChars="0"/>
              <w:jc w:val="left"/>
              <w:rPr>
                <w:rFonts w:ascii="Times New Roman" w:hAnsi="Times New Roman" w:eastAsia="宋体" w:cs="Times New Roman"/>
                <w:color w:val="auto"/>
                <w:sz w:val="21"/>
                <w:szCs w:val="21"/>
              </w:rPr>
            </w:pPr>
          </w:p>
        </w:tc>
        <w:tc>
          <w:tcPr>
            <w:tcW w:w="540" w:type="dxa"/>
            <w:vMerge w:val="continue"/>
            <w:noWrap w:val="0"/>
            <w:vAlign w:val="center"/>
          </w:tcPr>
          <w:p w14:paraId="578BCFE7">
            <w:pPr>
              <w:widowControl/>
              <w:spacing w:line="300" w:lineRule="exact"/>
              <w:ind w:firstLine="0" w:firstLineChars="0"/>
              <w:jc w:val="left"/>
              <w:rPr>
                <w:rFonts w:ascii="Times New Roman" w:hAnsi="Times New Roman" w:eastAsia="宋体" w:cs="Times New Roman"/>
                <w:color w:val="auto"/>
                <w:sz w:val="21"/>
                <w:szCs w:val="21"/>
              </w:rPr>
            </w:pPr>
          </w:p>
        </w:tc>
        <w:tc>
          <w:tcPr>
            <w:tcW w:w="759" w:type="dxa"/>
            <w:vMerge w:val="continue"/>
            <w:tcBorders>
              <w:bottom w:val="single" w:color="auto" w:sz="4" w:space="0"/>
            </w:tcBorders>
            <w:noWrap w:val="0"/>
            <w:vAlign w:val="center"/>
          </w:tcPr>
          <w:p w14:paraId="1F3C8BEF">
            <w:pPr>
              <w:widowControl/>
              <w:spacing w:line="300" w:lineRule="exact"/>
              <w:ind w:firstLine="0" w:firstLineChars="0"/>
              <w:jc w:val="left"/>
              <w:rPr>
                <w:rFonts w:ascii="Times New Roman" w:hAnsi="Times New Roman" w:eastAsia="宋体" w:cs="Times New Roman"/>
                <w:color w:val="auto"/>
                <w:sz w:val="21"/>
                <w:szCs w:val="21"/>
              </w:rPr>
            </w:pPr>
          </w:p>
        </w:tc>
        <w:tc>
          <w:tcPr>
            <w:tcW w:w="1761" w:type="dxa"/>
            <w:vMerge w:val="continue"/>
            <w:noWrap w:val="0"/>
            <w:vAlign w:val="center"/>
          </w:tcPr>
          <w:p w14:paraId="5C789DB0">
            <w:pPr>
              <w:widowControl/>
              <w:spacing w:line="300" w:lineRule="exact"/>
              <w:ind w:firstLine="0" w:firstLineChars="0"/>
              <w:jc w:val="left"/>
              <w:rPr>
                <w:rFonts w:ascii="Times New Roman" w:hAnsi="Times New Roman" w:eastAsia="宋体" w:cs="Times New Roman"/>
                <w:color w:val="auto"/>
                <w:sz w:val="21"/>
                <w:szCs w:val="21"/>
              </w:rPr>
            </w:pPr>
          </w:p>
        </w:tc>
      </w:tr>
      <w:tr w14:paraId="6C69C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 w:hRule="atLeast"/>
        </w:trPr>
        <w:tc>
          <w:tcPr>
            <w:tcW w:w="468" w:type="dxa"/>
            <w:shd w:val="clear" w:color="auto" w:fill="auto"/>
            <w:noWrap w:val="0"/>
            <w:vAlign w:val="center"/>
          </w:tcPr>
          <w:p w14:paraId="168881D5">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900" w:type="dxa"/>
            <w:vMerge w:val="restart"/>
            <w:shd w:val="clear" w:color="auto" w:fill="auto"/>
            <w:noWrap w:val="0"/>
            <w:vAlign w:val="center"/>
          </w:tcPr>
          <w:p w14:paraId="59731290">
            <w:pPr>
              <w:widowControl/>
              <w:spacing w:line="300" w:lineRule="exact"/>
              <w:ind w:firstLine="0" w:firstLineChars="0"/>
              <w:jc w:val="center"/>
              <w:rPr>
                <w:rFonts w:hint="eastAsia" w:ascii="Times New Roman" w:hAnsi="宋体" w:eastAsia="宋体" w:cs="Times New Roman"/>
                <w:color w:val="auto"/>
                <w:sz w:val="21"/>
                <w:szCs w:val="21"/>
              </w:rPr>
            </w:pPr>
            <w:r>
              <w:rPr>
                <w:rFonts w:ascii="Times New Roman" w:hAnsi="宋体" w:eastAsia="宋体" w:cs="Times New Roman"/>
                <w:color w:val="auto"/>
                <w:sz w:val="21"/>
                <w:szCs w:val="21"/>
              </w:rPr>
              <w:t>作业</w:t>
            </w:r>
          </w:p>
          <w:p w14:paraId="498EEE6C">
            <w:pPr>
              <w:widowControl/>
              <w:spacing w:line="300" w:lineRule="exact"/>
              <w:ind w:firstLine="0" w:firstLineChars="0"/>
              <w:jc w:val="center"/>
              <w:rPr>
                <w:rFonts w:hint="eastAsia" w:ascii="Times New Roman" w:hAnsi="宋体" w:eastAsia="宋体" w:cs="Times New Roman"/>
                <w:color w:val="auto"/>
                <w:sz w:val="21"/>
                <w:szCs w:val="21"/>
              </w:rPr>
            </w:pPr>
            <w:r>
              <w:rPr>
                <w:rFonts w:ascii="Times New Roman" w:hAnsi="宋体" w:eastAsia="宋体" w:cs="Times New Roman"/>
                <w:color w:val="auto"/>
                <w:sz w:val="21"/>
                <w:szCs w:val="21"/>
              </w:rPr>
              <w:t>环境</w:t>
            </w:r>
          </w:p>
          <w:p w14:paraId="53E05281">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检查</w:t>
            </w:r>
          </w:p>
        </w:tc>
        <w:tc>
          <w:tcPr>
            <w:tcW w:w="1800" w:type="dxa"/>
            <w:shd w:val="clear" w:color="auto" w:fill="auto"/>
            <w:noWrap w:val="0"/>
            <w:vAlign w:val="center"/>
          </w:tcPr>
          <w:p w14:paraId="3927776B">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雷电闪击</w:t>
            </w:r>
          </w:p>
        </w:tc>
        <w:tc>
          <w:tcPr>
            <w:tcW w:w="1080" w:type="dxa"/>
            <w:shd w:val="clear" w:color="auto" w:fill="auto"/>
            <w:noWrap w:val="0"/>
            <w:vAlign w:val="center"/>
          </w:tcPr>
          <w:p w14:paraId="6AA9AE03">
            <w:pPr>
              <w:widowControl/>
              <w:spacing w:line="300" w:lineRule="exact"/>
              <w:ind w:firstLine="0" w:firstLineChars="0"/>
              <w:jc w:val="center"/>
              <w:rPr>
                <w:rFonts w:hint="eastAsia" w:ascii="Times New Roman" w:hAnsi="宋体" w:eastAsia="宋体" w:cs="Times New Roman"/>
                <w:color w:val="auto"/>
                <w:sz w:val="21"/>
                <w:szCs w:val="21"/>
              </w:rPr>
            </w:pPr>
            <w:r>
              <w:rPr>
                <w:rFonts w:ascii="Times New Roman" w:hAnsi="宋体" w:eastAsia="宋体" w:cs="Times New Roman"/>
                <w:color w:val="auto"/>
                <w:sz w:val="21"/>
                <w:szCs w:val="21"/>
              </w:rPr>
              <w:t>火灾、</w:t>
            </w:r>
          </w:p>
          <w:p w14:paraId="78BDB480">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其它伤害</w:t>
            </w:r>
          </w:p>
        </w:tc>
        <w:tc>
          <w:tcPr>
            <w:tcW w:w="900" w:type="dxa"/>
            <w:shd w:val="clear" w:color="auto" w:fill="auto"/>
            <w:noWrap w:val="0"/>
            <w:vAlign w:val="center"/>
          </w:tcPr>
          <w:p w14:paraId="1C587A7A">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曾经</w:t>
            </w:r>
          </w:p>
          <w:p w14:paraId="7D184DCE">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发生</w:t>
            </w:r>
          </w:p>
        </w:tc>
        <w:tc>
          <w:tcPr>
            <w:tcW w:w="1800" w:type="dxa"/>
            <w:shd w:val="clear" w:color="auto" w:fill="auto"/>
            <w:noWrap w:val="0"/>
            <w:vAlign w:val="center"/>
          </w:tcPr>
          <w:p w14:paraId="08FAAB0E">
            <w:pPr>
              <w:widowControl/>
              <w:spacing w:line="300" w:lineRule="exact"/>
              <w:ind w:firstLine="0" w:firstLineChars="0"/>
              <w:rPr>
                <w:rFonts w:ascii="Times New Roman" w:hAnsi="Times New Roman" w:eastAsia="宋体" w:cs="Times New Roman"/>
                <w:color w:val="auto"/>
                <w:sz w:val="21"/>
                <w:szCs w:val="21"/>
              </w:rPr>
            </w:pPr>
            <w:r>
              <w:rPr>
                <w:rFonts w:ascii="Times New Roman" w:hAnsi="宋体" w:eastAsia="宋体" w:cs="Times New Roman"/>
                <w:color w:val="auto"/>
                <w:sz w:val="21"/>
                <w:szCs w:val="21"/>
              </w:rPr>
              <w:t>将气象信息发布在内部网络上，并及时告知员工</w:t>
            </w:r>
          </w:p>
        </w:tc>
        <w:tc>
          <w:tcPr>
            <w:tcW w:w="1080" w:type="dxa"/>
            <w:shd w:val="clear" w:color="auto" w:fill="auto"/>
            <w:noWrap w:val="0"/>
            <w:vAlign w:val="center"/>
          </w:tcPr>
          <w:p w14:paraId="5401A189">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胜任</w:t>
            </w:r>
          </w:p>
        </w:tc>
        <w:tc>
          <w:tcPr>
            <w:tcW w:w="1980" w:type="dxa"/>
            <w:shd w:val="clear" w:color="auto" w:fill="auto"/>
            <w:noWrap w:val="0"/>
            <w:vAlign w:val="center"/>
          </w:tcPr>
          <w:p w14:paraId="478422F9">
            <w:pPr>
              <w:widowControl/>
              <w:spacing w:line="300" w:lineRule="exact"/>
              <w:ind w:firstLine="0" w:firstLineChars="0"/>
              <w:rPr>
                <w:rFonts w:ascii="Times New Roman" w:hAnsi="Times New Roman" w:eastAsia="宋体" w:cs="Times New Roman"/>
                <w:color w:val="auto"/>
                <w:sz w:val="21"/>
                <w:szCs w:val="21"/>
              </w:rPr>
            </w:pPr>
            <w:r>
              <w:rPr>
                <w:rFonts w:ascii="Times New Roman" w:hAnsi="宋体" w:eastAsia="宋体" w:cs="Times New Roman"/>
                <w:color w:val="auto"/>
                <w:sz w:val="21"/>
                <w:szCs w:val="21"/>
              </w:rPr>
              <w:t>按安全操作规程操作、定期检查防雷装置</w:t>
            </w:r>
          </w:p>
        </w:tc>
        <w:tc>
          <w:tcPr>
            <w:tcW w:w="360" w:type="dxa"/>
            <w:shd w:val="clear" w:color="auto" w:fill="auto"/>
            <w:noWrap w:val="0"/>
            <w:vAlign w:val="center"/>
          </w:tcPr>
          <w:p w14:paraId="48499F0A">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360" w:type="dxa"/>
            <w:shd w:val="clear" w:color="auto" w:fill="auto"/>
            <w:noWrap w:val="0"/>
            <w:vAlign w:val="center"/>
          </w:tcPr>
          <w:p w14:paraId="3D721220">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540" w:type="dxa"/>
            <w:shd w:val="clear" w:color="auto" w:fill="auto"/>
            <w:noWrap w:val="0"/>
            <w:vAlign w:val="center"/>
          </w:tcPr>
          <w:p w14:paraId="763B005B">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25</w:t>
            </w:r>
          </w:p>
        </w:tc>
        <w:tc>
          <w:tcPr>
            <w:tcW w:w="540" w:type="dxa"/>
            <w:shd w:val="clear" w:color="auto" w:fill="auto"/>
            <w:noWrap w:val="0"/>
            <w:vAlign w:val="center"/>
          </w:tcPr>
          <w:p w14:paraId="5A64E55C">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75</w:t>
            </w:r>
          </w:p>
        </w:tc>
        <w:tc>
          <w:tcPr>
            <w:tcW w:w="759" w:type="dxa"/>
            <w:shd w:val="clear" w:color="auto" w:fill="FFFF00"/>
            <w:noWrap w:val="0"/>
            <w:vAlign w:val="center"/>
          </w:tcPr>
          <w:p w14:paraId="78410D73">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C</w:t>
            </w:r>
          </w:p>
        </w:tc>
        <w:tc>
          <w:tcPr>
            <w:tcW w:w="1761" w:type="dxa"/>
            <w:noWrap w:val="0"/>
            <w:vAlign w:val="center"/>
          </w:tcPr>
          <w:p w14:paraId="238D1835">
            <w:pPr>
              <w:spacing w:line="300" w:lineRule="exact"/>
              <w:ind w:firstLine="0" w:firstLineChars="0"/>
              <w:rPr>
                <w:rFonts w:ascii="Times New Roman" w:hAnsi="Times New Roman" w:eastAsia="宋体" w:cs="Times New Roman"/>
                <w:color w:val="auto"/>
                <w:sz w:val="21"/>
                <w:szCs w:val="21"/>
              </w:rPr>
            </w:pPr>
            <w:r>
              <w:rPr>
                <w:rFonts w:ascii="Times New Roman" w:hAnsi="宋体" w:eastAsia="宋体" w:cs="Times New Roman"/>
                <w:color w:val="auto"/>
                <w:sz w:val="21"/>
                <w:szCs w:val="21"/>
              </w:rPr>
              <w:t>防雷接地必须符合国家标准行业要求</w:t>
            </w:r>
          </w:p>
        </w:tc>
      </w:tr>
      <w:tr w14:paraId="31B6D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 w:hRule="atLeast"/>
        </w:trPr>
        <w:tc>
          <w:tcPr>
            <w:tcW w:w="468" w:type="dxa"/>
            <w:shd w:val="clear" w:color="auto" w:fill="auto"/>
            <w:noWrap w:val="0"/>
            <w:vAlign w:val="center"/>
          </w:tcPr>
          <w:p w14:paraId="10741E05">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w:t>
            </w:r>
          </w:p>
        </w:tc>
        <w:tc>
          <w:tcPr>
            <w:tcW w:w="900" w:type="dxa"/>
            <w:vMerge w:val="continue"/>
            <w:shd w:val="clear" w:color="auto" w:fill="auto"/>
            <w:noWrap w:val="0"/>
            <w:vAlign w:val="center"/>
          </w:tcPr>
          <w:p w14:paraId="64D2A4A4">
            <w:pPr>
              <w:widowControl/>
              <w:spacing w:line="300" w:lineRule="exact"/>
              <w:ind w:firstLine="0" w:firstLineChars="0"/>
              <w:jc w:val="left"/>
              <w:rPr>
                <w:rFonts w:ascii="Times New Roman" w:hAnsi="Times New Roman" w:eastAsia="宋体" w:cs="Times New Roman"/>
                <w:color w:val="auto"/>
                <w:sz w:val="21"/>
                <w:szCs w:val="21"/>
              </w:rPr>
            </w:pPr>
          </w:p>
        </w:tc>
        <w:tc>
          <w:tcPr>
            <w:tcW w:w="1800" w:type="dxa"/>
            <w:shd w:val="clear" w:color="auto" w:fill="auto"/>
            <w:noWrap w:val="0"/>
            <w:vAlign w:val="center"/>
          </w:tcPr>
          <w:p w14:paraId="3C6CFE74">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乱丢烟头</w:t>
            </w:r>
          </w:p>
        </w:tc>
        <w:tc>
          <w:tcPr>
            <w:tcW w:w="1080" w:type="dxa"/>
            <w:shd w:val="clear" w:color="auto" w:fill="auto"/>
            <w:noWrap w:val="0"/>
            <w:vAlign w:val="center"/>
          </w:tcPr>
          <w:p w14:paraId="51D7A74B">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火灾</w:t>
            </w:r>
          </w:p>
        </w:tc>
        <w:tc>
          <w:tcPr>
            <w:tcW w:w="900" w:type="dxa"/>
            <w:shd w:val="clear" w:color="auto" w:fill="auto"/>
            <w:noWrap w:val="0"/>
            <w:vAlign w:val="center"/>
          </w:tcPr>
          <w:p w14:paraId="4F8C5A9F">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曾经</w:t>
            </w:r>
          </w:p>
          <w:p w14:paraId="2DADD7C8">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发生</w:t>
            </w:r>
          </w:p>
        </w:tc>
        <w:tc>
          <w:tcPr>
            <w:tcW w:w="1800" w:type="dxa"/>
            <w:shd w:val="clear" w:color="auto" w:fill="auto"/>
            <w:noWrap w:val="0"/>
            <w:vAlign w:val="center"/>
          </w:tcPr>
          <w:p w14:paraId="33D1027D">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加强监管</w:t>
            </w:r>
          </w:p>
        </w:tc>
        <w:tc>
          <w:tcPr>
            <w:tcW w:w="1080" w:type="dxa"/>
            <w:shd w:val="clear" w:color="auto" w:fill="auto"/>
            <w:noWrap w:val="0"/>
            <w:vAlign w:val="center"/>
          </w:tcPr>
          <w:p w14:paraId="5AF2D0AD">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极少数员工不胜任</w:t>
            </w:r>
          </w:p>
        </w:tc>
        <w:tc>
          <w:tcPr>
            <w:tcW w:w="1980" w:type="dxa"/>
            <w:shd w:val="clear" w:color="auto" w:fill="auto"/>
            <w:noWrap w:val="0"/>
            <w:vAlign w:val="center"/>
          </w:tcPr>
          <w:p w14:paraId="7855797C">
            <w:pPr>
              <w:spacing w:line="300" w:lineRule="exact"/>
              <w:ind w:firstLine="0" w:firstLineChars="0"/>
              <w:rPr>
                <w:rFonts w:ascii="Times New Roman" w:hAnsi="Times New Roman" w:eastAsia="宋体" w:cs="Times New Roman"/>
                <w:color w:val="auto"/>
                <w:sz w:val="21"/>
                <w:szCs w:val="21"/>
              </w:rPr>
            </w:pPr>
            <w:r>
              <w:rPr>
                <w:rFonts w:ascii="Times New Roman" w:hAnsi="宋体" w:eastAsia="宋体" w:cs="Times New Roman"/>
                <w:color w:val="auto"/>
                <w:sz w:val="21"/>
                <w:szCs w:val="21"/>
              </w:rPr>
              <w:t>严格遵守安全制度，提高安全意识</w:t>
            </w:r>
          </w:p>
        </w:tc>
        <w:tc>
          <w:tcPr>
            <w:tcW w:w="360" w:type="dxa"/>
            <w:shd w:val="clear" w:color="auto" w:fill="auto"/>
            <w:noWrap w:val="0"/>
            <w:vAlign w:val="center"/>
          </w:tcPr>
          <w:p w14:paraId="70D169EE">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360" w:type="dxa"/>
            <w:shd w:val="clear" w:color="auto" w:fill="auto"/>
            <w:noWrap w:val="0"/>
            <w:vAlign w:val="center"/>
          </w:tcPr>
          <w:p w14:paraId="4BEB8B80">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540" w:type="dxa"/>
            <w:shd w:val="clear" w:color="auto" w:fill="auto"/>
            <w:noWrap w:val="0"/>
            <w:vAlign w:val="center"/>
          </w:tcPr>
          <w:p w14:paraId="701AE1FB">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25</w:t>
            </w:r>
          </w:p>
        </w:tc>
        <w:tc>
          <w:tcPr>
            <w:tcW w:w="540" w:type="dxa"/>
            <w:shd w:val="clear" w:color="auto" w:fill="auto"/>
            <w:noWrap w:val="0"/>
            <w:vAlign w:val="center"/>
          </w:tcPr>
          <w:p w14:paraId="10B25D21">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75</w:t>
            </w:r>
          </w:p>
        </w:tc>
        <w:tc>
          <w:tcPr>
            <w:tcW w:w="759" w:type="dxa"/>
            <w:tcBorders>
              <w:bottom w:val="single" w:color="auto" w:sz="4" w:space="0"/>
            </w:tcBorders>
            <w:shd w:val="clear" w:color="auto" w:fill="FFFF00"/>
            <w:noWrap w:val="0"/>
            <w:vAlign w:val="center"/>
          </w:tcPr>
          <w:p w14:paraId="6A078C07">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C</w:t>
            </w:r>
          </w:p>
        </w:tc>
        <w:tc>
          <w:tcPr>
            <w:tcW w:w="1761" w:type="dxa"/>
            <w:noWrap w:val="0"/>
            <w:vAlign w:val="center"/>
          </w:tcPr>
          <w:p w14:paraId="68B35E64">
            <w:pPr>
              <w:spacing w:line="300" w:lineRule="exact"/>
              <w:ind w:firstLine="0" w:firstLineChars="0"/>
              <w:rPr>
                <w:rFonts w:ascii="Times New Roman" w:hAnsi="Times New Roman" w:eastAsia="宋体" w:cs="Times New Roman"/>
                <w:color w:val="auto"/>
                <w:sz w:val="21"/>
                <w:szCs w:val="21"/>
              </w:rPr>
            </w:pPr>
            <w:r>
              <w:rPr>
                <w:rFonts w:ascii="Times New Roman" w:hAnsi="宋体" w:eastAsia="宋体" w:cs="Times New Roman"/>
                <w:color w:val="auto"/>
                <w:sz w:val="21"/>
                <w:szCs w:val="21"/>
              </w:rPr>
              <w:t>严格执行制度，加强教育</w:t>
            </w:r>
          </w:p>
        </w:tc>
      </w:tr>
      <w:tr w14:paraId="582A2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 w:hRule="atLeast"/>
        </w:trPr>
        <w:tc>
          <w:tcPr>
            <w:tcW w:w="468" w:type="dxa"/>
            <w:shd w:val="clear" w:color="auto" w:fill="auto"/>
            <w:noWrap w:val="0"/>
            <w:vAlign w:val="center"/>
          </w:tcPr>
          <w:p w14:paraId="23FDFECF">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900" w:type="dxa"/>
            <w:vMerge w:val="continue"/>
            <w:shd w:val="clear" w:color="auto" w:fill="auto"/>
            <w:noWrap w:val="0"/>
            <w:vAlign w:val="center"/>
          </w:tcPr>
          <w:p w14:paraId="0310B246">
            <w:pPr>
              <w:widowControl/>
              <w:spacing w:line="300" w:lineRule="exact"/>
              <w:ind w:firstLine="0" w:firstLineChars="0"/>
              <w:jc w:val="left"/>
              <w:rPr>
                <w:rFonts w:ascii="Times New Roman" w:hAnsi="Times New Roman" w:eastAsia="宋体" w:cs="Times New Roman"/>
                <w:color w:val="auto"/>
                <w:sz w:val="21"/>
                <w:szCs w:val="21"/>
              </w:rPr>
            </w:pPr>
          </w:p>
        </w:tc>
        <w:tc>
          <w:tcPr>
            <w:tcW w:w="1800" w:type="dxa"/>
            <w:shd w:val="clear" w:color="auto" w:fill="auto"/>
            <w:noWrap w:val="0"/>
            <w:vAlign w:val="center"/>
          </w:tcPr>
          <w:p w14:paraId="43ADFEE2">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高温</w:t>
            </w:r>
          </w:p>
        </w:tc>
        <w:tc>
          <w:tcPr>
            <w:tcW w:w="1080" w:type="dxa"/>
            <w:shd w:val="clear" w:color="auto" w:fill="auto"/>
            <w:noWrap w:val="0"/>
            <w:vAlign w:val="center"/>
          </w:tcPr>
          <w:p w14:paraId="0F52EAC1">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火灾</w:t>
            </w:r>
          </w:p>
        </w:tc>
        <w:tc>
          <w:tcPr>
            <w:tcW w:w="900" w:type="dxa"/>
            <w:shd w:val="clear" w:color="auto" w:fill="auto"/>
            <w:noWrap w:val="0"/>
            <w:vAlign w:val="center"/>
          </w:tcPr>
          <w:p w14:paraId="48261C95">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曾经</w:t>
            </w:r>
          </w:p>
          <w:p w14:paraId="7E379931">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发生</w:t>
            </w:r>
          </w:p>
        </w:tc>
        <w:tc>
          <w:tcPr>
            <w:tcW w:w="1800" w:type="dxa"/>
            <w:shd w:val="clear" w:color="auto" w:fill="auto"/>
            <w:noWrap w:val="0"/>
            <w:vAlign w:val="center"/>
          </w:tcPr>
          <w:p w14:paraId="0C7C3025">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禁止野外用</w:t>
            </w:r>
          </w:p>
        </w:tc>
        <w:tc>
          <w:tcPr>
            <w:tcW w:w="1080" w:type="dxa"/>
            <w:shd w:val="clear" w:color="auto" w:fill="auto"/>
            <w:noWrap w:val="0"/>
            <w:vAlign w:val="center"/>
          </w:tcPr>
          <w:p w14:paraId="632A9897">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胜任</w:t>
            </w:r>
          </w:p>
        </w:tc>
        <w:tc>
          <w:tcPr>
            <w:tcW w:w="1980" w:type="dxa"/>
            <w:shd w:val="clear" w:color="auto" w:fill="auto"/>
            <w:noWrap w:val="0"/>
            <w:vAlign w:val="center"/>
          </w:tcPr>
          <w:p w14:paraId="748F6202">
            <w:pPr>
              <w:spacing w:line="300" w:lineRule="exact"/>
              <w:ind w:firstLine="0" w:firstLineChars="0"/>
              <w:rPr>
                <w:rFonts w:ascii="Times New Roman" w:hAnsi="Times New Roman" w:eastAsia="宋体" w:cs="Times New Roman"/>
                <w:color w:val="auto"/>
                <w:sz w:val="21"/>
                <w:szCs w:val="21"/>
              </w:rPr>
            </w:pPr>
            <w:r>
              <w:rPr>
                <w:rFonts w:ascii="Times New Roman" w:hAnsi="宋体" w:eastAsia="宋体" w:cs="Times New Roman"/>
                <w:color w:val="auto"/>
                <w:sz w:val="21"/>
                <w:szCs w:val="21"/>
              </w:rPr>
              <w:t>严格遵守安全制度，提高安全意识</w:t>
            </w:r>
          </w:p>
        </w:tc>
        <w:tc>
          <w:tcPr>
            <w:tcW w:w="360" w:type="dxa"/>
            <w:shd w:val="clear" w:color="auto" w:fill="auto"/>
            <w:noWrap w:val="0"/>
            <w:vAlign w:val="center"/>
          </w:tcPr>
          <w:p w14:paraId="58BC805B">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360" w:type="dxa"/>
            <w:shd w:val="clear" w:color="auto" w:fill="auto"/>
            <w:noWrap w:val="0"/>
            <w:vAlign w:val="center"/>
          </w:tcPr>
          <w:p w14:paraId="4C3F996A">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w:t>
            </w:r>
          </w:p>
        </w:tc>
        <w:tc>
          <w:tcPr>
            <w:tcW w:w="540" w:type="dxa"/>
            <w:shd w:val="clear" w:color="auto" w:fill="auto"/>
            <w:noWrap w:val="0"/>
            <w:vAlign w:val="center"/>
          </w:tcPr>
          <w:p w14:paraId="1E13AE05">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5</w:t>
            </w:r>
          </w:p>
        </w:tc>
        <w:tc>
          <w:tcPr>
            <w:tcW w:w="540" w:type="dxa"/>
            <w:shd w:val="clear" w:color="auto" w:fill="auto"/>
            <w:noWrap w:val="0"/>
            <w:vAlign w:val="center"/>
          </w:tcPr>
          <w:p w14:paraId="13CBA4B0">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30</w:t>
            </w:r>
          </w:p>
        </w:tc>
        <w:tc>
          <w:tcPr>
            <w:tcW w:w="759" w:type="dxa"/>
            <w:tcBorders>
              <w:bottom w:val="single" w:color="auto" w:sz="4" w:space="0"/>
            </w:tcBorders>
            <w:shd w:val="clear" w:color="auto" w:fill="0000FF"/>
            <w:noWrap w:val="0"/>
            <w:vAlign w:val="center"/>
          </w:tcPr>
          <w:p w14:paraId="7DC2381D">
            <w:pPr>
              <w:spacing w:line="300" w:lineRule="exact"/>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B</w:t>
            </w:r>
          </w:p>
        </w:tc>
        <w:tc>
          <w:tcPr>
            <w:tcW w:w="1761" w:type="dxa"/>
            <w:noWrap w:val="0"/>
            <w:vAlign w:val="center"/>
          </w:tcPr>
          <w:p w14:paraId="5955D145">
            <w:pPr>
              <w:spacing w:line="300" w:lineRule="exact"/>
              <w:ind w:firstLine="0" w:firstLineChars="0"/>
              <w:rPr>
                <w:rFonts w:ascii="Times New Roman" w:hAnsi="Times New Roman" w:eastAsia="宋体" w:cs="Times New Roman"/>
                <w:color w:val="auto"/>
                <w:sz w:val="21"/>
                <w:szCs w:val="21"/>
              </w:rPr>
            </w:pPr>
            <w:r>
              <w:rPr>
                <w:rFonts w:ascii="Times New Roman" w:hAnsi="宋体" w:eastAsia="宋体" w:cs="Times New Roman"/>
                <w:color w:val="auto"/>
                <w:sz w:val="21"/>
                <w:szCs w:val="21"/>
              </w:rPr>
              <w:t>严格执行制度，加强教育</w:t>
            </w:r>
          </w:p>
        </w:tc>
      </w:tr>
      <w:tr w14:paraId="2FB01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3" w:hRule="atLeast"/>
        </w:trPr>
        <w:tc>
          <w:tcPr>
            <w:tcW w:w="468" w:type="dxa"/>
            <w:shd w:val="clear" w:color="auto" w:fill="auto"/>
            <w:noWrap w:val="0"/>
            <w:vAlign w:val="center"/>
          </w:tcPr>
          <w:p w14:paraId="2A49DAA9">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4</w:t>
            </w:r>
          </w:p>
        </w:tc>
        <w:tc>
          <w:tcPr>
            <w:tcW w:w="900" w:type="dxa"/>
            <w:vMerge w:val="continue"/>
            <w:shd w:val="clear" w:color="auto" w:fill="auto"/>
            <w:noWrap w:val="0"/>
            <w:vAlign w:val="center"/>
          </w:tcPr>
          <w:p w14:paraId="13BEB121">
            <w:pPr>
              <w:widowControl/>
              <w:spacing w:line="300" w:lineRule="exact"/>
              <w:ind w:firstLine="0" w:firstLineChars="0"/>
              <w:jc w:val="left"/>
              <w:rPr>
                <w:rFonts w:ascii="Times New Roman" w:hAnsi="Times New Roman" w:eastAsia="宋体" w:cs="Times New Roman"/>
                <w:color w:val="auto"/>
                <w:sz w:val="21"/>
                <w:szCs w:val="21"/>
              </w:rPr>
            </w:pPr>
          </w:p>
        </w:tc>
        <w:tc>
          <w:tcPr>
            <w:tcW w:w="1800" w:type="dxa"/>
            <w:shd w:val="clear" w:color="auto" w:fill="auto"/>
            <w:noWrap w:val="0"/>
            <w:vAlign w:val="center"/>
          </w:tcPr>
          <w:p w14:paraId="2A55636E">
            <w:pPr>
              <w:spacing w:line="300" w:lineRule="exact"/>
              <w:ind w:firstLine="0" w:firstLineChars="0"/>
              <w:jc w:val="center"/>
              <w:rPr>
                <w:rFonts w:hint="eastAsia" w:ascii="Times New Roman" w:hAnsi="宋体" w:eastAsia="宋体" w:cs="Times New Roman"/>
                <w:color w:val="auto"/>
                <w:sz w:val="21"/>
                <w:szCs w:val="21"/>
              </w:rPr>
            </w:pPr>
            <w:r>
              <w:rPr>
                <w:rFonts w:ascii="Times New Roman" w:hAnsi="宋体" w:eastAsia="宋体" w:cs="Times New Roman"/>
                <w:color w:val="auto"/>
                <w:sz w:val="21"/>
                <w:szCs w:val="21"/>
              </w:rPr>
              <w:t>焊接火苗碰到</w:t>
            </w:r>
          </w:p>
          <w:p w14:paraId="395C1FFF">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易燃品</w:t>
            </w:r>
          </w:p>
        </w:tc>
        <w:tc>
          <w:tcPr>
            <w:tcW w:w="1080" w:type="dxa"/>
            <w:shd w:val="clear" w:color="auto" w:fill="auto"/>
            <w:noWrap w:val="0"/>
            <w:vAlign w:val="center"/>
          </w:tcPr>
          <w:p w14:paraId="460A4B61">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火灾</w:t>
            </w:r>
          </w:p>
        </w:tc>
        <w:tc>
          <w:tcPr>
            <w:tcW w:w="900" w:type="dxa"/>
            <w:shd w:val="clear" w:color="auto" w:fill="auto"/>
            <w:noWrap w:val="0"/>
            <w:vAlign w:val="center"/>
          </w:tcPr>
          <w:p w14:paraId="6CE1E744">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曾经</w:t>
            </w:r>
          </w:p>
          <w:p w14:paraId="64735B1C">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发生</w:t>
            </w:r>
          </w:p>
        </w:tc>
        <w:tc>
          <w:tcPr>
            <w:tcW w:w="1800" w:type="dxa"/>
            <w:shd w:val="clear" w:color="auto" w:fill="auto"/>
            <w:noWrap w:val="0"/>
            <w:vAlign w:val="center"/>
          </w:tcPr>
          <w:p w14:paraId="482D0BB4">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定期检查</w:t>
            </w:r>
          </w:p>
        </w:tc>
        <w:tc>
          <w:tcPr>
            <w:tcW w:w="1080" w:type="dxa"/>
            <w:shd w:val="clear" w:color="auto" w:fill="auto"/>
            <w:noWrap w:val="0"/>
            <w:vAlign w:val="center"/>
          </w:tcPr>
          <w:p w14:paraId="7B7F5A26">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极少数员工不胜任</w:t>
            </w:r>
          </w:p>
        </w:tc>
        <w:tc>
          <w:tcPr>
            <w:tcW w:w="1980" w:type="dxa"/>
            <w:shd w:val="clear" w:color="auto" w:fill="auto"/>
            <w:noWrap w:val="0"/>
            <w:vAlign w:val="center"/>
          </w:tcPr>
          <w:p w14:paraId="19E86311">
            <w:pPr>
              <w:spacing w:line="300" w:lineRule="exact"/>
              <w:ind w:firstLine="0" w:firstLineChars="0"/>
              <w:rPr>
                <w:rFonts w:ascii="Times New Roman" w:hAnsi="Times New Roman" w:eastAsia="宋体" w:cs="Times New Roman"/>
                <w:color w:val="auto"/>
                <w:sz w:val="21"/>
                <w:szCs w:val="21"/>
              </w:rPr>
            </w:pPr>
            <w:r>
              <w:rPr>
                <w:rFonts w:ascii="Times New Roman" w:hAnsi="宋体" w:eastAsia="宋体" w:cs="Times New Roman"/>
                <w:color w:val="auto"/>
                <w:sz w:val="21"/>
                <w:szCs w:val="21"/>
              </w:rPr>
              <w:t>严格遵守安全制度，提高安全意识</w:t>
            </w:r>
          </w:p>
        </w:tc>
        <w:tc>
          <w:tcPr>
            <w:tcW w:w="360" w:type="dxa"/>
            <w:shd w:val="clear" w:color="auto" w:fill="auto"/>
            <w:noWrap w:val="0"/>
            <w:vAlign w:val="center"/>
          </w:tcPr>
          <w:p w14:paraId="28F9A737">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360" w:type="dxa"/>
            <w:shd w:val="clear" w:color="auto" w:fill="auto"/>
            <w:noWrap w:val="0"/>
            <w:vAlign w:val="center"/>
          </w:tcPr>
          <w:p w14:paraId="55E037CD">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540" w:type="dxa"/>
            <w:shd w:val="clear" w:color="auto" w:fill="auto"/>
            <w:noWrap w:val="0"/>
            <w:vAlign w:val="center"/>
          </w:tcPr>
          <w:p w14:paraId="2572BABB">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50</w:t>
            </w:r>
          </w:p>
        </w:tc>
        <w:tc>
          <w:tcPr>
            <w:tcW w:w="540" w:type="dxa"/>
            <w:shd w:val="clear" w:color="auto" w:fill="auto"/>
            <w:noWrap w:val="0"/>
            <w:vAlign w:val="center"/>
          </w:tcPr>
          <w:p w14:paraId="7F663EF3">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150</w:t>
            </w:r>
          </w:p>
        </w:tc>
        <w:tc>
          <w:tcPr>
            <w:tcW w:w="759" w:type="dxa"/>
            <w:shd w:val="clear" w:color="auto" w:fill="FFFF00"/>
            <w:noWrap w:val="0"/>
            <w:vAlign w:val="center"/>
          </w:tcPr>
          <w:p w14:paraId="049C8847">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C</w:t>
            </w:r>
          </w:p>
        </w:tc>
        <w:tc>
          <w:tcPr>
            <w:tcW w:w="1761" w:type="dxa"/>
            <w:noWrap w:val="0"/>
            <w:vAlign w:val="center"/>
          </w:tcPr>
          <w:p w14:paraId="04DACD4D">
            <w:pPr>
              <w:spacing w:line="300" w:lineRule="exact"/>
              <w:ind w:firstLine="0" w:firstLineChars="0"/>
              <w:rPr>
                <w:rFonts w:ascii="Times New Roman" w:hAnsi="Times New Roman" w:eastAsia="宋体" w:cs="Times New Roman"/>
                <w:color w:val="auto"/>
                <w:sz w:val="21"/>
                <w:szCs w:val="21"/>
              </w:rPr>
            </w:pPr>
            <w:r>
              <w:rPr>
                <w:rFonts w:ascii="Times New Roman" w:hAnsi="宋体" w:eastAsia="宋体" w:cs="Times New Roman"/>
                <w:color w:val="auto"/>
                <w:sz w:val="21"/>
                <w:szCs w:val="21"/>
              </w:rPr>
              <w:t>严格执行制度，加强教育</w:t>
            </w:r>
          </w:p>
        </w:tc>
      </w:tr>
      <w:tr w14:paraId="6FA98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468" w:type="dxa"/>
            <w:shd w:val="clear" w:color="auto" w:fill="auto"/>
            <w:noWrap w:val="0"/>
            <w:vAlign w:val="center"/>
          </w:tcPr>
          <w:p w14:paraId="5158ECFA">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5</w:t>
            </w:r>
          </w:p>
        </w:tc>
        <w:tc>
          <w:tcPr>
            <w:tcW w:w="900" w:type="dxa"/>
            <w:vMerge w:val="continue"/>
            <w:shd w:val="clear" w:color="auto" w:fill="auto"/>
            <w:noWrap w:val="0"/>
            <w:vAlign w:val="center"/>
          </w:tcPr>
          <w:p w14:paraId="1483B5A3">
            <w:pPr>
              <w:widowControl/>
              <w:spacing w:line="300" w:lineRule="exact"/>
              <w:ind w:firstLine="0" w:firstLineChars="0"/>
              <w:jc w:val="left"/>
              <w:rPr>
                <w:rFonts w:ascii="Times New Roman" w:hAnsi="Times New Roman" w:eastAsia="宋体" w:cs="Times New Roman"/>
                <w:color w:val="auto"/>
                <w:sz w:val="21"/>
                <w:szCs w:val="21"/>
              </w:rPr>
            </w:pPr>
          </w:p>
        </w:tc>
        <w:tc>
          <w:tcPr>
            <w:tcW w:w="1800" w:type="dxa"/>
            <w:shd w:val="clear" w:color="auto" w:fill="auto"/>
            <w:noWrap w:val="0"/>
            <w:vAlign w:val="center"/>
          </w:tcPr>
          <w:p w14:paraId="2DC32938">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火星碰到易燃品</w:t>
            </w:r>
          </w:p>
        </w:tc>
        <w:tc>
          <w:tcPr>
            <w:tcW w:w="1080" w:type="dxa"/>
            <w:shd w:val="clear" w:color="auto" w:fill="auto"/>
            <w:noWrap w:val="0"/>
            <w:vAlign w:val="center"/>
          </w:tcPr>
          <w:p w14:paraId="018906B9">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火灾</w:t>
            </w:r>
          </w:p>
        </w:tc>
        <w:tc>
          <w:tcPr>
            <w:tcW w:w="900" w:type="dxa"/>
            <w:shd w:val="clear" w:color="auto" w:fill="auto"/>
            <w:noWrap w:val="0"/>
            <w:vAlign w:val="center"/>
          </w:tcPr>
          <w:p w14:paraId="6A21F0B0">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可能</w:t>
            </w:r>
          </w:p>
          <w:p w14:paraId="4244CCF9">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发生</w:t>
            </w:r>
          </w:p>
        </w:tc>
        <w:tc>
          <w:tcPr>
            <w:tcW w:w="1800" w:type="dxa"/>
            <w:shd w:val="clear" w:color="auto" w:fill="auto"/>
            <w:noWrap w:val="0"/>
            <w:vAlign w:val="center"/>
          </w:tcPr>
          <w:p w14:paraId="14583428">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定期检查</w:t>
            </w:r>
          </w:p>
        </w:tc>
        <w:tc>
          <w:tcPr>
            <w:tcW w:w="1080" w:type="dxa"/>
            <w:shd w:val="clear" w:color="auto" w:fill="auto"/>
            <w:noWrap w:val="0"/>
            <w:vAlign w:val="center"/>
          </w:tcPr>
          <w:p w14:paraId="4D092926">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极少数员工不胜任</w:t>
            </w:r>
          </w:p>
        </w:tc>
        <w:tc>
          <w:tcPr>
            <w:tcW w:w="1980" w:type="dxa"/>
            <w:shd w:val="clear" w:color="auto" w:fill="auto"/>
            <w:noWrap w:val="0"/>
            <w:vAlign w:val="center"/>
          </w:tcPr>
          <w:p w14:paraId="59C735A9">
            <w:pPr>
              <w:spacing w:line="300" w:lineRule="exact"/>
              <w:ind w:firstLine="0" w:firstLineChars="0"/>
              <w:rPr>
                <w:rFonts w:ascii="Times New Roman" w:hAnsi="Times New Roman" w:eastAsia="宋体" w:cs="Times New Roman"/>
                <w:color w:val="auto"/>
                <w:sz w:val="21"/>
                <w:szCs w:val="21"/>
              </w:rPr>
            </w:pPr>
            <w:r>
              <w:rPr>
                <w:rFonts w:ascii="Times New Roman" w:hAnsi="宋体" w:eastAsia="宋体" w:cs="Times New Roman"/>
                <w:color w:val="auto"/>
                <w:sz w:val="21"/>
                <w:szCs w:val="21"/>
              </w:rPr>
              <w:t>严格遵守安全制度，提高安全意识</w:t>
            </w:r>
          </w:p>
        </w:tc>
        <w:tc>
          <w:tcPr>
            <w:tcW w:w="360" w:type="dxa"/>
            <w:shd w:val="clear" w:color="auto" w:fill="auto"/>
            <w:noWrap w:val="0"/>
            <w:vAlign w:val="center"/>
          </w:tcPr>
          <w:p w14:paraId="4CA5FA32">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360" w:type="dxa"/>
            <w:shd w:val="clear" w:color="auto" w:fill="auto"/>
            <w:noWrap w:val="0"/>
            <w:vAlign w:val="center"/>
          </w:tcPr>
          <w:p w14:paraId="1DBD4CC8">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540" w:type="dxa"/>
            <w:shd w:val="clear" w:color="auto" w:fill="auto"/>
            <w:noWrap w:val="0"/>
            <w:vAlign w:val="center"/>
          </w:tcPr>
          <w:p w14:paraId="76E48B4E">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25</w:t>
            </w:r>
          </w:p>
        </w:tc>
        <w:tc>
          <w:tcPr>
            <w:tcW w:w="540" w:type="dxa"/>
            <w:shd w:val="clear" w:color="auto" w:fill="auto"/>
            <w:noWrap w:val="0"/>
            <w:vAlign w:val="center"/>
          </w:tcPr>
          <w:p w14:paraId="15FF5181">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75</w:t>
            </w:r>
          </w:p>
        </w:tc>
        <w:tc>
          <w:tcPr>
            <w:tcW w:w="759" w:type="dxa"/>
            <w:shd w:val="clear" w:color="auto" w:fill="FFFF00"/>
            <w:noWrap w:val="0"/>
            <w:vAlign w:val="center"/>
          </w:tcPr>
          <w:p w14:paraId="4153C7AA">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C</w:t>
            </w:r>
          </w:p>
        </w:tc>
        <w:tc>
          <w:tcPr>
            <w:tcW w:w="1761" w:type="dxa"/>
            <w:noWrap w:val="0"/>
            <w:vAlign w:val="center"/>
          </w:tcPr>
          <w:p w14:paraId="74BBF0F5">
            <w:pPr>
              <w:spacing w:line="300" w:lineRule="exact"/>
              <w:ind w:firstLine="0" w:firstLineChars="0"/>
              <w:rPr>
                <w:rFonts w:ascii="Times New Roman" w:hAnsi="Times New Roman" w:eastAsia="宋体" w:cs="Times New Roman"/>
                <w:color w:val="auto"/>
                <w:sz w:val="21"/>
                <w:szCs w:val="21"/>
              </w:rPr>
            </w:pPr>
            <w:r>
              <w:rPr>
                <w:rFonts w:ascii="Times New Roman" w:hAnsi="宋体" w:eastAsia="宋体" w:cs="Times New Roman"/>
                <w:color w:val="auto"/>
                <w:sz w:val="21"/>
                <w:szCs w:val="21"/>
              </w:rPr>
              <w:t>严格执行制度，加强教育</w:t>
            </w:r>
          </w:p>
        </w:tc>
      </w:tr>
      <w:tr w14:paraId="3C966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468" w:type="dxa"/>
            <w:shd w:val="clear" w:color="auto" w:fill="auto"/>
            <w:noWrap w:val="0"/>
            <w:vAlign w:val="center"/>
          </w:tcPr>
          <w:p w14:paraId="7D9AE19D">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6</w:t>
            </w:r>
          </w:p>
        </w:tc>
        <w:tc>
          <w:tcPr>
            <w:tcW w:w="900" w:type="dxa"/>
            <w:vMerge w:val="continue"/>
            <w:shd w:val="clear" w:color="auto" w:fill="auto"/>
            <w:noWrap w:val="0"/>
            <w:vAlign w:val="center"/>
          </w:tcPr>
          <w:p w14:paraId="28425D20">
            <w:pPr>
              <w:widowControl/>
              <w:spacing w:line="300" w:lineRule="exact"/>
              <w:ind w:firstLine="0" w:firstLineChars="0"/>
              <w:jc w:val="left"/>
              <w:rPr>
                <w:rFonts w:ascii="Times New Roman" w:hAnsi="Times New Roman" w:eastAsia="宋体" w:cs="Times New Roman"/>
                <w:color w:val="auto"/>
                <w:sz w:val="21"/>
                <w:szCs w:val="21"/>
              </w:rPr>
            </w:pPr>
          </w:p>
        </w:tc>
        <w:tc>
          <w:tcPr>
            <w:tcW w:w="1800" w:type="dxa"/>
            <w:shd w:val="clear" w:color="auto" w:fill="auto"/>
            <w:noWrap w:val="0"/>
            <w:vAlign w:val="center"/>
          </w:tcPr>
          <w:p w14:paraId="0962CCB3">
            <w:pPr>
              <w:spacing w:line="300" w:lineRule="exact"/>
              <w:ind w:firstLine="0" w:firstLineChars="0"/>
              <w:jc w:val="center"/>
              <w:rPr>
                <w:rFonts w:hint="eastAsia" w:ascii="Times New Roman" w:hAnsi="宋体" w:eastAsia="宋体" w:cs="Times New Roman"/>
                <w:color w:val="auto"/>
                <w:sz w:val="21"/>
                <w:szCs w:val="21"/>
              </w:rPr>
            </w:pPr>
            <w:r>
              <w:rPr>
                <w:rFonts w:ascii="Times New Roman" w:hAnsi="宋体" w:eastAsia="宋体" w:cs="Times New Roman"/>
                <w:color w:val="auto"/>
                <w:sz w:val="21"/>
                <w:szCs w:val="21"/>
              </w:rPr>
              <w:t>温度超过</w:t>
            </w:r>
          </w:p>
          <w:p w14:paraId="7BF9F7AF">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易燃品闪点</w:t>
            </w:r>
          </w:p>
        </w:tc>
        <w:tc>
          <w:tcPr>
            <w:tcW w:w="1080" w:type="dxa"/>
            <w:shd w:val="clear" w:color="auto" w:fill="auto"/>
            <w:noWrap w:val="0"/>
            <w:vAlign w:val="center"/>
          </w:tcPr>
          <w:p w14:paraId="73898861">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火灾</w:t>
            </w:r>
          </w:p>
        </w:tc>
        <w:tc>
          <w:tcPr>
            <w:tcW w:w="900" w:type="dxa"/>
            <w:shd w:val="clear" w:color="auto" w:fill="auto"/>
            <w:noWrap w:val="0"/>
            <w:vAlign w:val="center"/>
          </w:tcPr>
          <w:p w14:paraId="5FCEFA64">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可能</w:t>
            </w:r>
          </w:p>
          <w:p w14:paraId="56C830FF">
            <w:pPr>
              <w:widowControl/>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发生</w:t>
            </w:r>
          </w:p>
        </w:tc>
        <w:tc>
          <w:tcPr>
            <w:tcW w:w="1800" w:type="dxa"/>
            <w:shd w:val="clear" w:color="auto" w:fill="auto"/>
            <w:noWrap w:val="0"/>
            <w:vAlign w:val="center"/>
          </w:tcPr>
          <w:p w14:paraId="3A06D545">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定期检查</w:t>
            </w:r>
          </w:p>
        </w:tc>
        <w:tc>
          <w:tcPr>
            <w:tcW w:w="1080" w:type="dxa"/>
            <w:shd w:val="clear" w:color="auto" w:fill="auto"/>
            <w:noWrap w:val="0"/>
            <w:vAlign w:val="center"/>
          </w:tcPr>
          <w:p w14:paraId="386C3DC5">
            <w:pPr>
              <w:spacing w:line="300" w:lineRule="exact"/>
              <w:ind w:firstLine="0" w:firstLineChars="0"/>
              <w:jc w:val="center"/>
              <w:rPr>
                <w:rFonts w:ascii="Times New Roman" w:hAnsi="Times New Roman" w:eastAsia="宋体" w:cs="Times New Roman"/>
                <w:color w:val="auto"/>
                <w:sz w:val="21"/>
                <w:szCs w:val="21"/>
              </w:rPr>
            </w:pPr>
            <w:r>
              <w:rPr>
                <w:rFonts w:ascii="Times New Roman" w:hAnsi="宋体" w:eastAsia="宋体" w:cs="Times New Roman"/>
                <w:color w:val="auto"/>
                <w:sz w:val="21"/>
                <w:szCs w:val="21"/>
              </w:rPr>
              <w:t>极少数员工不胜任</w:t>
            </w:r>
          </w:p>
        </w:tc>
        <w:tc>
          <w:tcPr>
            <w:tcW w:w="1980" w:type="dxa"/>
            <w:shd w:val="clear" w:color="auto" w:fill="auto"/>
            <w:noWrap w:val="0"/>
            <w:vAlign w:val="center"/>
          </w:tcPr>
          <w:p w14:paraId="17411CB6">
            <w:pPr>
              <w:spacing w:line="300" w:lineRule="exact"/>
              <w:ind w:firstLine="0" w:firstLineChars="0"/>
              <w:rPr>
                <w:rFonts w:ascii="Times New Roman" w:hAnsi="Times New Roman" w:eastAsia="宋体" w:cs="Times New Roman"/>
                <w:color w:val="auto"/>
                <w:sz w:val="21"/>
                <w:szCs w:val="21"/>
              </w:rPr>
            </w:pPr>
            <w:r>
              <w:rPr>
                <w:rFonts w:ascii="Times New Roman" w:hAnsi="宋体" w:eastAsia="宋体" w:cs="Times New Roman"/>
                <w:color w:val="auto"/>
                <w:sz w:val="21"/>
                <w:szCs w:val="21"/>
              </w:rPr>
              <w:t>严格遵守安全制度，提高安全意识</w:t>
            </w:r>
          </w:p>
        </w:tc>
        <w:tc>
          <w:tcPr>
            <w:tcW w:w="360" w:type="dxa"/>
            <w:shd w:val="clear" w:color="auto" w:fill="auto"/>
            <w:noWrap w:val="0"/>
            <w:vAlign w:val="center"/>
          </w:tcPr>
          <w:p w14:paraId="7727A055">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360" w:type="dxa"/>
            <w:shd w:val="clear" w:color="auto" w:fill="auto"/>
            <w:noWrap w:val="0"/>
            <w:vAlign w:val="center"/>
          </w:tcPr>
          <w:p w14:paraId="48C2DE2B">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540" w:type="dxa"/>
            <w:shd w:val="clear" w:color="auto" w:fill="auto"/>
            <w:noWrap w:val="0"/>
            <w:vAlign w:val="center"/>
          </w:tcPr>
          <w:p w14:paraId="38AD5E31">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25</w:t>
            </w:r>
          </w:p>
        </w:tc>
        <w:tc>
          <w:tcPr>
            <w:tcW w:w="540" w:type="dxa"/>
            <w:shd w:val="clear" w:color="auto" w:fill="auto"/>
            <w:noWrap w:val="0"/>
            <w:vAlign w:val="center"/>
          </w:tcPr>
          <w:p w14:paraId="514388AC">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75</w:t>
            </w:r>
          </w:p>
        </w:tc>
        <w:tc>
          <w:tcPr>
            <w:tcW w:w="759" w:type="dxa"/>
            <w:shd w:val="clear" w:color="auto" w:fill="FFFF00"/>
            <w:noWrap w:val="0"/>
            <w:vAlign w:val="center"/>
          </w:tcPr>
          <w:p w14:paraId="238C33A7">
            <w:pPr>
              <w:spacing w:line="300" w:lineRule="exact"/>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C</w:t>
            </w:r>
          </w:p>
        </w:tc>
        <w:tc>
          <w:tcPr>
            <w:tcW w:w="1761" w:type="dxa"/>
            <w:noWrap w:val="0"/>
            <w:vAlign w:val="center"/>
          </w:tcPr>
          <w:p w14:paraId="512B2DEC">
            <w:pPr>
              <w:spacing w:line="300" w:lineRule="exact"/>
              <w:ind w:firstLine="0" w:firstLineChars="0"/>
              <w:jc w:val="center"/>
              <w:rPr>
                <w:rFonts w:ascii="Times New Roman" w:hAnsi="Times New Roman" w:eastAsia="宋体" w:cs="Times New Roman"/>
                <w:color w:val="auto"/>
                <w:sz w:val="21"/>
                <w:szCs w:val="21"/>
              </w:rPr>
            </w:pPr>
          </w:p>
        </w:tc>
      </w:tr>
    </w:tbl>
    <w:p w14:paraId="73DCBC79">
      <w:pPr>
        <w:bidi w:val="0"/>
        <w:ind w:left="0" w:leftChars="0" w:firstLine="0" w:firstLineChars="0"/>
        <w:jc w:val="center"/>
        <w:rPr>
          <w:rFonts w:hint="eastAsia"/>
          <w:color w:val="auto"/>
          <w:lang w:val="en-US" w:eastAsia="zh-CN"/>
        </w:rPr>
      </w:pPr>
      <w:r>
        <w:rPr>
          <w:rFonts w:hint="eastAsia"/>
          <w:color w:val="auto"/>
          <w:lang w:val="en-US" w:eastAsia="zh-CN"/>
        </w:rPr>
        <w:t>表5.6-5 作业过程中职业危险有害因素辨别与评价记录表</w:t>
      </w:r>
    </w:p>
    <w:tbl>
      <w:tblPr>
        <w:tblStyle w:val="20"/>
        <w:tblW w:w="145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8"/>
        <w:gridCol w:w="1260"/>
        <w:gridCol w:w="1440"/>
        <w:gridCol w:w="1080"/>
        <w:gridCol w:w="2520"/>
        <w:gridCol w:w="900"/>
        <w:gridCol w:w="2700"/>
        <w:gridCol w:w="540"/>
        <w:gridCol w:w="360"/>
        <w:gridCol w:w="540"/>
        <w:gridCol w:w="540"/>
        <w:gridCol w:w="720"/>
        <w:gridCol w:w="1440"/>
      </w:tblGrid>
      <w:tr w14:paraId="6A881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468" w:type="dxa"/>
            <w:vMerge w:val="restart"/>
            <w:noWrap w:val="0"/>
            <w:vAlign w:val="center"/>
          </w:tcPr>
          <w:p w14:paraId="06696F1F">
            <w:pPr>
              <w:spacing w:line="240" w:lineRule="auto"/>
              <w:ind w:right="20" w:rightChars="7"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序号</w:t>
            </w:r>
          </w:p>
        </w:tc>
        <w:tc>
          <w:tcPr>
            <w:tcW w:w="1260" w:type="dxa"/>
            <w:vMerge w:val="restart"/>
            <w:noWrap w:val="0"/>
            <w:vAlign w:val="center"/>
          </w:tcPr>
          <w:p w14:paraId="4C9F0F63">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危险有害因素</w:t>
            </w:r>
          </w:p>
        </w:tc>
        <w:tc>
          <w:tcPr>
            <w:tcW w:w="1440" w:type="dxa"/>
            <w:vMerge w:val="restart"/>
            <w:noWrap w:val="0"/>
            <w:vAlign w:val="center"/>
          </w:tcPr>
          <w:p w14:paraId="7332A3B2">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可能导致的事故</w:t>
            </w:r>
          </w:p>
        </w:tc>
        <w:tc>
          <w:tcPr>
            <w:tcW w:w="7200" w:type="dxa"/>
            <w:gridSpan w:val="4"/>
            <w:noWrap w:val="0"/>
            <w:vAlign w:val="center"/>
          </w:tcPr>
          <w:p w14:paraId="461265F5">
            <w:pPr>
              <w:spacing w:line="240" w:lineRule="auto"/>
              <w:ind w:firstLine="562"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以往发生频率及现有安全控制措施</w:t>
            </w:r>
          </w:p>
        </w:tc>
        <w:tc>
          <w:tcPr>
            <w:tcW w:w="540" w:type="dxa"/>
            <w:vMerge w:val="restart"/>
            <w:noWrap w:val="0"/>
            <w:vAlign w:val="center"/>
          </w:tcPr>
          <w:p w14:paraId="740ACC0C">
            <w:pPr>
              <w:spacing w:line="240" w:lineRule="auto"/>
              <w:ind w:firstLine="0" w:firstLineChars="0"/>
              <w:jc w:val="center"/>
              <w:rPr>
                <w:rFonts w:ascii="Times New Roman" w:hAnsi="Times New Roman" w:eastAsia="宋体" w:cs="Times New Roman"/>
                <w:color w:val="auto"/>
                <w:sz w:val="21"/>
                <w:szCs w:val="18"/>
              </w:rPr>
            </w:pPr>
            <w:r>
              <w:rPr>
                <w:rFonts w:ascii="Times New Roman" w:hAnsi="Times New Roman" w:eastAsia="宋体" w:cs="Times New Roman"/>
                <w:color w:val="auto"/>
                <w:sz w:val="21"/>
                <w:szCs w:val="18"/>
              </w:rPr>
              <w:t>L</w:t>
            </w:r>
          </w:p>
        </w:tc>
        <w:tc>
          <w:tcPr>
            <w:tcW w:w="360" w:type="dxa"/>
            <w:vMerge w:val="restart"/>
            <w:noWrap w:val="0"/>
            <w:vAlign w:val="center"/>
          </w:tcPr>
          <w:p w14:paraId="74F409A0">
            <w:pPr>
              <w:spacing w:line="240" w:lineRule="auto"/>
              <w:ind w:firstLine="0" w:firstLineChars="0"/>
              <w:jc w:val="center"/>
              <w:rPr>
                <w:rFonts w:ascii="Times New Roman" w:hAnsi="Times New Roman" w:eastAsia="宋体" w:cs="Times New Roman"/>
                <w:color w:val="auto"/>
                <w:sz w:val="21"/>
                <w:szCs w:val="18"/>
              </w:rPr>
            </w:pPr>
            <w:r>
              <w:rPr>
                <w:rFonts w:ascii="Times New Roman" w:hAnsi="Times New Roman" w:eastAsia="宋体" w:cs="Times New Roman"/>
                <w:color w:val="auto"/>
                <w:sz w:val="21"/>
                <w:szCs w:val="18"/>
              </w:rPr>
              <w:t>E</w:t>
            </w:r>
          </w:p>
        </w:tc>
        <w:tc>
          <w:tcPr>
            <w:tcW w:w="540" w:type="dxa"/>
            <w:vMerge w:val="restart"/>
            <w:noWrap w:val="0"/>
            <w:vAlign w:val="center"/>
          </w:tcPr>
          <w:p w14:paraId="477B27EA">
            <w:pPr>
              <w:spacing w:line="240" w:lineRule="auto"/>
              <w:ind w:firstLine="0" w:firstLineChars="0"/>
              <w:jc w:val="center"/>
              <w:rPr>
                <w:rFonts w:ascii="Times New Roman" w:hAnsi="Times New Roman" w:eastAsia="宋体" w:cs="Times New Roman"/>
                <w:color w:val="auto"/>
                <w:sz w:val="21"/>
                <w:szCs w:val="18"/>
              </w:rPr>
            </w:pPr>
            <w:r>
              <w:rPr>
                <w:rFonts w:ascii="Times New Roman" w:hAnsi="Times New Roman" w:eastAsia="宋体" w:cs="Times New Roman"/>
                <w:color w:val="auto"/>
                <w:sz w:val="21"/>
                <w:szCs w:val="18"/>
              </w:rPr>
              <w:t>C</w:t>
            </w:r>
          </w:p>
        </w:tc>
        <w:tc>
          <w:tcPr>
            <w:tcW w:w="540" w:type="dxa"/>
            <w:vMerge w:val="restart"/>
            <w:noWrap w:val="0"/>
            <w:vAlign w:val="center"/>
          </w:tcPr>
          <w:p w14:paraId="03C0B864">
            <w:pPr>
              <w:spacing w:line="240" w:lineRule="auto"/>
              <w:ind w:firstLine="0" w:firstLineChars="0"/>
              <w:jc w:val="center"/>
              <w:rPr>
                <w:rFonts w:ascii="Times New Roman" w:hAnsi="Times New Roman" w:eastAsia="宋体" w:cs="Times New Roman"/>
                <w:color w:val="auto"/>
                <w:sz w:val="21"/>
                <w:szCs w:val="18"/>
              </w:rPr>
            </w:pPr>
            <w:r>
              <w:rPr>
                <w:rFonts w:ascii="Times New Roman" w:hAnsi="Times New Roman" w:eastAsia="宋体" w:cs="Times New Roman"/>
                <w:color w:val="auto"/>
                <w:sz w:val="21"/>
                <w:szCs w:val="18"/>
              </w:rPr>
              <w:t>D</w:t>
            </w:r>
          </w:p>
        </w:tc>
        <w:tc>
          <w:tcPr>
            <w:tcW w:w="720" w:type="dxa"/>
            <w:vMerge w:val="restart"/>
            <w:noWrap w:val="0"/>
            <w:vAlign w:val="center"/>
          </w:tcPr>
          <w:p w14:paraId="39C7044F">
            <w:pPr>
              <w:spacing w:line="240" w:lineRule="auto"/>
              <w:ind w:firstLine="0" w:firstLineChars="0"/>
              <w:jc w:val="center"/>
              <w:rPr>
                <w:rFonts w:ascii="宋体" w:hAnsi="宋体" w:eastAsia="宋体" w:cs="Times New Roman"/>
                <w:color w:val="auto"/>
                <w:sz w:val="21"/>
                <w:szCs w:val="18"/>
              </w:rPr>
            </w:pPr>
            <w:r>
              <w:rPr>
                <w:rFonts w:hint="eastAsia" w:ascii="宋体" w:hAnsi="宋体" w:eastAsia="宋体" w:cs="Times New Roman"/>
                <w:color w:val="auto"/>
                <w:sz w:val="21"/>
                <w:szCs w:val="18"/>
              </w:rPr>
              <w:t>危险</w:t>
            </w:r>
          </w:p>
          <w:p w14:paraId="3C260CCB">
            <w:pPr>
              <w:spacing w:line="240" w:lineRule="auto"/>
              <w:ind w:firstLine="0" w:firstLineChars="0"/>
              <w:jc w:val="center"/>
              <w:rPr>
                <w:rFonts w:ascii="宋体" w:hAnsi="宋体" w:eastAsia="宋体" w:cs="Times New Roman"/>
                <w:color w:val="auto"/>
                <w:sz w:val="21"/>
                <w:szCs w:val="18"/>
              </w:rPr>
            </w:pPr>
            <w:r>
              <w:rPr>
                <w:rFonts w:hint="eastAsia" w:ascii="宋体" w:hAnsi="宋体" w:eastAsia="宋体" w:cs="Times New Roman"/>
                <w:color w:val="auto"/>
                <w:sz w:val="21"/>
                <w:szCs w:val="18"/>
              </w:rPr>
              <w:t>等级</w:t>
            </w:r>
          </w:p>
        </w:tc>
        <w:tc>
          <w:tcPr>
            <w:tcW w:w="1440" w:type="dxa"/>
            <w:vMerge w:val="restart"/>
            <w:noWrap w:val="0"/>
            <w:vAlign w:val="center"/>
          </w:tcPr>
          <w:p w14:paraId="488EA50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建议</w:t>
            </w:r>
          </w:p>
          <w:p w14:paraId="49204A7F">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改进措施</w:t>
            </w:r>
          </w:p>
        </w:tc>
      </w:tr>
      <w:tr w14:paraId="534A1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468" w:type="dxa"/>
            <w:vMerge w:val="continue"/>
            <w:noWrap w:val="0"/>
            <w:vAlign w:val="center"/>
          </w:tcPr>
          <w:p w14:paraId="495F14D7">
            <w:pPr>
              <w:widowControl/>
              <w:spacing w:line="240" w:lineRule="auto"/>
              <w:ind w:firstLine="560" w:firstLineChars="0"/>
              <w:jc w:val="center"/>
              <w:rPr>
                <w:rFonts w:ascii="Times New Roman" w:hAnsi="Times New Roman" w:eastAsia="宋体" w:cs="Times New Roman"/>
                <w:color w:val="auto"/>
                <w:sz w:val="21"/>
              </w:rPr>
            </w:pPr>
          </w:p>
        </w:tc>
        <w:tc>
          <w:tcPr>
            <w:tcW w:w="1260" w:type="dxa"/>
            <w:vMerge w:val="continue"/>
            <w:noWrap w:val="0"/>
            <w:vAlign w:val="center"/>
          </w:tcPr>
          <w:p w14:paraId="34934613">
            <w:pPr>
              <w:widowControl/>
              <w:spacing w:line="240" w:lineRule="auto"/>
              <w:ind w:firstLine="560" w:firstLineChars="0"/>
              <w:jc w:val="center"/>
              <w:rPr>
                <w:rFonts w:ascii="Times New Roman" w:hAnsi="Times New Roman" w:eastAsia="宋体" w:cs="Times New Roman"/>
                <w:color w:val="auto"/>
                <w:sz w:val="21"/>
              </w:rPr>
            </w:pPr>
          </w:p>
        </w:tc>
        <w:tc>
          <w:tcPr>
            <w:tcW w:w="1440" w:type="dxa"/>
            <w:vMerge w:val="continue"/>
            <w:noWrap w:val="0"/>
            <w:vAlign w:val="center"/>
          </w:tcPr>
          <w:p w14:paraId="71846204">
            <w:pPr>
              <w:widowControl/>
              <w:spacing w:line="240" w:lineRule="auto"/>
              <w:ind w:firstLine="560" w:firstLineChars="0"/>
              <w:jc w:val="center"/>
              <w:rPr>
                <w:rFonts w:ascii="Times New Roman" w:hAnsi="Times New Roman" w:eastAsia="宋体" w:cs="Times New Roman"/>
                <w:color w:val="auto"/>
                <w:sz w:val="21"/>
              </w:rPr>
            </w:pPr>
          </w:p>
        </w:tc>
        <w:tc>
          <w:tcPr>
            <w:tcW w:w="1080" w:type="dxa"/>
            <w:noWrap w:val="0"/>
            <w:vAlign w:val="center"/>
          </w:tcPr>
          <w:p w14:paraId="5993E9E8">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偏差发生频率</w:t>
            </w:r>
          </w:p>
        </w:tc>
        <w:tc>
          <w:tcPr>
            <w:tcW w:w="2520" w:type="dxa"/>
            <w:noWrap w:val="0"/>
            <w:vAlign w:val="center"/>
          </w:tcPr>
          <w:p w14:paraId="5110DC82">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管理措施</w:t>
            </w:r>
          </w:p>
        </w:tc>
        <w:tc>
          <w:tcPr>
            <w:tcW w:w="900" w:type="dxa"/>
            <w:noWrap w:val="0"/>
            <w:vAlign w:val="center"/>
          </w:tcPr>
          <w:p w14:paraId="71666AB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员工</w:t>
            </w:r>
          </w:p>
          <w:p w14:paraId="49A4621F">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胜任度</w:t>
            </w:r>
          </w:p>
        </w:tc>
        <w:tc>
          <w:tcPr>
            <w:tcW w:w="2700" w:type="dxa"/>
            <w:noWrap w:val="0"/>
            <w:vAlign w:val="center"/>
          </w:tcPr>
          <w:p w14:paraId="3436AC5E">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安全措施</w:t>
            </w:r>
          </w:p>
        </w:tc>
        <w:tc>
          <w:tcPr>
            <w:tcW w:w="540" w:type="dxa"/>
            <w:vMerge w:val="continue"/>
            <w:noWrap w:val="0"/>
            <w:vAlign w:val="center"/>
          </w:tcPr>
          <w:p w14:paraId="27EF4DDF">
            <w:pPr>
              <w:widowControl/>
              <w:spacing w:line="240" w:lineRule="auto"/>
              <w:ind w:firstLine="560" w:firstLineChars="0"/>
              <w:jc w:val="center"/>
              <w:rPr>
                <w:rFonts w:ascii="Times New Roman" w:hAnsi="Times New Roman" w:eastAsia="宋体" w:cs="Times New Roman"/>
                <w:color w:val="auto"/>
                <w:sz w:val="21"/>
              </w:rPr>
            </w:pPr>
          </w:p>
        </w:tc>
        <w:tc>
          <w:tcPr>
            <w:tcW w:w="360" w:type="dxa"/>
            <w:vMerge w:val="continue"/>
            <w:noWrap w:val="0"/>
            <w:vAlign w:val="center"/>
          </w:tcPr>
          <w:p w14:paraId="11F42DE9">
            <w:pPr>
              <w:widowControl/>
              <w:spacing w:line="240" w:lineRule="auto"/>
              <w:ind w:firstLine="560" w:firstLineChars="0"/>
              <w:jc w:val="center"/>
              <w:rPr>
                <w:rFonts w:ascii="Times New Roman" w:hAnsi="Times New Roman" w:eastAsia="宋体" w:cs="Times New Roman"/>
                <w:color w:val="auto"/>
                <w:sz w:val="21"/>
              </w:rPr>
            </w:pPr>
          </w:p>
        </w:tc>
        <w:tc>
          <w:tcPr>
            <w:tcW w:w="540" w:type="dxa"/>
            <w:vMerge w:val="continue"/>
            <w:noWrap w:val="0"/>
            <w:vAlign w:val="center"/>
          </w:tcPr>
          <w:p w14:paraId="49BE07DC">
            <w:pPr>
              <w:widowControl/>
              <w:spacing w:line="240" w:lineRule="auto"/>
              <w:ind w:firstLine="562" w:firstLineChars="0"/>
              <w:jc w:val="center"/>
              <w:rPr>
                <w:rFonts w:ascii="Times New Roman" w:hAnsi="Times New Roman" w:eastAsia="宋体" w:cs="Times New Roman"/>
                <w:color w:val="auto"/>
                <w:sz w:val="21"/>
              </w:rPr>
            </w:pPr>
          </w:p>
        </w:tc>
        <w:tc>
          <w:tcPr>
            <w:tcW w:w="540" w:type="dxa"/>
            <w:vMerge w:val="continue"/>
            <w:noWrap w:val="0"/>
            <w:vAlign w:val="center"/>
          </w:tcPr>
          <w:p w14:paraId="76F2B22E">
            <w:pPr>
              <w:widowControl/>
              <w:spacing w:line="240" w:lineRule="auto"/>
              <w:ind w:firstLine="562" w:firstLineChars="0"/>
              <w:jc w:val="center"/>
              <w:rPr>
                <w:rFonts w:ascii="Times New Roman" w:hAnsi="Times New Roman" w:eastAsia="宋体" w:cs="Times New Roman"/>
                <w:color w:val="auto"/>
                <w:sz w:val="21"/>
              </w:rPr>
            </w:pPr>
          </w:p>
        </w:tc>
        <w:tc>
          <w:tcPr>
            <w:tcW w:w="720" w:type="dxa"/>
            <w:vMerge w:val="continue"/>
            <w:tcBorders>
              <w:bottom w:val="single" w:color="auto" w:sz="4" w:space="0"/>
            </w:tcBorders>
            <w:noWrap w:val="0"/>
            <w:vAlign w:val="center"/>
          </w:tcPr>
          <w:p w14:paraId="096C3D98">
            <w:pPr>
              <w:widowControl/>
              <w:spacing w:line="240" w:lineRule="auto"/>
              <w:ind w:firstLine="560" w:firstLineChars="0"/>
              <w:jc w:val="center"/>
              <w:rPr>
                <w:rFonts w:ascii="Times New Roman" w:hAnsi="Times New Roman" w:eastAsia="宋体" w:cs="Times New Roman"/>
                <w:color w:val="auto"/>
                <w:sz w:val="21"/>
              </w:rPr>
            </w:pPr>
          </w:p>
        </w:tc>
        <w:tc>
          <w:tcPr>
            <w:tcW w:w="1440" w:type="dxa"/>
            <w:vMerge w:val="continue"/>
            <w:noWrap w:val="0"/>
            <w:vAlign w:val="center"/>
          </w:tcPr>
          <w:p w14:paraId="79C4D967">
            <w:pPr>
              <w:widowControl/>
              <w:spacing w:line="240" w:lineRule="auto"/>
              <w:ind w:firstLine="560" w:firstLineChars="0"/>
              <w:jc w:val="center"/>
              <w:rPr>
                <w:rFonts w:ascii="Times New Roman" w:hAnsi="Times New Roman" w:eastAsia="宋体" w:cs="Times New Roman"/>
                <w:color w:val="auto"/>
                <w:sz w:val="21"/>
              </w:rPr>
            </w:pPr>
          </w:p>
        </w:tc>
      </w:tr>
      <w:tr w14:paraId="3325A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8" w:hRule="atLeast"/>
        </w:trPr>
        <w:tc>
          <w:tcPr>
            <w:tcW w:w="468" w:type="dxa"/>
            <w:shd w:val="clear" w:color="auto" w:fill="auto"/>
            <w:noWrap w:val="0"/>
            <w:vAlign w:val="center"/>
          </w:tcPr>
          <w:p w14:paraId="0F8A848B">
            <w:pPr>
              <w:spacing w:line="240" w:lineRule="auto"/>
              <w:ind w:firstLine="0" w:firstLineChars="0"/>
              <w:jc w:val="center"/>
              <w:rPr>
                <w:rFonts w:ascii="Times New Roman" w:hAnsi="Times New Roman" w:eastAsia="宋体" w:cs="Times New Roman"/>
                <w:color w:val="auto"/>
                <w:sz w:val="21"/>
              </w:rPr>
            </w:pPr>
            <w:r>
              <w:rPr>
                <w:rFonts w:ascii="Times New Roman" w:hAnsi="Times New Roman" w:eastAsia="宋体" w:cs="Times New Roman"/>
                <w:color w:val="auto"/>
                <w:sz w:val="21"/>
              </w:rPr>
              <w:t>1</w:t>
            </w:r>
          </w:p>
        </w:tc>
        <w:tc>
          <w:tcPr>
            <w:tcW w:w="1260" w:type="dxa"/>
            <w:shd w:val="clear" w:color="auto" w:fill="auto"/>
            <w:noWrap w:val="0"/>
            <w:vAlign w:val="center"/>
          </w:tcPr>
          <w:p w14:paraId="5E31FF31">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粉尘</w:t>
            </w:r>
          </w:p>
        </w:tc>
        <w:tc>
          <w:tcPr>
            <w:tcW w:w="1440" w:type="dxa"/>
            <w:shd w:val="clear" w:color="auto" w:fill="auto"/>
            <w:noWrap w:val="0"/>
            <w:vAlign w:val="center"/>
          </w:tcPr>
          <w:p w14:paraId="4069251B">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职业危害可能导致职业病（矽肺）的产生</w:t>
            </w:r>
          </w:p>
        </w:tc>
        <w:tc>
          <w:tcPr>
            <w:tcW w:w="1080" w:type="dxa"/>
            <w:shd w:val="clear" w:color="auto" w:fill="auto"/>
            <w:noWrap w:val="0"/>
            <w:vAlign w:val="center"/>
          </w:tcPr>
          <w:p w14:paraId="4A33C6E3">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不经常发生</w:t>
            </w:r>
          </w:p>
        </w:tc>
        <w:tc>
          <w:tcPr>
            <w:tcW w:w="2520" w:type="dxa"/>
            <w:shd w:val="clear" w:color="auto" w:fill="auto"/>
            <w:noWrap w:val="0"/>
            <w:vAlign w:val="center"/>
          </w:tcPr>
          <w:p w14:paraId="0AB72202">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严格执行操作规程；教育职工做好个体防护；普及职业卫生防护知识；做好职工健康监护工作。</w:t>
            </w:r>
          </w:p>
        </w:tc>
        <w:tc>
          <w:tcPr>
            <w:tcW w:w="900" w:type="dxa"/>
            <w:shd w:val="clear" w:color="auto" w:fill="auto"/>
            <w:noWrap w:val="0"/>
            <w:vAlign w:val="center"/>
          </w:tcPr>
          <w:p w14:paraId="18F4AE38">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胜任</w:t>
            </w:r>
          </w:p>
        </w:tc>
        <w:tc>
          <w:tcPr>
            <w:tcW w:w="2700" w:type="dxa"/>
            <w:shd w:val="clear" w:color="auto" w:fill="auto"/>
            <w:noWrap w:val="0"/>
            <w:vAlign w:val="center"/>
          </w:tcPr>
          <w:p w14:paraId="4612BDD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通风防尘设备完好，有效；戴好防护口罩</w:t>
            </w:r>
          </w:p>
        </w:tc>
        <w:tc>
          <w:tcPr>
            <w:tcW w:w="540" w:type="dxa"/>
            <w:shd w:val="clear" w:color="auto" w:fill="auto"/>
            <w:noWrap w:val="0"/>
            <w:vAlign w:val="center"/>
          </w:tcPr>
          <w:p w14:paraId="5C5D1580">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1</w:t>
            </w:r>
          </w:p>
        </w:tc>
        <w:tc>
          <w:tcPr>
            <w:tcW w:w="360" w:type="dxa"/>
            <w:shd w:val="clear" w:color="auto" w:fill="auto"/>
            <w:noWrap w:val="0"/>
            <w:vAlign w:val="center"/>
          </w:tcPr>
          <w:p w14:paraId="246ABE7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2</w:t>
            </w:r>
          </w:p>
        </w:tc>
        <w:tc>
          <w:tcPr>
            <w:tcW w:w="540" w:type="dxa"/>
            <w:shd w:val="clear" w:color="auto" w:fill="auto"/>
            <w:noWrap w:val="0"/>
            <w:vAlign w:val="center"/>
          </w:tcPr>
          <w:p w14:paraId="03EA7A38">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1</w:t>
            </w:r>
            <w:r>
              <w:rPr>
                <w:rFonts w:ascii="Times New Roman" w:hAnsi="Times New Roman" w:eastAsia="宋体" w:cs="Times New Roman"/>
                <w:color w:val="auto"/>
                <w:sz w:val="21"/>
              </w:rPr>
              <w:t>5</w:t>
            </w:r>
          </w:p>
        </w:tc>
        <w:tc>
          <w:tcPr>
            <w:tcW w:w="540" w:type="dxa"/>
            <w:shd w:val="clear" w:color="auto" w:fill="auto"/>
            <w:noWrap w:val="0"/>
            <w:vAlign w:val="center"/>
          </w:tcPr>
          <w:p w14:paraId="2F5FFC0B">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3</w:t>
            </w:r>
            <w:r>
              <w:rPr>
                <w:rFonts w:ascii="Times New Roman" w:hAnsi="Times New Roman" w:eastAsia="宋体" w:cs="Times New Roman"/>
                <w:color w:val="auto"/>
                <w:sz w:val="21"/>
              </w:rPr>
              <w:t>0</w:t>
            </w:r>
          </w:p>
        </w:tc>
        <w:tc>
          <w:tcPr>
            <w:tcW w:w="720" w:type="dxa"/>
            <w:shd w:val="clear" w:color="auto" w:fill="0000FF"/>
            <w:noWrap w:val="0"/>
            <w:vAlign w:val="center"/>
          </w:tcPr>
          <w:p w14:paraId="3E07A19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B</w:t>
            </w:r>
          </w:p>
        </w:tc>
        <w:tc>
          <w:tcPr>
            <w:tcW w:w="1440" w:type="dxa"/>
            <w:noWrap w:val="0"/>
            <w:vAlign w:val="center"/>
          </w:tcPr>
          <w:p w14:paraId="362BF6DA">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通风、湿式作业</w:t>
            </w:r>
          </w:p>
        </w:tc>
      </w:tr>
      <w:tr w14:paraId="28A2D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73" w:hRule="atLeast"/>
        </w:trPr>
        <w:tc>
          <w:tcPr>
            <w:tcW w:w="468" w:type="dxa"/>
            <w:shd w:val="clear" w:color="auto" w:fill="auto"/>
            <w:noWrap w:val="0"/>
            <w:vAlign w:val="center"/>
          </w:tcPr>
          <w:p w14:paraId="5C4CF8A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2</w:t>
            </w:r>
          </w:p>
        </w:tc>
        <w:tc>
          <w:tcPr>
            <w:tcW w:w="1260" w:type="dxa"/>
            <w:shd w:val="clear" w:color="auto" w:fill="auto"/>
            <w:noWrap w:val="0"/>
            <w:vAlign w:val="center"/>
          </w:tcPr>
          <w:p w14:paraId="3AE664F0">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高温与低温</w:t>
            </w:r>
          </w:p>
        </w:tc>
        <w:tc>
          <w:tcPr>
            <w:tcW w:w="1440" w:type="dxa"/>
            <w:shd w:val="clear" w:color="auto" w:fill="auto"/>
            <w:noWrap w:val="0"/>
            <w:vAlign w:val="center"/>
          </w:tcPr>
          <w:p w14:paraId="75C23961">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职业危害可能导致中暑或冻伤的发生</w:t>
            </w:r>
          </w:p>
        </w:tc>
        <w:tc>
          <w:tcPr>
            <w:tcW w:w="1080" w:type="dxa"/>
            <w:shd w:val="clear" w:color="auto" w:fill="auto"/>
            <w:noWrap w:val="0"/>
            <w:vAlign w:val="center"/>
          </w:tcPr>
          <w:p w14:paraId="0D931DD5">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曾经发生</w:t>
            </w:r>
          </w:p>
        </w:tc>
        <w:tc>
          <w:tcPr>
            <w:tcW w:w="2520" w:type="dxa"/>
            <w:shd w:val="clear" w:color="auto" w:fill="auto"/>
            <w:noWrap w:val="0"/>
            <w:vAlign w:val="center"/>
          </w:tcPr>
          <w:p w14:paraId="26173ED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改善现场作业条件；教育职工做好个体防护；合理安排工作任务，高温季节尽可能的避开高温时间作业；</w:t>
            </w:r>
          </w:p>
        </w:tc>
        <w:tc>
          <w:tcPr>
            <w:tcW w:w="900" w:type="dxa"/>
            <w:shd w:val="clear" w:color="auto" w:fill="auto"/>
            <w:noWrap w:val="0"/>
            <w:vAlign w:val="center"/>
          </w:tcPr>
          <w:p w14:paraId="59D0F44E">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胜任</w:t>
            </w:r>
          </w:p>
        </w:tc>
        <w:tc>
          <w:tcPr>
            <w:tcW w:w="2700" w:type="dxa"/>
            <w:shd w:val="clear" w:color="auto" w:fill="auto"/>
            <w:noWrap w:val="0"/>
            <w:vAlign w:val="center"/>
          </w:tcPr>
          <w:p w14:paraId="364A8BBF">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高温季节，作业现场配备防暑药品及清凉饮料；确保作业现场降温设施完好、有效；进入冬季，取暖设施及时安装到位，确保其有效、可靠；寒冷天气对交通造成影响时，必须采取有效措施，确保交通安全。</w:t>
            </w:r>
          </w:p>
        </w:tc>
        <w:tc>
          <w:tcPr>
            <w:tcW w:w="540" w:type="dxa"/>
            <w:shd w:val="clear" w:color="auto" w:fill="auto"/>
            <w:noWrap w:val="0"/>
            <w:vAlign w:val="center"/>
          </w:tcPr>
          <w:p w14:paraId="2EAA67B5">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2</w:t>
            </w:r>
          </w:p>
        </w:tc>
        <w:tc>
          <w:tcPr>
            <w:tcW w:w="360" w:type="dxa"/>
            <w:shd w:val="clear" w:color="auto" w:fill="auto"/>
            <w:noWrap w:val="0"/>
            <w:vAlign w:val="center"/>
          </w:tcPr>
          <w:p w14:paraId="29D3B41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2</w:t>
            </w:r>
          </w:p>
        </w:tc>
        <w:tc>
          <w:tcPr>
            <w:tcW w:w="540" w:type="dxa"/>
            <w:shd w:val="clear" w:color="auto" w:fill="auto"/>
            <w:noWrap w:val="0"/>
            <w:vAlign w:val="center"/>
          </w:tcPr>
          <w:p w14:paraId="14CFC739">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1</w:t>
            </w:r>
            <w:r>
              <w:rPr>
                <w:rFonts w:ascii="Times New Roman" w:hAnsi="Times New Roman" w:eastAsia="宋体" w:cs="Times New Roman"/>
                <w:color w:val="auto"/>
                <w:sz w:val="21"/>
              </w:rPr>
              <w:t>5</w:t>
            </w:r>
          </w:p>
        </w:tc>
        <w:tc>
          <w:tcPr>
            <w:tcW w:w="540" w:type="dxa"/>
            <w:shd w:val="clear" w:color="auto" w:fill="auto"/>
            <w:noWrap w:val="0"/>
            <w:vAlign w:val="center"/>
          </w:tcPr>
          <w:p w14:paraId="0DBBD24F">
            <w:pPr>
              <w:spacing w:line="240" w:lineRule="auto"/>
              <w:ind w:firstLine="0" w:firstLineChars="0"/>
              <w:jc w:val="center"/>
              <w:rPr>
                <w:rFonts w:ascii="Times New Roman" w:hAnsi="Times New Roman" w:eastAsia="宋体" w:cs="Times New Roman"/>
                <w:color w:val="auto"/>
                <w:sz w:val="21"/>
              </w:rPr>
            </w:pPr>
            <w:r>
              <w:rPr>
                <w:rFonts w:ascii="Times New Roman" w:hAnsi="Times New Roman" w:eastAsia="宋体" w:cs="Times New Roman"/>
                <w:color w:val="auto"/>
                <w:sz w:val="21"/>
              </w:rPr>
              <w:t>60</w:t>
            </w:r>
          </w:p>
        </w:tc>
        <w:tc>
          <w:tcPr>
            <w:tcW w:w="720" w:type="dxa"/>
            <w:shd w:val="clear" w:color="auto" w:fill="0000FF"/>
            <w:noWrap w:val="0"/>
            <w:vAlign w:val="center"/>
          </w:tcPr>
          <w:p w14:paraId="743F1D1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B</w:t>
            </w:r>
          </w:p>
        </w:tc>
        <w:tc>
          <w:tcPr>
            <w:tcW w:w="1440" w:type="dxa"/>
            <w:noWrap w:val="0"/>
            <w:vAlign w:val="center"/>
          </w:tcPr>
          <w:p w14:paraId="5CD83631">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选择合适时段作业、配备防暑药品及清凉饮料</w:t>
            </w:r>
          </w:p>
        </w:tc>
      </w:tr>
      <w:tr w14:paraId="0A8C4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468" w:type="dxa"/>
            <w:shd w:val="clear" w:color="auto" w:fill="auto"/>
            <w:noWrap w:val="0"/>
            <w:vAlign w:val="center"/>
          </w:tcPr>
          <w:p w14:paraId="0AC6F51D">
            <w:pPr>
              <w:spacing w:line="240" w:lineRule="auto"/>
              <w:ind w:firstLine="0" w:firstLineChars="0"/>
              <w:jc w:val="center"/>
              <w:rPr>
                <w:rFonts w:ascii="Times New Roman" w:hAnsi="Times New Roman" w:eastAsia="宋体" w:cs="Times New Roman"/>
                <w:color w:val="auto"/>
                <w:sz w:val="21"/>
              </w:rPr>
            </w:pPr>
            <w:r>
              <w:rPr>
                <w:rFonts w:ascii="Times New Roman" w:hAnsi="Times New Roman" w:eastAsia="宋体" w:cs="Times New Roman"/>
                <w:color w:val="auto"/>
                <w:sz w:val="21"/>
              </w:rPr>
              <w:t>3</w:t>
            </w:r>
          </w:p>
        </w:tc>
        <w:tc>
          <w:tcPr>
            <w:tcW w:w="1260" w:type="dxa"/>
            <w:shd w:val="clear" w:color="auto" w:fill="auto"/>
            <w:noWrap w:val="0"/>
            <w:vAlign w:val="center"/>
          </w:tcPr>
          <w:p w14:paraId="14CCF768">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噪声</w:t>
            </w:r>
          </w:p>
        </w:tc>
        <w:tc>
          <w:tcPr>
            <w:tcW w:w="1440" w:type="dxa"/>
            <w:shd w:val="clear" w:color="auto" w:fill="auto"/>
            <w:noWrap w:val="0"/>
            <w:vAlign w:val="center"/>
          </w:tcPr>
          <w:p w14:paraId="40CBFDCE">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职业危害可能导致人体听力器官受损</w:t>
            </w:r>
          </w:p>
        </w:tc>
        <w:tc>
          <w:tcPr>
            <w:tcW w:w="1080" w:type="dxa"/>
            <w:shd w:val="clear" w:color="auto" w:fill="auto"/>
            <w:noWrap w:val="0"/>
            <w:vAlign w:val="center"/>
          </w:tcPr>
          <w:p w14:paraId="41BD4CD5">
            <w:pPr>
              <w:spacing w:line="240" w:lineRule="auto"/>
              <w:ind w:firstLine="0" w:firstLineChars="0"/>
              <w:jc w:val="center"/>
              <w:rPr>
                <w:rFonts w:hint="eastAsia" w:ascii="Times New Roman" w:hAnsi="Times New Roman" w:eastAsia="宋体" w:cs="Times New Roman"/>
                <w:color w:val="auto"/>
                <w:sz w:val="21"/>
              </w:rPr>
            </w:pPr>
          </w:p>
        </w:tc>
        <w:tc>
          <w:tcPr>
            <w:tcW w:w="2520" w:type="dxa"/>
            <w:shd w:val="clear" w:color="auto" w:fill="auto"/>
            <w:noWrap w:val="0"/>
            <w:vAlign w:val="center"/>
          </w:tcPr>
          <w:p w14:paraId="6564A8B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教育职工做好个体防护</w:t>
            </w:r>
          </w:p>
        </w:tc>
        <w:tc>
          <w:tcPr>
            <w:tcW w:w="900" w:type="dxa"/>
            <w:shd w:val="clear" w:color="auto" w:fill="auto"/>
            <w:noWrap w:val="0"/>
            <w:vAlign w:val="center"/>
          </w:tcPr>
          <w:p w14:paraId="37F935E3">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胜任</w:t>
            </w:r>
          </w:p>
        </w:tc>
        <w:tc>
          <w:tcPr>
            <w:tcW w:w="2700" w:type="dxa"/>
            <w:shd w:val="clear" w:color="auto" w:fill="auto"/>
            <w:noWrap w:val="0"/>
            <w:vAlign w:val="center"/>
          </w:tcPr>
          <w:p w14:paraId="7F22B149">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采用科学先进技术改造设备降低噪声源</w:t>
            </w:r>
          </w:p>
        </w:tc>
        <w:tc>
          <w:tcPr>
            <w:tcW w:w="540" w:type="dxa"/>
            <w:shd w:val="clear" w:color="auto" w:fill="auto"/>
            <w:noWrap w:val="0"/>
            <w:vAlign w:val="center"/>
          </w:tcPr>
          <w:p w14:paraId="7A1DF581">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1</w:t>
            </w:r>
          </w:p>
        </w:tc>
        <w:tc>
          <w:tcPr>
            <w:tcW w:w="360" w:type="dxa"/>
            <w:shd w:val="clear" w:color="auto" w:fill="auto"/>
            <w:noWrap w:val="0"/>
            <w:vAlign w:val="center"/>
          </w:tcPr>
          <w:p w14:paraId="69B442D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3</w:t>
            </w:r>
          </w:p>
        </w:tc>
        <w:tc>
          <w:tcPr>
            <w:tcW w:w="540" w:type="dxa"/>
            <w:shd w:val="clear" w:color="auto" w:fill="auto"/>
            <w:noWrap w:val="0"/>
            <w:vAlign w:val="center"/>
          </w:tcPr>
          <w:p w14:paraId="63245A3E">
            <w:pPr>
              <w:spacing w:line="240" w:lineRule="auto"/>
              <w:ind w:firstLine="0" w:firstLineChars="0"/>
              <w:jc w:val="center"/>
              <w:rPr>
                <w:rFonts w:ascii="Times New Roman" w:hAnsi="Times New Roman" w:eastAsia="宋体" w:cs="Times New Roman"/>
                <w:color w:val="auto"/>
                <w:sz w:val="21"/>
              </w:rPr>
            </w:pPr>
            <w:r>
              <w:rPr>
                <w:rFonts w:ascii="Times New Roman" w:hAnsi="Times New Roman" w:eastAsia="宋体" w:cs="Times New Roman"/>
                <w:color w:val="auto"/>
                <w:sz w:val="21"/>
              </w:rPr>
              <w:t>5</w:t>
            </w:r>
          </w:p>
        </w:tc>
        <w:tc>
          <w:tcPr>
            <w:tcW w:w="540" w:type="dxa"/>
            <w:shd w:val="clear" w:color="auto" w:fill="auto"/>
            <w:noWrap w:val="0"/>
            <w:vAlign w:val="center"/>
          </w:tcPr>
          <w:p w14:paraId="204336C8">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1</w:t>
            </w:r>
            <w:r>
              <w:rPr>
                <w:rFonts w:ascii="Times New Roman" w:hAnsi="Times New Roman" w:eastAsia="宋体" w:cs="Times New Roman"/>
                <w:color w:val="auto"/>
                <w:sz w:val="21"/>
              </w:rPr>
              <w:t>5</w:t>
            </w:r>
          </w:p>
        </w:tc>
        <w:tc>
          <w:tcPr>
            <w:tcW w:w="720" w:type="dxa"/>
            <w:shd w:val="clear" w:color="auto" w:fill="0000FF"/>
            <w:noWrap w:val="0"/>
            <w:vAlign w:val="center"/>
          </w:tcPr>
          <w:p w14:paraId="76E6D7B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A</w:t>
            </w:r>
          </w:p>
        </w:tc>
        <w:tc>
          <w:tcPr>
            <w:tcW w:w="1440" w:type="dxa"/>
            <w:noWrap w:val="0"/>
            <w:vAlign w:val="center"/>
          </w:tcPr>
          <w:p w14:paraId="34AB9042">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消声密闭</w:t>
            </w:r>
          </w:p>
        </w:tc>
      </w:tr>
      <w:tr w14:paraId="3182F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8" w:hRule="atLeast"/>
        </w:trPr>
        <w:tc>
          <w:tcPr>
            <w:tcW w:w="468" w:type="dxa"/>
            <w:shd w:val="clear" w:color="auto" w:fill="auto"/>
            <w:noWrap w:val="0"/>
            <w:vAlign w:val="center"/>
          </w:tcPr>
          <w:p w14:paraId="6BF0E409">
            <w:pPr>
              <w:spacing w:line="240" w:lineRule="auto"/>
              <w:ind w:firstLine="0" w:firstLineChars="0"/>
              <w:jc w:val="center"/>
              <w:rPr>
                <w:rFonts w:ascii="Times New Roman" w:hAnsi="Times New Roman" w:eastAsia="宋体" w:cs="Times New Roman"/>
                <w:color w:val="auto"/>
                <w:sz w:val="21"/>
              </w:rPr>
            </w:pPr>
            <w:r>
              <w:rPr>
                <w:rFonts w:ascii="Times New Roman" w:hAnsi="Times New Roman" w:eastAsia="宋体" w:cs="Times New Roman"/>
                <w:color w:val="auto"/>
                <w:sz w:val="21"/>
              </w:rPr>
              <w:t>4</w:t>
            </w:r>
          </w:p>
        </w:tc>
        <w:tc>
          <w:tcPr>
            <w:tcW w:w="1260" w:type="dxa"/>
            <w:shd w:val="clear" w:color="auto" w:fill="auto"/>
            <w:noWrap w:val="0"/>
            <w:vAlign w:val="center"/>
          </w:tcPr>
          <w:p w14:paraId="5C7DDE45">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毒物</w:t>
            </w:r>
          </w:p>
        </w:tc>
        <w:tc>
          <w:tcPr>
            <w:tcW w:w="1440" w:type="dxa"/>
            <w:shd w:val="clear" w:color="auto" w:fill="auto"/>
            <w:noWrap w:val="0"/>
            <w:vAlign w:val="center"/>
          </w:tcPr>
          <w:p w14:paraId="71827DD0">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职业危害可能导致人体呼吸系统疾病</w:t>
            </w:r>
          </w:p>
        </w:tc>
        <w:tc>
          <w:tcPr>
            <w:tcW w:w="1080" w:type="dxa"/>
            <w:shd w:val="clear" w:color="auto" w:fill="auto"/>
            <w:noWrap w:val="0"/>
            <w:vAlign w:val="center"/>
          </w:tcPr>
          <w:p w14:paraId="21674302">
            <w:pPr>
              <w:spacing w:line="240" w:lineRule="auto"/>
              <w:ind w:firstLine="0" w:firstLineChars="0"/>
              <w:jc w:val="center"/>
              <w:rPr>
                <w:rFonts w:hint="eastAsia" w:ascii="Times New Roman" w:hAnsi="Times New Roman" w:eastAsia="宋体" w:cs="Times New Roman"/>
                <w:color w:val="auto"/>
                <w:sz w:val="21"/>
              </w:rPr>
            </w:pPr>
          </w:p>
        </w:tc>
        <w:tc>
          <w:tcPr>
            <w:tcW w:w="2520" w:type="dxa"/>
            <w:shd w:val="clear" w:color="auto" w:fill="auto"/>
            <w:noWrap w:val="0"/>
            <w:vAlign w:val="center"/>
          </w:tcPr>
          <w:p w14:paraId="29789EBD">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教育职工做好个体防护，正确使用劳动保护用品；建立健全职业危害救护体系。</w:t>
            </w:r>
          </w:p>
        </w:tc>
        <w:tc>
          <w:tcPr>
            <w:tcW w:w="900" w:type="dxa"/>
            <w:shd w:val="clear" w:color="auto" w:fill="auto"/>
            <w:noWrap w:val="0"/>
            <w:vAlign w:val="center"/>
          </w:tcPr>
          <w:p w14:paraId="10B93538">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胜任</w:t>
            </w:r>
          </w:p>
        </w:tc>
        <w:tc>
          <w:tcPr>
            <w:tcW w:w="2700" w:type="dxa"/>
            <w:shd w:val="clear" w:color="auto" w:fill="auto"/>
            <w:noWrap w:val="0"/>
            <w:vAlign w:val="center"/>
          </w:tcPr>
          <w:p w14:paraId="50CB028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发放专用个体防护用品</w:t>
            </w:r>
          </w:p>
        </w:tc>
        <w:tc>
          <w:tcPr>
            <w:tcW w:w="540" w:type="dxa"/>
            <w:shd w:val="clear" w:color="auto" w:fill="auto"/>
            <w:noWrap w:val="0"/>
            <w:vAlign w:val="center"/>
          </w:tcPr>
          <w:p w14:paraId="39FC8598">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1</w:t>
            </w:r>
          </w:p>
        </w:tc>
        <w:tc>
          <w:tcPr>
            <w:tcW w:w="360" w:type="dxa"/>
            <w:shd w:val="clear" w:color="auto" w:fill="auto"/>
            <w:noWrap w:val="0"/>
            <w:vAlign w:val="center"/>
          </w:tcPr>
          <w:p w14:paraId="02F6470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3</w:t>
            </w:r>
          </w:p>
        </w:tc>
        <w:tc>
          <w:tcPr>
            <w:tcW w:w="540" w:type="dxa"/>
            <w:shd w:val="clear" w:color="auto" w:fill="auto"/>
            <w:noWrap w:val="0"/>
            <w:vAlign w:val="center"/>
          </w:tcPr>
          <w:p w14:paraId="4F2EB756">
            <w:pPr>
              <w:spacing w:line="240" w:lineRule="auto"/>
              <w:ind w:firstLine="0" w:firstLineChars="0"/>
              <w:jc w:val="center"/>
              <w:rPr>
                <w:rFonts w:ascii="Times New Roman" w:hAnsi="Times New Roman" w:eastAsia="宋体" w:cs="Times New Roman"/>
                <w:color w:val="auto"/>
                <w:sz w:val="21"/>
              </w:rPr>
            </w:pPr>
            <w:r>
              <w:rPr>
                <w:rFonts w:ascii="Times New Roman" w:hAnsi="Times New Roman" w:eastAsia="宋体" w:cs="Times New Roman"/>
                <w:color w:val="auto"/>
                <w:sz w:val="21"/>
              </w:rPr>
              <w:t>5</w:t>
            </w:r>
          </w:p>
        </w:tc>
        <w:tc>
          <w:tcPr>
            <w:tcW w:w="540" w:type="dxa"/>
            <w:shd w:val="clear" w:color="auto" w:fill="auto"/>
            <w:noWrap w:val="0"/>
            <w:vAlign w:val="center"/>
          </w:tcPr>
          <w:p w14:paraId="3D4467D9">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1</w:t>
            </w:r>
            <w:r>
              <w:rPr>
                <w:rFonts w:ascii="Times New Roman" w:hAnsi="Times New Roman" w:eastAsia="宋体" w:cs="Times New Roman"/>
                <w:color w:val="auto"/>
                <w:sz w:val="21"/>
              </w:rPr>
              <w:t>5</w:t>
            </w:r>
          </w:p>
        </w:tc>
        <w:tc>
          <w:tcPr>
            <w:tcW w:w="720" w:type="dxa"/>
            <w:shd w:val="clear" w:color="auto" w:fill="0000FF"/>
            <w:noWrap w:val="0"/>
            <w:vAlign w:val="center"/>
          </w:tcPr>
          <w:p w14:paraId="0F594A84">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A</w:t>
            </w:r>
          </w:p>
        </w:tc>
        <w:tc>
          <w:tcPr>
            <w:tcW w:w="1440" w:type="dxa"/>
            <w:noWrap w:val="0"/>
            <w:vAlign w:val="center"/>
          </w:tcPr>
          <w:p w14:paraId="40468BF1">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发放专用个体防护用品</w:t>
            </w:r>
          </w:p>
        </w:tc>
      </w:tr>
      <w:tr w14:paraId="4FF8C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8" w:hRule="atLeast"/>
        </w:trPr>
        <w:tc>
          <w:tcPr>
            <w:tcW w:w="468" w:type="dxa"/>
            <w:shd w:val="clear" w:color="auto" w:fill="auto"/>
            <w:noWrap w:val="0"/>
            <w:vAlign w:val="center"/>
          </w:tcPr>
          <w:p w14:paraId="507F23EA">
            <w:pPr>
              <w:spacing w:line="240" w:lineRule="auto"/>
              <w:ind w:firstLine="0" w:firstLineChars="0"/>
              <w:jc w:val="center"/>
              <w:rPr>
                <w:rFonts w:ascii="Times New Roman" w:hAnsi="Times New Roman" w:eastAsia="宋体" w:cs="Times New Roman"/>
                <w:color w:val="auto"/>
                <w:sz w:val="21"/>
              </w:rPr>
            </w:pPr>
            <w:r>
              <w:rPr>
                <w:rFonts w:ascii="Times New Roman" w:hAnsi="Times New Roman" w:eastAsia="宋体" w:cs="Times New Roman"/>
                <w:color w:val="auto"/>
                <w:sz w:val="21"/>
              </w:rPr>
              <w:t>5</w:t>
            </w:r>
          </w:p>
        </w:tc>
        <w:tc>
          <w:tcPr>
            <w:tcW w:w="1260" w:type="dxa"/>
            <w:shd w:val="clear" w:color="auto" w:fill="auto"/>
            <w:noWrap w:val="0"/>
            <w:vAlign w:val="center"/>
          </w:tcPr>
          <w:p w14:paraId="5646A80B">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照度</w:t>
            </w:r>
          </w:p>
        </w:tc>
        <w:tc>
          <w:tcPr>
            <w:tcW w:w="1440" w:type="dxa"/>
            <w:shd w:val="clear" w:color="auto" w:fill="auto"/>
            <w:noWrap w:val="0"/>
            <w:vAlign w:val="center"/>
          </w:tcPr>
          <w:p w14:paraId="2A617FFB">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环境因素可能导致设备、人生伤害事故发生</w:t>
            </w:r>
          </w:p>
        </w:tc>
        <w:tc>
          <w:tcPr>
            <w:tcW w:w="1080" w:type="dxa"/>
            <w:shd w:val="clear" w:color="auto" w:fill="auto"/>
            <w:noWrap w:val="0"/>
            <w:vAlign w:val="center"/>
          </w:tcPr>
          <w:p w14:paraId="43180F10">
            <w:pPr>
              <w:spacing w:line="240" w:lineRule="auto"/>
              <w:ind w:firstLine="0" w:firstLineChars="0"/>
              <w:jc w:val="center"/>
              <w:rPr>
                <w:rFonts w:hint="eastAsia" w:ascii="Times New Roman" w:hAnsi="Times New Roman" w:eastAsia="宋体" w:cs="Times New Roman"/>
                <w:color w:val="auto"/>
                <w:sz w:val="21"/>
              </w:rPr>
            </w:pPr>
          </w:p>
        </w:tc>
        <w:tc>
          <w:tcPr>
            <w:tcW w:w="2520" w:type="dxa"/>
            <w:shd w:val="clear" w:color="auto" w:fill="auto"/>
            <w:noWrap w:val="0"/>
            <w:vAlign w:val="center"/>
          </w:tcPr>
          <w:p w14:paraId="3DD58B34">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收集作业现场的反馈信息及时加装必要的照明设施。</w:t>
            </w:r>
          </w:p>
        </w:tc>
        <w:tc>
          <w:tcPr>
            <w:tcW w:w="900" w:type="dxa"/>
            <w:shd w:val="clear" w:color="auto" w:fill="auto"/>
            <w:noWrap w:val="0"/>
            <w:vAlign w:val="center"/>
          </w:tcPr>
          <w:p w14:paraId="27C9D7E2">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胜任</w:t>
            </w:r>
          </w:p>
        </w:tc>
        <w:tc>
          <w:tcPr>
            <w:tcW w:w="2700" w:type="dxa"/>
            <w:shd w:val="clear" w:color="auto" w:fill="auto"/>
            <w:noWrap w:val="0"/>
            <w:vAlign w:val="center"/>
          </w:tcPr>
          <w:p w14:paraId="5B4C4B3D">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合理安装照明设施</w:t>
            </w:r>
          </w:p>
        </w:tc>
        <w:tc>
          <w:tcPr>
            <w:tcW w:w="540" w:type="dxa"/>
            <w:shd w:val="clear" w:color="auto" w:fill="auto"/>
            <w:noWrap w:val="0"/>
            <w:vAlign w:val="center"/>
          </w:tcPr>
          <w:p w14:paraId="1D600CF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2</w:t>
            </w:r>
          </w:p>
        </w:tc>
        <w:tc>
          <w:tcPr>
            <w:tcW w:w="360" w:type="dxa"/>
            <w:shd w:val="clear" w:color="auto" w:fill="auto"/>
            <w:noWrap w:val="0"/>
            <w:vAlign w:val="center"/>
          </w:tcPr>
          <w:p w14:paraId="3A94B11E">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2</w:t>
            </w:r>
          </w:p>
        </w:tc>
        <w:tc>
          <w:tcPr>
            <w:tcW w:w="540" w:type="dxa"/>
            <w:shd w:val="clear" w:color="auto" w:fill="auto"/>
            <w:noWrap w:val="0"/>
            <w:vAlign w:val="center"/>
          </w:tcPr>
          <w:p w14:paraId="732A5351">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1</w:t>
            </w:r>
            <w:r>
              <w:rPr>
                <w:rFonts w:ascii="Times New Roman" w:hAnsi="Times New Roman" w:eastAsia="宋体" w:cs="Times New Roman"/>
                <w:color w:val="auto"/>
                <w:sz w:val="21"/>
              </w:rPr>
              <w:t>5</w:t>
            </w:r>
          </w:p>
        </w:tc>
        <w:tc>
          <w:tcPr>
            <w:tcW w:w="540" w:type="dxa"/>
            <w:shd w:val="clear" w:color="auto" w:fill="auto"/>
            <w:noWrap w:val="0"/>
            <w:vAlign w:val="center"/>
          </w:tcPr>
          <w:p w14:paraId="57A59B6B">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6</w:t>
            </w:r>
            <w:r>
              <w:rPr>
                <w:rFonts w:ascii="Times New Roman" w:hAnsi="Times New Roman" w:eastAsia="宋体" w:cs="Times New Roman"/>
                <w:color w:val="auto"/>
                <w:sz w:val="21"/>
              </w:rPr>
              <w:t>0</w:t>
            </w:r>
          </w:p>
        </w:tc>
        <w:tc>
          <w:tcPr>
            <w:tcW w:w="720" w:type="dxa"/>
            <w:shd w:val="clear" w:color="auto" w:fill="0000FF"/>
            <w:noWrap w:val="0"/>
            <w:vAlign w:val="center"/>
          </w:tcPr>
          <w:p w14:paraId="3811975A">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szCs w:val="21"/>
              </w:rPr>
              <w:t>B</w:t>
            </w:r>
          </w:p>
        </w:tc>
        <w:tc>
          <w:tcPr>
            <w:tcW w:w="1440" w:type="dxa"/>
            <w:noWrap w:val="0"/>
            <w:vAlign w:val="center"/>
          </w:tcPr>
          <w:p w14:paraId="7097E258">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配备照明手电</w:t>
            </w:r>
          </w:p>
        </w:tc>
      </w:tr>
      <w:tr w14:paraId="26886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468" w:type="dxa"/>
            <w:shd w:val="clear" w:color="auto" w:fill="auto"/>
            <w:noWrap w:val="0"/>
            <w:vAlign w:val="center"/>
          </w:tcPr>
          <w:p w14:paraId="6F27E97D">
            <w:pPr>
              <w:spacing w:line="240" w:lineRule="auto"/>
              <w:ind w:firstLine="0" w:firstLineChars="0"/>
              <w:jc w:val="center"/>
              <w:rPr>
                <w:rFonts w:ascii="Times New Roman" w:hAnsi="Times New Roman" w:eastAsia="宋体" w:cs="Times New Roman"/>
                <w:color w:val="auto"/>
                <w:sz w:val="21"/>
              </w:rPr>
            </w:pPr>
            <w:r>
              <w:rPr>
                <w:rFonts w:ascii="Times New Roman" w:hAnsi="Times New Roman" w:eastAsia="宋体" w:cs="Times New Roman"/>
                <w:color w:val="auto"/>
                <w:sz w:val="21"/>
              </w:rPr>
              <w:t>6</w:t>
            </w:r>
          </w:p>
        </w:tc>
        <w:tc>
          <w:tcPr>
            <w:tcW w:w="1260" w:type="dxa"/>
            <w:shd w:val="clear" w:color="auto" w:fill="auto"/>
            <w:noWrap w:val="0"/>
            <w:vAlign w:val="center"/>
          </w:tcPr>
          <w:p w14:paraId="6C540137">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生物危害</w:t>
            </w:r>
          </w:p>
        </w:tc>
        <w:tc>
          <w:tcPr>
            <w:tcW w:w="1440" w:type="dxa"/>
            <w:shd w:val="clear" w:color="auto" w:fill="auto"/>
            <w:noWrap w:val="0"/>
            <w:vAlign w:val="center"/>
          </w:tcPr>
          <w:p w14:paraId="045FC24B">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野外动物甚多</w:t>
            </w:r>
          </w:p>
        </w:tc>
        <w:tc>
          <w:tcPr>
            <w:tcW w:w="1080" w:type="dxa"/>
            <w:shd w:val="clear" w:color="auto" w:fill="auto"/>
            <w:noWrap w:val="0"/>
            <w:vAlign w:val="center"/>
          </w:tcPr>
          <w:p w14:paraId="28D79822">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曾经发生</w:t>
            </w:r>
          </w:p>
        </w:tc>
        <w:tc>
          <w:tcPr>
            <w:tcW w:w="2520" w:type="dxa"/>
            <w:shd w:val="clear" w:color="auto" w:fill="auto"/>
            <w:noWrap w:val="0"/>
            <w:vAlign w:val="center"/>
          </w:tcPr>
          <w:p w14:paraId="14F17D47">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正确使用劳动保护用品；建立健全职业危害救护体系。</w:t>
            </w:r>
          </w:p>
        </w:tc>
        <w:tc>
          <w:tcPr>
            <w:tcW w:w="900" w:type="dxa"/>
            <w:shd w:val="clear" w:color="auto" w:fill="auto"/>
            <w:noWrap w:val="0"/>
            <w:vAlign w:val="center"/>
          </w:tcPr>
          <w:p w14:paraId="760656A6">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胜任</w:t>
            </w:r>
          </w:p>
        </w:tc>
        <w:tc>
          <w:tcPr>
            <w:tcW w:w="2700" w:type="dxa"/>
            <w:shd w:val="clear" w:color="auto" w:fill="auto"/>
            <w:noWrap w:val="0"/>
            <w:vAlign w:val="center"/>
          </w:tcPr>
          <w:p w14:paraId="7146A951">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现场配备动物咬伤药物</w:t>
            </w:r>
          </w:p>
        </w:tc>
        <w:tc>
          <w:tcPr>
            <w:tcW w:w="540" w:type="dxa"/>
            <w:shd w:val="clear" w:color="auto" w:fill="auto"/>
            <w:noWrap w:val="0"/>
            <w:vAlign w:val="center"/>
          </w:tcPr>
          <w:p w14:paraId="4856207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2</w:t>
            </w:r>
          </w:p>
        </w:tc>
        <w:tc>
          <w:tcPr>
            <w:tcW w:w="360" w:type="dxa"/>
            <w:shd w:val="clear" w:color="auto" w:fill="auto"/>
            <w:noWrap w:val="0"/>
            <w:vAlign w:val="center"/>
          </w:tcPr>
          <w:p w14:paraId="102FB68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2</w:t>
            </w:r>
          </w:p>
        </w:tc>
        <w:tc>
          <w:tcPr>
            <w:tcW w:w="540" w:type="dxa"/>
            <w:shd w:val="clear" w:color="auto" w:fill="auto"/>
            <w:noWrap w:val="0"/>
            <w:vAlign w:val="center"/>
          </w:tcPr>
          <w:p w14:paraId="709FAE04">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1</w:t>
            </w:r>
            <w:r>
              <w:rPr>
                <w:rFonts w:ascii="Times New Roman" w:hAnsi="Times New Roman" w:eastAsia="宋体" w:cs="Times New Roman"/>
                <w:color w:val="auto"/>
                <w:sz w:val="21"/>
              </w:rPr>
              <w:t>5</w:t>
            </w:r>
          </w:p>
        </w:tc>
        <w:tc>
          <w:tcPr>
            <w:tcW w:w="540" w:type="dxa"/>
            <w:shd w:val="clear" w:color="auto" w:fill="auto"/>
            <w:noWrap w:val="0"/>
            <w:vAlign w:val="center"/>
          </w:tcPr>
          <w:p w14:paraId="13A73853">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6</w:t>
            </w:r>
            <w:r>
              <w:rPr>
                <w:rFonts w:ascii="Times New Roman" w:hAnsi="Times New Roman" w:eastAsia="宋体" w:cs="Times New Roman"/>
                <w:color w:val="auto"/>
                <w:sz w:val="21"/>
              </w:rPr>
              <w:t>0</w:t>
            </w:r>
          </w:p>
        </w:tc>
        <w:tc>
          <w:tcPr>
            <w:tcW w:w="720" w:type="dxa"/>
            <w:shd w:val="clear" w:color="auto" w:fill="0000FF"/>
            <w:noWrap w:val="0"/>
            <w:vAlign w:val="center"/>
          </w:tcPr>
          <w:p w14:paraId="6C12A551">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szCs w:val="21"/>
              </w:rPr>
              <w:t>B</w:t>
            </w:r>
          </w:p>
        </w:tc>
        <w:tc>
          <w:tcPr>
            <w:tcW w:w="1440" w:type="dxa"/>
            <w:noWrap w:val="0"/>
            <w:vAlign w:val="center"/>
          </w:tcPr>
          <w:p w14:paraId="0A1356D0">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配备动物咬伤药物</w:t>
            </w:r>
          </w:p>
        </w:tc>
      </w:tr>
      <w:tr w14:paraId="3FE70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8" w:hRule="atLeast"/>
        </w:trPr>
        <w:tc>
          <w:tcPr>
            <w:tcW w:w="468" w:type="dxa"/>
            <w:shd w:val="clear" w:color="auto" w:fill="auto"/>
            <w:noWrap w:val="0"/>
            <w:vAlign w:val="center"/>
          </w:tcPr>
          <w:p w14:paraId="4CE2FDB7">
            <w:pPr>
              <w:spacing w:line="240" w:lineRule="auto"/>
              <w:ind w:firstLine="0" w:firstLineChars="0"/>
              <w:jc w:val="center"/>
              <w:rPr>
                <w:rFonts w:ascii="Times New Roman" w:hAnsi="Times New Roman" w:eastAsia="宋体" w:cs="Times New Roman"/>
                <w:color w:val="auto"/>
                <w:sz w:val="21"/>
              </w:rPr>
            </w:pPr>
            <w:r>
              <w:rPr>
                <w:rFonts w:ascii="Times New Roman" w:hAnsi="Times New Roman" w:eastAsia="宋体" w:cs="Times New Roman"/>
                <w:color w:val="auto"/>
                <w:sz w:val="21"/>
              </w:rPr>
              <w:t>7</w:t>
            </w:r>
          </w:p>
        </w:tc>
        <w:tc>
          <w:tcPr>
            <w:tcW w:w="1260" w:type="dxa"/>
            <w:shd w:val="clear" w:color="auto" w:fill="auto"/>
            <w:noWrap w:val="0"/>
            <w:vAlign w:val="center"/>
          </w:tcPr>
          <w:p w14:paraId="043B84DB">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心理因素危害</w:t>
            </w:r>
          </w:p>
        </w:tc>
        <w:tc>
          <w:tcPr>
            <w:tcW w:w="1440" w:type="dxa"/>
            <w:shd w:val="clear" w:color="auto" w:fill="auto"/>
            <w:noWrap w:val="0"/>
            <w:vAlign w:val="center"/>
          </w:tcPr>
          <w:p w14:paraId="39BC068C">
            <w:pPr>
              <w:spacing w:line="240" w:lineRule="auto"/>
              <w:ind w:firstLine="0" w:firstLineChars="0"/>
              <w:jc w:val="center"/>
              <w:rPr>
                <w:rFonts w:hint="eastAsia" w:ascii="Times New Roman" w:hAnsi="Times New Roman" w:eastAsia="宋体" w:cs="Times New Roman"/>
                <w:color w:val="auto"/>
                <w:sz w:val="21"/>
              </w:rPr>
            </w:pPr>
          </w:p>
        </w:tc>
        <w:tc>
          <w:tcPr>
            <w:tcW w:w="1080" w:type="dxa"/>
            <w:shd w:val="clear" w:color="auto" w:fill="auto"/>
            <w:noWrap w:val="0"/>
            <w:vAlign w:val="center"/>
          </w:tcPr>
          <w:p w14:paraId="616C0FC8">
            <w:pPr>
              <w:spacing w:line="240" w:lineRule="auto"/>
              <w:ind w:firstLine="0" w:firstLineChars="0"/>
              <w:jc w:val="center"/>
              <w:rPr>
                <w:rFonts w:hint="eastAsia" w:ascii="Times New Roman" w:hAnsi="Times New Roman" w:eastAsia="宋体" w:cs="Times New Roman"/>
                <w:color w:val="auto"/>
                <w:sz w:val="21"/>
              </w:rPr>
            </w:pPr>
          </w:p>
        </w:tc>
        <w:tc>
          <w:tcPr>
            <w:tcW w:w="2520" w:type="dxa"/>
            <w:shd w:val="clear" w:color="auto" w:fill="auto"/>
            <w:noWrap w:val="0"/>
            <w:vAlign w:val="center"/>
          </w:tcPr>
          <w:p w14:paraId="006085D6">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建立健全职工健康监护体系，掌握职工健康状况；加强职工安全教育，告知作业可能存在的危险，提高职工辨识隐患和预防事故发生的能力。</w:t>
            </w:r>
          </w:p>
        </w:tc>
        <w:tc>
          <w:tcPr>
            <w:tcW w:w="900" w:type="dxa"/>
            <w:shd w:val="clear" w:color="auto" w:fill="auto"/>
            <w:noWrap w:val="0"/>
            <w:vAlign w:val="center"/>
          </w:tcPr>
          <w:p w14:paraId="69AACF5D">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胜任</w:t>
            </w:r>
          </w:p>
        </w:tc>
        <w:tc>
          <w:tcPr>
            <w:tcW w:w="2700" w:type="dxa"/>
            <w:shd w:val="clear" w:color="auto" w:fill="auto"/>
            <w:noWrap w:val="0"/>
            <w:vAlign w:val="center"/>
          </w:tcPr>
          <w:p w14:paraId="4C4F5580">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合理配备人力资源；针对患有职业禁忌症的职工，合理安排工作任务；针对特种原因导致职工心理悲伤或亢奋的，应给予更多的组织关怀，合理安排其工作任务。</w:t>
            </w:r>
          </w:p>
        </w:tc>
        <w:tc>
          <w:tcPr>
            <w:tcW w:w="540" w:type="dxa"/>
            <w:shd w:val="clear" w:color="auto" w:fill="auto"/>
            <w:noWrap w:val="0"/>
            <w:vAlign w:val="center"/>
          </w:tcPr>
          <w:p w14:paraId="12B5B0E0">
            <w:pPr>
              <w:spacing w:line="240" w:lineRule="auto"/>
              <w:ind w:firstLine="56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11</w:t>
            </w:r>
          </w:p>
        </w:tc>
        <w:tc>
          <w:tcPr>
            <w:tcW w:w="360" w:type="dxa"/>
            <w:shd w:val="clear" w:color="auto" w:fill="auto"/>
            <w:noWrap w:val="0"/>
            <w:vAlign w:val="center"/>
          </w:tcPr>
          <w:p w14:paraId="0AE0B849">
            <w:pPr>
              <w:spacing w:line="240" w:lineRule="auto"/>
              <w:ind w:firstLine="0" w:firstLineChars="0"/>
              <w:jc w:val="center"/>
              <w:rPr>
                <w:rFonts w:hint="eastAsia" w:ascii="Times New Roman" w:hAnsi="Times New Roman" w:eastAsia="宋体" w:cs="Times New Roman"/>
                <w:color w:val="auto"/>
                <w:sz w:val="21"/>
              </w:rPr>
            </w:pPr>
          </w:p>
          <w:p w14:paraId="7853695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3</w:t>
            </w:r>
          </w:p>
        </w:tc>
        <w:tc>
          <w:tcPr>
            <w:tcW w:w="540" w:type="dxa"/>
            <w:shd w:val="clear" w:color="auto" w:fill="auto"/>
            <w:noWrap w:val="0"/>
            <w:vAlign w:val="center"/>
          </w:tcPr>
          <w:p w14:paraId="1F38E211">
            <w:pPr>
              <w:spacing w:line="240" w:lineRule="auto"/>
              <w:ind w:firstLine="56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5</w:t>
            </w:r>
            <w:r>
              <w:rPr>
                <w:rFonts w:ascii="Times New Roman" w:hAnsi="Times New Roman" w:eastAsia="宋体" w:cs="Times New Roman"/>
                <w:color w:val="auto"/>
                <w:sz w:val="21"/>
              </w:rPr>
              <w:t>5</w:t>
            </w:r>
          </w:p>
        </w:tc>
        <w:tc>
          <w:tcPr>
            <w:tcW w:w="540" w:type="dxa"/>
            <w:shd w:val="clear" w:color="auto" w:fill="auto"/>
            <w:noWrap w:val="0"/>
            <w:vAlign w:val="center"/>
          </w:tcPr>
          <w:p w14:paraId="01FB0BBB">
            <w:pPr>
              <w:spacing w:line="240" w:lineRule="auto"/>
              <w:ind w:firstLine="560" w:firstLineChars="0"/>
              <w:jc w:val="center"/>
              <w:rPr>
                <w:rFonts w:ascii="Times New Roman" w:hAnsi="Times New Roman" w:eastAsia="宋体" w:cs="Times New Roman"/>
                <w:color w:val="auto"/>
                <w:sz w:val="21"/>
              </w:rPr>
            </w:pPr>
            <w:r>
              <w:rPr>
                <w:rFonts w:ascii="Times New Roman" w:hAnsi="Times New Roman" w:eastAsia="宋体" w:cs="Times New Roman"/>
                <w:color w:val="auto"/>
                <w:sz w:val="21"/>
              </w:rPr>
              <w:t>1</w:t>
            </w:r>
            <w:r>
              <w:rPr>
                <w:rFonts w:hint="eastAsia" w:ascii="Times New Roman" w:hAnsi="Times New Roman" w:eastAsia="宋体" w:cs="Times New Roman"/>
                <w:color w:val="auto"/>
                <w:sz w:val="21"/>
              </w:rPr>
              <w:t>1</w:t>
            </w:r>
            <w:r>
              <w:rPr>
                <w:rFonts w:ascii="Times New Roman" w:hAnsi="Times New Roman" w:eastAsia="宋体" w:cs="Times New Roman"/>
                <w:color w:val="auto"/>
                <w:sz w:val="21"/>
              </w:rPr>
              <w:t>5</w:t>
            </w:r>
          </w:p>
        </w:tc>
        <w:tc>
          <w:tcPr>
            <w:tcW w:w="720" w:type="dxa"/>
            <w:shd w:val="clear" w:color="auto" w:fill="0000FF"/>
            <w:noWrap w:val="0"/>
            <w:vAlign w:val="center"/>
          </w:tcPr>
          <w:p w14:paraId="1D1B32FD">
            <w:pPr>
              <w:spacing w:line="240" w:lineRule="auto"/>
              <w:ind w:firstLine="0" w:firstLineChars="0"/>
              <w:jc w:val="center"/>
              <w:rPr>
                <w:rFonts w:hint="eastAsia" w:ascii="Times New Roman" w:hAnsi="Times New Roman" w:eastAsia="宋体" w:cs="Times New Roman"/>
                <w:color w:val="auto"/>
                <w:sz w:val="21"/>
              </w:rPr>
            </w:pPr>
          </w:p>
          <w:p w14:paraId="0B978D7F">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A</w:t>
            </w:r>
          </w:p>
        </w:tc>
        <w:tc>
          <w:tcPr>
            <w:tcW w:w="1440" w:type="dxa"/>
            <w:noWrap w:val="0"/>
            <w:vAlign w:val="center"/>
          </w:tcPr>
          <w:p w14:paraId="74359CB8">
            <w:pPr>
              <w:spacing w:line="240" w:lineRule="auto"/>
              <w:ind w:firstLine="0" w:firstLineChars="0"/>
              <w:jc w:val="center"/>
              <w:rPr>
                <w:rFonts w:ascii="Times New Roman" w:hAnsi="Times New Roman" w:eastAsia="宋体" w:cs="Times New Roman"/>
                <w:color w:val="auto"/>
                <w:sz w:val="21"/>
              </w:rPr>
            </w:pPr>
            <w:r>
              <w:rPr>
                <w:rFonts w:hint="eastAsia" w:ascii="Times New Roman" w:hAnsi="Times New Roman" w:eastAsia="宋体" w:cs="Times New Roman"/>
                <w:color w:val="auto"/>
                <w:sz w:val="21"/>
              </w:rPr>
              <w:t>安排学习</w:t>
            </w:r>
          </w:p>
        </w:tc>
      </w:tr>
    </w:tbl>
    <w:p w14:paraId="293D4A58">
      <w:pPr>
        <w:bidi w:val="0"/>
        <w:ind w:left="0" w:leftChars="0" w:firstLine="0" w:firstLineChars="0"/>
        <w:jc w:val="center"/>
        <w:rPr>
          <w:rFonts w:hint="eastAsia"/>
          <w:color w:val="auto"/>
          <w:lang w:val="en-US" w:eastAsia="zh-CN"/>
        </w:rPr>
      </w:pPr>
      <w:r>
        <w:rPr>
          <w:rFonts w:hint="eastAsia"/>
          <w:color w:val="auto"/>
          <w:lang w:val="en-US" w:eastAsia="zh-CN"/>
        </w:rPr>
        <w:t>表5.6-6 紧急情况作业过程危险有害因素辨别与评价记录表</w:t>
      </w:r>
    </w:p>
    <w:tbl>
      <w:tblPr>
        <w:tblStyle w:val="19"/>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468"/>
        <w:gridCol w:w="1985"/>
        <w:gridCol w:w="859"/>
        <w:gridCol w:w="1129"/>
        <w:gridCol w:w="1084"/>
        <w:gridCol w:w="1519"/>
        <w:gridCol w:w="919"/>
        <w:gridCol w:w="1234"/>
        <w:gridCol w:w="589"/>
        <w:gridCol w:w="563"/>
        <w:gridCol w:w="580"/>
        <w:gridCol w:w="592"/>
        <w:gridCol w:w="774"/>
        <w:gridCol w:w="1926"/>
      </w:tblGrid>
      <w:tr w14:paraId="10EAA60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7" w:hRule="atLeast"/>
        </w:trPr>
        <w:tc>
          <w:tcPr>
            <w:tcW w:w="165" w:type="pct"/>
            <w:vMerge w:val="restart"/>
            <w:tcBorders>
              <w:top w:val="single" w:color="auto" w:sz="6" w:space="0"/>
              <w:left w:val="single" w:color="auto" w:sz="6" w:space="0"/>
              <w:bottom w:val="single" w:color="auto" w:sz="6" w:space="0"/>
              <w:right w:val="single" w:color="auto" w:sz="6" w:space="0"/>
            </w:tcBorders>
            <w:noWrap w:val="0"/>
            <w:vAlign w:val="center"/>
          </w:tcPr>
          <w:p w14:paraId="7D7AC7BA">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序号</w:t>
            </w:r>
          </w:p>
        </w:tc>
        <w:tc>
          <w:tcPr>
            <w:tcW w:w="698" w:type="pct"/>
            <w:vMerge w:val="restart"/>
            <w:tcBorders>
              <w:top w:val="single" w:color="auto" w:sz="6" w:space="0"/>
              <w:left w:val="single" w:color="auto" w:sz="6" w:space="0"/>
              <w:bottom w:val="single" w:color="auto" w:sz="6" w:space="0"/>
              <w:right w:val="single" w:color="auto" w:sz="6" w:space="0"/>
            </w:tcBorders>
            <w:noWrap w:val="0"/>
            <w:vAlign w:val="center"/>
          </w:tcPr>
          <w:p w14:paraId="5910AE5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紧张事件</w:t>
            </w:r>
          </w:p>
        </w:tc>
        <w:tc>
          <w:tcPr>
            <w:tcW w:w="302" w:type="pct"/>
            <w:vMerge w:val="restart"/>
            <w:tcBorders>
              <w:top w:val="single" w:color="auto" w:sz="6" w:space="0"/>
              <w:left w:val="single" w:color="auto" w:sz="6" w:space="0"/>
              <w:bottom w:val="single" w:color="auto" w:sz="6" w:space="0"/>
              <w:right w:val="single" w:color="auto" w:sz="6" w:space="0"/>
            </w:tcBorders>
            <w:noWrap w:val="0"/>
            <w:vAlign w:val="center"/>
          </w:tcPr>
          <w:p w14:paraId="7EF5B6D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事件</w:t>
            </w:r>
          </w:p>
          <w:p w14:paraId="4785DC9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类型</w:t>
            </w:r>
          </w:p>
        </w:tc>
        <w:tc>
          <w:tcPr>
            <w:tcW w:w="397" w:type="pct"/>
            <w:vMerge w:val="restart"/>
            <w:tcBorders>
              <w:top w:val="single" w:color="auto" w:sz="6" w:space="0"/>
              <w:left w:val="single" w:color="auto" w:sz="6" w:space="0"/>
              <w:bottom w:val="single" w:color="auto" w:sz="6" w:space="0"/>
              <w:right w:val="single" w:color="auto" w:sz="6" w:space="0"/>
            </w:tcBorders>
            <w:noWrap w:val="0"/>
            <w:vAlign w:val="center"/>
          </w:tcPr>
          <w:p w14:paraId="71A18F79">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可能导致的事故</w:t>
            </w:r>
          </w:p>
        </w:tc>
        <w:tc>
          <w:tcPr>
            <w:tcW w:w="1672" w:type="pct"/>
            <w:gridSpan w:val="4"/>
            <w:tcBorders>
              <w:top w:val="single" w:color="auto" w:sz="6" w:space="0"/>
              <w:left w:val="single" w:color="auto" w:sz="6" w:space="0"/>
              <w:bottom w:val="single" w:color="auto" w:sz="6" w:space="0"/>
              <w:right w:val="single" w:color="auto" w:sz="6" w:space="0"/>
            </w:tcBorders>
            <w:noWrap w:val="0"/>
            <w:vAlign w:val="center"/>
          </w:tcPr>
          <w:p w14:paraId="1DC96F2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以往发生频率及现有安全措施</w:t>
            </w:r>
          </w:p>
        </w:tc>
        <w:tc>
          <w:tcPr>
            <w:tcW w:w="207" w:type="pct"/>
            <w:vMerge w:val="restart"/>
            <w:tcBorders>
              <w:top w:val="single" w:color="auto" w:sz="6" w:space="0"/>
              <w:left w:val="single" w:color="auto" w:sz="6" w:space="0"/>
              <w:bottom w:val="single" w:color="auto" w:sz="6" w:space="0"/>
              <w:right w:val="single" w:color="auto" w:sz="6" w:space="0"/>
            </w:tcBorders>
            <w:noWrap w:val="0"/>
            <w:vAlign w:val="center"/>
          </w:tcPr>
          <w:p w14:paraId="549DC489">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L</w:t>
            </w:r>
          </w:p>
        </w:tc>
        <w:tc>
          <w:tcPr>
            <w:tcW w:w="198" w:type="pct"/>
            <w:vMerge w:val="restart"/>
            <w:tcBorders>
              <w:top w:val="single" w:color="auto" w:sz="6" w:space="0"/>
              <w:left w:val="single" w:color="auto" w:sz="6" w:space="0"/>
              <w:bottom w:val="single" w:color="auto" w:sz="6" w:space="0"/>
              <w:right w:val="single" w:color="auto" w:sz="6" w:space="0"/>
            </w:tcBorders>
            <w:noWrap w:val="0"/>
            <w:vAlign w:val="center"/>
          </w:tcPr>
          <w:p w14:paraId="6F556BD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E</w:t>
            </w:r>
          </w:p>
        </w:tc>
        <w:tc>
          <w:tcPr>
            <w:tcW w:w="204" w:type="pct"/>
            <w:vMerge w:val="restart"/>
            <w:tcBorders>
              <w:top w:val="single" w:color="auto" w:sz="6" w:space="0"/>
              <w:left w:val="single" w:color="auto" w:sz="6" w:space="0"/>
              <w:bottom w:val="single" w:color="auto" w:sz="6" w:space="0"/>
              <w:right w:val="single" w:color="auto" w:sz="6" w:space="0"/>
            </w:tcBorders>
            <w:noWrap w:val="0"/>
            <w:vAlign w:val="center"/>
          </w:tcPr>
          <w:p w14:paraId="3658595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C</w:t>
            </w:r>
          </w:p>
        </w:tc>
        <w:tc>
          <w:tcPr>
            <w:tcW w:w="208" w:type="pct"/>
            <w:vMerge w:val="restart"/>
            <w:tcBorders>
              <w:top w:val="single" w:color="auto" w:sz="6" w:space="0"/>
              <w:left w:val="single" w:color="auto" w:sz="6" w:space="0"/>
              <w:bottom w:val="single" w:color="auto" w:sz="6" w:space="0"/>
              <w:right w:val="single" w:color="auto" w:sz="6" w:space="0"/>
            </w:tcBorders>
            <w:noWrap w:val="0"/>
            <w:vAlign w:val="center"/>
          </w:tcPr>
          <w:p w14:paraId="33DFA29B">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D</w:t>
            </w:r>
          </w:p>
        </w:tc>
        <w:tc>
          <w:tcPr>
            <w:tcW w:w="272" w:type="pct"/>
            <w:vMerge w:val="restart"/>
            <w:tcBorders>
              <w:top w:val="single" w:color="auto" w:sz="6" w:space="0"/>
              <w:left w:val="single" w:color="auto" w:sz="6" w:space="0"/>
              <w:bottom w:val="single" w:color="auto" w:sz="6" w:space="0"/>
              <w:right w:val="single" w:color="auto" w:sz="6" w:space="0"/>
            </w:tcBorders>
            <w:noWrap w:val="0"/>
            <w:vAlign w:val="center"/>
          </w:tcPr>
          <w:p w14:paraId="7B6107A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危险</w:t>
            </w:r>
          </w:p>
          <w:p w14:paraId="7022FAF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等级</w:t>
            </w:r>
          </w:p>
        </w:tc>
        <w:tc>
          <w:tcPr>
            <w:tcW w:w="677" w:type="pct"/>
            <w:vMerge w:val="restart"/>
            <w:tcBorders>
              <w:top w:val="single" w:color="auto" w:sz="12" w:space="0"/>
              <w:left w:val="single" w:color="auto" w:sz="6" w:space="0"/>
              <w:bottom w:val="single" w:color="auto" w:sz="6" w:space="0"/>
              <w:right w:val="single" w:color="auto" w:sz="12" w:space="0"/>
            </w:tcBorders>
            <w:noWrap w:val="0"/>
            <w:vAlign w:val="center"/>
          </w:tcPr>
          <w:p w14:paraId="6DF08B0A">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建议改正控制措施</w:t>
            </w:r>
          </w:p>
        </w:tc>
      </w:tr>
      <w:tr w14:paraId="4EC82DD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3" w:hRule="atLeast"/>
        </w:trPr>
        <w:tc>
          <w:tcPr>
            <w:tcW w:w="165" w:type="pct"/>
            <w:vMerge w:val="continue"/>
            <w:tcBorders>
              <w:top w:val="single" w:color="auto" w:sz="6" w:space="0"/>
              <w:left w:val="single" w:color="auto" w:sz="6" w:space="0"/>
              <w:bottom w:val="single" w:color="auto" w:sz="6" w:space="0"/>
              <w:right w:val="single" w:color="auto" w:sz="6" w:space="0"/>
            </w:tcBorders>
            <w:noWrap w:val="0"/>
            <w:vAlign w:val="center"/>
          </w:tcPr>
          <w:p w14:paraId="23CB0042">
            <w:pPr>
              <w:spacing w:line="240" w:lineRule="auto"/>
              <w:ind w:firstLine="0" w:firstLineChars="0"/>
              <w:jc w:val="center"/>
              <w:rPr>
                <w:rFonts w:hint="eastAsia" w:ascii="Times New Roman" w:hAnsi="Times New Roman" w:eastAsia="宋体" w:cs="Times New Roman"/>
                <w:color w:val="auto"/>
                <w:sz w:val="21"/>
              </w:rPr>
            </w:pPr>
          </w:p>
        </w:tc>
        <w:tc>
          <w:tcPr>
            <w:tcW w:w="698" w:type="pct"/>
            <w:vMerge w:val="continue"/>
            <w:tcBorders>
              <w:top w:val="single" w:color="auto" w:sz="6" w:space="0"/>
              <w:left w:val="single" w:color="auto" w:sz="6" w:space="0"/>
              <w:bottom w:val="single" w:color="auto" w:sz="6" w:space="0"/>
              <w:right w:val="single" w:color="auto" w:sz="6" w:space="0"/>
            </w:tcBorders>
            <w:noWrap w:val="0"/>
            <w:vAlign w:val="center"/>
          </w:tcPr>
          <w:p w14:paraId="0341253B">
            <w:pPr>
              <w:spacing w:line="240" w:lineRule="auto"/>
              <w:ind w:firstLine="0" w:firstLineChars="0"/>
              <w:jc w:val="center"/>
              <w:rPr>
                <w:rFonts w:hint="eastAsia" w:ascii="Times New Roman" w:hAnsi="Times New Roman" w:eastAsia="宋体" w:cs="Times New Roman"/>
                <w:color w:val="auto"/>
                <w:sz w:val="21"/>
              </w:rPr>
            </w:pPr>
          </w:p>
        </w:tc>
        <w:tc>
          <w:tcPr>
            <w:tcW w:w="302" w:type="pct"/>
            <w:vMerge w:val="continue"/>
            <w:tcBorders>
              <w:top w:val="single" w:color="auto" w:sz="6" w:space="0"/>
              <w:left w:val="single" w:color="auto" w:sz="6" w:space="0"/>
              <w:bottom w:val="single" w:color="auto" w:sz="6" w:space="0"/>
              <w:right w:val="single" w:color="auto" w:sz="6" w:space="0"/>
            </w:tcBorders>
            <w:noWrap w:val="0"/>
            <w:vAlign w:val="top"/>
          </w:tcPr>
          <w:p w14:paraId="71BD5ED6">
            <w:pPr>
              <w:spacing w:line="240" w:lineRule="auto"/>
              <w:ind w:firstLine="0" w:firstLineChars="0"/>
              <w:jc w:val="center"/>
              <w:rPr>
                <w:rFonts w:hint="eastAsia" w:ascii="Times New Roman" w:hAnsi="Times New Roman" w:eastAsia="宋体" w:cs="Times New Roman"/>
                <w:color w:val="auto"/>
                <w:sz w:val="21"/>
              </w:rPr>
            </w:pPr>
          </w:p>
        </w:tc>
        <w:tc>
          <w:tcPr>
            <w:tcW w:w="397" w:type="pct"/>
            <w:vMerge w:val="continue"/>
            <w:tcBorders>
              <w:top w:val="single" w:color="auto" w:sz="6" w:space="0"/>
              <w:left w:val="single" w:color="auto" w:sz="6" w:space="0"/>
              <w:bottom w:val="single" w:color="auto" w:sz="6" w:space="0"/>
              <w:right w:val="single" w:color="auto" w:sz="6" w:space="0"/>
            </w:tcBorders>
            <w:noWrap w:val="0"/>
            <w:vAlign w:val="center"/>
          </w:tcPr>
          <w:p w14:paraId="71212425">
            <w:pPr>
              <w:spacing w:line="240" w:lineRule="auto"/>
              <w:ind w:firstLine="0" w:firstLineChars="0"/>
              <w:jc w:val="center"/>
              <w:rPr>
                <w:rFonts w:hint="eastAsia" w:ascii="Times New Roman" w:hAnsi="Times New Roman" w:eastAsia="宋体" w:cs="Times New Roman"/>
                <w:color w:val="auto"/>
                <w:sz w:val="21"/>
              </w:rPr>
            </w:pPr>
          </w:p>
        </w:tc>
        <w:tc>
          <w:tcPr>
            <w:tcW w:w="381" w:type="pct"/>
            <w:tcBorders>
              <w:top w:val="single" w:color="auto" w:sz="6" w:space="0"/>
              <w:left w:val="single" w:color="auto" w:sz="6" w:space="0"/>
              <w:bottom w:val="single" w:color="auto" w:sz="6" w:space="0"/>
              <w:right w:val="single" w:color="auto" w:sz="6" w:space="0"/>
            </w:tcBorders>
            <w:noWrap w:val="0"/>
            <w:vAlign w:val="center"/>
          </w:tcPr>
          <w:p w14:paraId="66DDFC6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偏差发生频率</w:t>
            </w:r>
          </w:p>
        </w:tc>
        <w:tc>
          <w:tcPr>
            <w:tcW w:w="534" w:type="pct"/>
            <w:tcBorders>
              <w:top w:val="single" w:color="auto" w:sz="6" w:space="0"/>
              <w:left w:val="single" w:color="auto" w:sz="6" w:space="0"/>
              <w:bottom w:val="single" w:color="auto" w:sz="6" w:space="0"/>
              <w:right w:val="single" w:color="auto" w:sz="6" w:space="0"/>
            </w:tcBorders>
            <w:noWrap w:val="0"/>
            <w:vAlign w:val="center"/>
          </w:tcPr>
          <w:p w14:paraId="4A26833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管理</w:t>
            </w:r>
          </w:p>
          <w:p w14:paraId="47AB808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措施</w:t>
            </w:r>
          </w:p>
        </w:tc>
        <w:tc>
          <w:tcPr>
            <w:tcW w:w="323" w:type="pct"/>
            <w:tcBorders>
              <w:top w:val="single" w:color="auto" w:sz="6" w:space="0"/>
              <w:left w:val="single" w:color="auto" w:sz="6" w:space="0"/>
              <w:bottom w:val="single" w:color="auto" w:sz="6" w:space="0"/>
              <w:right w:val="single" w:color="auto" w:sz="6" w:space="0"/>
            </w:tcBorders>
            <w:noWrap w:val="0"/>
            <w:vAlign w:val="center"/>
          </w:tcPr>
          <w:p w14:paraId="38EC551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员工</w:t>
            </w:r>
          </w:p>
          <w:p w14:paraId="41ADDE5C">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胜任度</w:t>
            </w:r>
          </w:p>
        </w:tc>
        <w:tc>
          <w:tcPr>
            <w:tcW w:w="434" w:type="pct"/>
            <w:tcBorders>
              <w:top w:val="single" w:color="auto" w:sz="6" w:space="0"/>
              <w:left w:val="single" w:color="auto" w:sz="6" w:space="0"/>
              <w:bottom w:val="single" w:color="auto" w:sz="6" w:space="0"/>
              <w:right w:val="single" w:color="auto" w:sz="6" w:space="0"/>
            </w:tcBorders>
            <w:noWrap w:val="0"/>
            <w:vAlign w:val="center"/>
          </w:tcPr>
          <w:p w14:paraId="42F68C1C">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安全</w:t>
            </w:r>
          </w:p>
          <w:p w14:paraId="27B5869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措施</w:t>
            </w:r>
          </w:p>
        </w:tc>
        <w:tc>
          <w:tcPr>
            <w:tcW w:w="207" w:type="pct"/>
            <w:vMerge w:val="continue"/>
            <w:tcBorders>
              <w:top w:val="single" w:color="auto" w:sz="6" w:space="0"/>
              <w:left w:val="single" w:color="auto" w:sz="6" w:space="0"/>
              <w:bottom w:val="single" w:color="auto" w:sz="6" w:space="0"/>
              <w:right w:val="single" w:color="auto" w:sz="6" w:space="0"/>
            </w:tcBorders>
            <w:noWrap w:val="0"/>
            <w:vAlign w:val="center"/>
          </w:tcPr>
          <w:p w14:paraId="6568805D">
            <w:pPr>
              <w:spacing w:line="240" w:lineRule="auto"/>
              <w:ind w:firstLine="0" w:firstLineChars="0"/>
              <w:jc w:val="center"/>
              <w:rPr>
                <w:rFonts w:hint="eastAsia" w:ascii="Times New Roman" w:hAnsi="Times New Roman" w:eastAsia="宋体" w:cs="Times New Roman"/>
                <w:color w:val="auto"/>
                <w:sz w:val="21"/>
              </w:rPr>
            </w:pPr>
          </w:p>
        </w:tc>
        <w:tc>
          <w:tcPr>
            <w:tcW w:w="198" w:type="pct"/>
            <w:vMerge w:val="continue"/>
            <w:tcBorders>
              <w:top w:val="single" w:color="auto" w:sz="6" w:space="0"/>
              <w:left w:val="single" w:color="auto" w:sz="6" w:space="0"/>
              <w:bottom w:val="single" w:color="auto" w:sz="6" w:space="0"/>
              <w:right w:val="single" w:color="auto" w:sz="6" w:space="0"/>
            </w:tcBorders>
            <w:noWrap w:val="0"/>
            <w:vAlign w:val="center"/>
          </w:tcPr>
          <w:p w14:paraId="3EF33A31">
            <w:pPr>
              <w:spacing w:line="240" w:lineRule="auto"/>
              <w:ind w:firstLine="0" w:firstLineChars="0"/>
              <w:jc w:val="center"/>
              <w:rPr>
                <w:rFonts w:hint="eastAsia" w:ascii="Times New Roman" w:hAnsi="Times New Roman" w:eastAsia="宋体" w:cs="Times New Roman"/>
                <w:color w:val="auto"/>
                <w:sz w:val="21"/>
              </w:rPr>
            </w:pPr>
          </w:p>
        </w:tc>
        <w:tc>
          <w:tcPr>
            <w:tcW w:w="204" w:type="pct"/>
            <w:vMerge w:val="continue"/>
            <w:tcBorders>
              <w:top w:val="single" w:color="auto" w:sz="6" w:space="0"/>
              <w:left w:val="single" w:color="auto" w:sz="6" w:space="0"/>
              <w:bottom w:val="single" w:color="auto" w:sz="6" w:space="0"/>
              <w:right w:val="single" w:color="auto" w:sz="6" w:space="0"/>
            </w:tcBorders>
            <w:noWrap w:val="0"/>
            <w:vAlign w:val="center"/>
          </w:tcPr>
          <w:p w14:paraId="54CB0796">
            <w:pPr>
              <w:spacing w:line="240" w:lineRule="auto"/>
              <w:ind w:firstLine="0" w:firstLineChars="0"/>
              <w:jc w:val="center"/>
              <w:rPr>
                <w:rFonts w:hint="eastAsia" w:ascii="Times New Roman" w:hAnsi="Times New Roman" w:eastAsia="宋体" w:cs="Times New Roman"/>
                <w:color w:val="auto"/>
                <w:sz w:val="21"/>
              </w:rPr>
            </w:pPr>
          </w:p>
        </w:tc>
        <w:tc>
          <w:tcPr>
            <w:tcW w:w="208" w:type="pct"/>
            <w:vMerge w:val="continue"/>
            <w:tcBorders>
              <w:top w:val="single" w:color="auto" w:sz="6" w:space="0"/>
              <w:left w:val="single" w:color="auto" w:sz="6" w:space="0"/>
              <w:bottom w:val="single" w:color="auto" w:sz="6" w:space="0"/>
              <w:right w:val="single" w:color="auto" w:sz="6" w:space="0"/>
            </w:tcBorders>
            <w:noWrap w:val="0"/>
            <w:vAlign w:val="center"/>
          </w:tcPr>
          <w:p w14:paraId="146DB97C">
            <w:pPr>
              <w:spacing w:line="240" w:lineRule="auto"/>
              <w:ind w:firstLine="0" w:firstLineChars="0"/>
              <w:jc w:val="center"/>
              <w:rPr>
                <w:rFonts w:hint="eastAsia" w:ascii="Times New Roman" w:hAnsi="Times New Roman" w:eastAsia="宋体" w:cs="Times New Roman"/>
                <w:color w:val="auto"/>
                <w:sz w:val="21"/>
              </w:rPr>
            </w:pPr>
          </w:p>
        </w:tc>
        <w:tc>
          <w:tcPr>
            <w:tcW w:w="272" w:type="pct"/>
            <w:vMerge w:val="continue"/>
            <w:tcBorders>
              <w:top w:val="single" w:color="auto" w:sz="6" w:space="0"/>
              <w:left w:val="single" w:color="auto" w:sz="6" w:space="0"/>
              <w:bottom w:val="single" w:color="auto" w:sz="6" w:space="0"/>
              <w:right w:val="single" w:color="auto" w:sz="6" w:space="0"/>
            </w:tcBorders>
            <w:noWrap w:val="0"/>
            <w:vAlign w:val="center"/>
          </w:tcPr>
          <w:p w14:paraId="591ADE6B">
            <w:pPr>
              <w:spacing w:line="240" w:lineRule="auto"/>
              <w:ind w:firstLine="0" w:firstLineChars="0"/>
              <w:jc w:val="center"/>
              <w:rPr>
                <w:rFonts w:hint="eastAsia" w:ascii="Times New Roman" w:hAnsi="Times New Roman" w:eastAsia="宋体" w:cs="Times New Roman"/>
                <w:color w:val="auto"/>
                <w:sz w:val="21"/>
              </w:rPr>
            </w:pPr>
          </w:p>
        </w:tc>
        <w:tc>
          <w:tcPr>
            <w:tcW w:w="677" w:type="pct"/>
            <w:vMerge w:val="continue"/>
            <w:tcBorders>
              <w:top w:val="single" w:color="auto" w:sz="12" w:space="0"/>
              <w:left w:val="single" w:color="auto" w:sz="6" w:space="0"/>
              <w:bottom w:val="single" w:color="auto" w:sz="6" w:space="0"/>
              <w:right w:val="single" w:color="auto" w:sz="12" w:space="0"/>
            </w:tcBorders>
            <w:noWrap w:val="0"/>
            <w:vAlign w:val="center"/>
          </w:tcPr>
          <w:p w14:paraId="78101A13">
            <w:pPr>
              <w:spacing w:line="240" w:lineRule="auto"/>
              <w:ind w:firstLine="0" w:firstLineChars="0"/>
              <w:jc w:val="center"/>
              <w:rPr>
                <w:rFonts w:hint="eastAsia" w:ascii="Times New Roman" w:hAnsi="Times New Roman" w:eastAsia="宋体" w:cs="Times New Roman"/>
                <w:color w:val="auto"/>
                <w:sz w:val="21"/>
              </w:rPr>
            </w:pPr>
          </w:p>
        </w:tc>
      </w:tr>
      <w:tr w14:paraId="71C0E2D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42" w:hRule="atLeast"/>
        </w:trPr>
        <w:tc>
          <w:tcPr>
            <w:tcW w:w="165"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23C779C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1</w:t>
            </w:r>
          </w:p>
        </w:tc>
        <w:tc>
          <w:tcPr>
            <w:tcW w:w="69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5F816AE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洪水</w:t>
            </w:r>
          </w:p>
        </w:tc>
        <w:tc>
          <w:tcPr>
            <w:tcW w:w="302"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20930F99">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坍塌</w:t>
            </w:r>
          </w:p>
        </w:tc>
        <w:tc>
          <w:tcPr>
            <w:tcW w:w="397"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447A509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溃坝</w:t>
            </w:r>
          </w:p>
        </w:tc>
        <w:tc>
          <w:tcPr>
            <w:tcW w:w="381"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3E7DBBFC">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可能发生</w:t>
            </w:r>
          </w:p>
        </w:tc>
        <w:tc>
          <w:tcPr>
            <w:tcW w:w="534"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4C608999">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严格执行制度</w:t>
            </w:r>
          </w:p>
        </w:tc>
        <w:tc>
          <w:tcPr>
            <w:tcW w:w="323"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09C475C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胜任</w:t>
            </w:r>
          </w:p>
        </w:tc>
        <w:tc>
          <w:tcPr>
            <w:tcW w:w="434"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7503EA2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巡视、加固</w:t>
            </w:r>
          </w:p>
        </w:tc>
        <w:tc>
          <w:tcPr>
            <w:tcW w:w="207"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401D0F8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1</w:t>
            </w:r>
          </w:p>
        </w:tc>
        <w:tc>
          <w:tcPr>
            <w:tcW w:w="19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136E98FB">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6</w:t>
            </w:r>
          </w:p>
        </w:tc>
        <w:tc>
          <w:tcPr>
            <w:tcW w:w="204"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42C0C6AC">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50</w:t>
            </w:r>
          </w:p>
        </w:tc>
        <w:tc>
          <w:tcPr>
            <w:tcW w:w="20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7A91E02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300</w:t>
            </w:r>
          </w:p>
        </w:tc>
        <w:tc>
          <w:tcPr>
            <w:tcW w:w="272" w:type="pct"/>
            <w:tcBorders>
              <w:top w:val="single" w:color="auto" w:sz="6" w:space="0"/>
              <w:left w:val="single" w:color="auto" w:sz="6" w:space="0"/>
              <w:bottom w:val="single" w:color="auto" w:sz="6" w:space="0"/>
              <w:right w:val="single" w:color="auto" w:sz="6" w:space="0"/>
            </w:tcBorders>
            <w:shd w:val="clear" w:color="auto" w:fill="FF6600"/>
            <w:noWrap w:val="0"/>
            <w:vAlign w:val="center"/>
          </w:tcPr>
          <w:p w14:paraId="27368BA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D</w:t>
            </w:r>
          </w:p>
        </w:tc>
        <w:tc>
          <w:tcPr>
            <w:tcW w:w="677" w:type="pct"/>
            <w:tcBorders>
              <w:top w:val="single" w:color="auto" w:sz="6" w:space="0"/>
              <w:left w:val="single" w:color="auto" w:sz="6" w:space="0"/>
              <w:bottom w:val="single" w:color="auto" w:sz="6" w:space="0"/>
              <w:right w:val="single" w:color="auto" w:sz="12" w:space="0"/>
            </w:tcBorders>
            <w:noWrap w:val="0"/>
            <w:vAlign w:val="center"/>
          </w:tcPr>
          <w:p w14:paraId="1DA77A4A">
            <w:pPr>
              <w:spacing w:line="240" w:lineRule="auto"/>
              <w:ind w:firstLine="0" w:firstLineChars="0"/>
              <w:jc w:val="center"/>
              <w:rPr>
                <w:rFonts w:hint="eastAsia" w:ascii="Times New Roman" w:hAnsi="Times New Roman" w:eastAsia="宋体" w:cs="Times New Roman"/>
                <w:color w:val="auto"/>
                <w:sz w:val="21"/>
              </w:rPr>
            </w:pPr>
          </w:p>
        </w:tc>
      </w:tr>
      <w:tr w14:paraId="4B54694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50" w:hRule="atLeast"/>
        </w:trPr>
        <w:tc>
          <w:tcPr>
            <w:tcW w:w="165"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0403AB4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2</w:t>
            </w:r>
          </w:p>
        </w:tc>
        <w:tc>
          <w:tcPr>
            <w:tcW w:w="69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7527430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泥石流</w:t>
            </w:r>
          </w:p>
        </w:tc>
        <w:tc>
          <w:tcPr>
            <w:tcW w:w="302"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6D1D3EE4">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坍塌</w:t>
            </w:r>
          </w:p>
        </w:tc>
        <w:tc>
          <w:tcPr>
            <w:tcW w:w="397"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55F9E5DA">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溃坝</w:t>
            </w:r>
          </w:p>
        </w:tc>
        <w:tc>
          <w:tcPr>
            <w:tcW w:w="381"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5B14F3AE">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可能发生</w:t>
            </w:r>
          </w:p>
        </w:tc>
        <w:tc>
          <w:tcPr>
            <w:tcW w:w="534"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18D807D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定期检查</w:t>
            </w:r>
          </w:p>
        </w:tc>
        <w:tc>
          <w:tcPr>
            <w:tcW w:w="323"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2F210FC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胜任</w:t>
            </w:r>
          </w:p>
        </w:tc>
        <w:tc>
          <w:tcPr>
            <w:tcW w:w="434"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62A6CB6B">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定期检查</w:t>
            </w:r>
          </w:p>
        </w:tc>
        <w:tc>
          <w:tcPr>
            <w:tcW w:w="207"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514D9F3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0.1</w:t>
            </w:r>
          </w:p>
        </w:tc>
        <w:tc>
          <w:tcPr>
            <w:tcW w:w="19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7CC7B6D9">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6</w:t>
            </w:r>
          </w:p>
        </w:tc>
        <w:tc>
          <w:tcPr>
            <w:tcW w:w="204"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7F17778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100</w:t>
            </w:r>
          </w:p>
        </w:tc>
        <w:tc>
          <w:tcPr>
            <w:tcW w:w="20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1228AF9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60</w:t>
            </w:r>
          </w:p>
        </w:tc>
        <w:tc>
          <w:tcPr>
            <w:tcW w:w="272" w:type="pct"/>
            <w:tcBorders>
              <w:top w:val="single" w:color="auto" w:sz="6" w:space="0"/>
              <w:left w:val="single" w:color="auto" w:sz="6" w:space="0"/>
              <w:bottom w:val="single" w:color="auto" w:sz="6" w:space="0"/>
              <w:right w:val="single" w:color="auto" w:sz="6" w:space="0"/>
            </w:tcBorders>
            <w:shd w:val="clear" w:color="auto" w:fill="0000FF"/>
            <w:noWrap w:val="0"/>
            <w:vAlign w:val="center"/>
          </w:tcPr>
          <w:p w14:paraId="2524A2FC">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B</w:t>
            </w:r>
          </w:p>
        </w:tc>
        <w:tc>
          <w:tcPr>
            <w:tcW w:w="677" w:type="pct"/>
            <w:tcBorders>
              <w:top w:val="single" w:color="auto" w:sz="6" w:space="0"/>
              <w:left w:val="single" w:color="auto" w:sz="6" w:space="0"/>
              <w:bottom w:val="single" w:color="auto" w:sz="6" w:space="0"/>
              <w:right w:val="single" w:color="auto" w:sz="12" w:space="0"/>
            </w:tcBorders>
            <w:noWrap w:val="0"/>
            <w:vAlign w:val="center"/>
          </w:tcPr>
          <w:p w14:paraId="33C86707">
            <w:pPr>
              <w:spacing w:line="240" w:lineRule="auto"/>
              <w:ind w:firstLine="0" w:firstLineChars="0"/>
              <w:jc w:val="center"/>
              <w:rPr>
                <w:rFonts w:hint="eastAsia" w:ascii="Times New Roman" w:hAnsi="Times New Roman" w:eastAsia="宋体" w:cs="Times New Roman"/>
                <w:color w:val="auto"/>
                <w:sz w:val="21"/>
              </w:rPr>
            </w:pPr>
          </w:p>
        </w:tc>
      </w:tr>
      <w:tr w14:paraId="7074517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165"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6B80AC5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3</w:t>
            </w:r>
          </w:p>
        </w:tc>
        <w:tc>
          <w:tcPr>
            <w:tcW w:w="69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0730E29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地震</w:t>
            </w:r>
          </w:p>
        </w:tc>
        <w:tc>
          <w:tcPr>
            <w:tcW w:w="302"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7FFDF60A">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坍塌</w:t>
            </w:r>
          </w:p>
        </w:tc>
        <w:tc>
          <w:tcPr>
            <w:tcW w:w="397"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42D611E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溃坝</w:t>
            </w:r>
          </w:p>
        </w:tc>
        <w:tc>
          <w:tcPr>
            <w:tcW w:w="381"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364422F9">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从未发生</w:t>
            </w:r>
          </w:p>
        </w:tc>
        <w:tc>
          <w:tcPr>
            <w:tcW w:w="534"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11746D8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加强监测</w:t>
            </w:r>
          </w:p>
        </w:tc>
        <w:tc>
          <w:tcPr>
            <w:tcW w:w="323"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46402C5B">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胜任</w:t>
            </w:r>
          </w:p>
        </w:tc>
        <w:tc>
          <w:tcPr>
            <w:tcW w:w="434"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12A334C9">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禁止作业</w:t>
            </w:r>
          </w:p>
        </w:tc>
        <w:tc>
          <w:tcPr>
            <w:tcW w:w="207"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483A46C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0.1</w:t>
            </w:r>
          </w:p>
        </w:tc>
        <w:tc>
          <w:tcPr>
            <w:tcW w:w="19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53E50E5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6</w:t>
            </w:r>
          </w:p>
        </w:tc>
        <w:tc>
          <w:tcPr>
            <w:tcW w:w="204"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044B683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100</w:t>
            </w:r>
          </w:p>
        </w:tc>
        <w:tc>
          <w:tcPr>
            <w:tcW w:w="20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4CADAC2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60</w:t>
            </w:r>
          </w:p>
        </w:tc>
        <w:tc>
          <w:tcPr>
            <w:tcW w:w="272" w:type="pct"/>
            <w:tcBorders>
              <w:top w:val="single" w:color="auto" w:sz="6" w:space="0"/>
              <w:left w:val="single" w:color="auto" w:sz="6" w:space="0"/>
              <w:bottom w:val="single" w:color="auto" w:sz="6" w:space="0"/>
              <w:right w:val="single" w:color="auto" w:sz="6" w:space="0"/>
            </w:tcBorders>
            <w:shd w:val="clear" w:color="auto" w:fill="0000FF"/>
            <w:noWrap w:val="0"/>
            <w:vAlign w:val="center"/>
          </w:tcPr>
          <w:p w14:paraId="08EAA52A">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B</w:t>
            </w:r>
          </w:p>
        </w:tc>
        <w:tc>
          <w:tcPr>
            <w:tcW w:w="677" w:type="pct"/>
            <w:tcBorders>
              <w:top w:val="single" w:color="auto" w:sz="6" w:space="0"/>
              <w:left w:val="single" w:color="auto" w:sz="6" w:space="0"/>
              <w:bottom w:val="single" w:color="auto" w:sz="6" w:space="0"/>
              <w:right w:val="single" w:color="auto" w:sz="12" w:space="0"/>
            </w:tcBorders>
            <w:noWrap w:val="0"/>
            <w:vAlign w:val="center"/>
          </w:tcPr>
          <w:p w14:paraId="6E33B37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加强地震监测</w:t>
            </w:r>
          </w:p>
        </w:tc>
      </w:tr>
      <w:tr w14:paraId="4FD4D4C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3" w:hRule="atLeast"/>
        </w:trPr>
        <w:tc>
          <w:tcPr>
            <w:tcW w:w="165"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53EA98DE">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4</w:t>
            </w:r>
          </w:p>
        </w:tc>
        <w:tc>
          <w:tcPr>
            <w:tcW w:w="69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3763AA0F">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外来尾矿、废水</w:t>
            </w:r>
          </w:p>
        </w:tc>
        <w:tc>
          <w:tcPr>
            <w:tcW w:w="302"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4B69299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坍塌</w:t>
            </w:r>
          </w:p>
        </w:tc>
        <w:tc>
          <w:tcPr>
            <w:tcW w:w="397"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0E3037C9">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溃坝</w:t>
            </w:r>
          </w:p>
        </w:tc>
        <w:tc>
          <w:tcPr>
            <w:tcW w:w="381"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58F80FB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可能发生</w:t>
            </w:r>
          </w:p>
        </w:tc>
        <w:tc>
          <w:tcPr>
            <w:tcW w:w="534"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4154801F">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按制度执行、加强教育</w:t>
            </w:r>
          </w:p>
        </w:tc>
        <w:tc>
          <w:tcPr>
            <w:tcW w:w="323"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6AED34A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胜任</w:t>
            </w:r>
          </w:p>
        </w:tc>
        <w:tc>
          <w:tcPr>
            <w:tcW w:w="434"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385A70BB">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遵守安全制度、提高安全意识</w:t>
            </w:r>
          </w:p>
        </w:tc>
        <w:tc>
          <w:tcPr>
            <w:tcW w:w="207"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04793A8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0.2</w:t>
            </w:r>
          </w:p>
        </w:tc>
        <w:tc>
          <w:tcPr>
            <w:tcW w:w="19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38935AA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6</w:t>
            </w:r>
          </w:p>
        </w:tc>
        <w:tc>
          <w:tcPr>
            <w:tcW w:w="204"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5241E2CB">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15</w:t>
            </w:r>
          </w:p>
        </w:tc>
        <w:tc>
          <w:tcPr>
            <w:tcW w:w="20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5CC0A36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18</w:t>
            </w:r>
          </w:p>
        </w:tc>
        <w:tc>
          <w:tcPr>
            <w:tcW w:w="272" w:type="pct"/>
            <w:tcBorders>
              <w:top w:val="single" w:color="auto" w:sz="6" w:space="0"/>
              <w:left w:val="single" w:color="auto" w:sz="6" w:space="0"/>
              <w:bottom w:val="single" w:color="auto" w:sz="6" w:space="0"/>
              <w:right w:val="single" w:color="auto" w:sz="6" w:space="0"/>
            </w:tcBorders>
            <w:shd w:val="clear" w:color="auto" w:fill="0000FF"/>
            <w:noWrap w:val="0"/>
            <w:vAlign w:val="center"/>
          </w:tcPr>
          <w:p w14:paraId="70F3B19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A</w:t>
            </w:r>
          </w:p>
        </w:tc>
        <w:tc>
          <w:tcPr>
            <w:tcW w:w="677" w:type="pct"/>
            <w:tcBorders>
              <w:top w:val="single" w:color="auto" w:sz="6" w:space="0"/>
              <w:left w:val="single" w:color="auto" w:sz="6" w:space="0"/>
              <w:bottom w:val="single" w:color="auto" w:sz="6" w:space="0"/>
              <w:right w:val="single" w:color="auto" w:sz="12" w:space="0"/>
            </w:tcBorders>
            <w:noWrap w:val="0"/>
            <w:vAlign w:val="center"/>
          </w:tcPr>
          <w:p w14:paraId="115B82CF">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加强安全教育严格执行制度</w:t>
            </w:r>
          </w:p>
        </w:tc>
      </w:tr>
      <w:tr w14:paraId="5B16509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3" w:hRule="atLeast"/>
        </w:trPr>
        <w:tc>
          <w:tcPr>
            <w:tcW w:w="165"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31FD0524">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5</w:t>
            </w:r>
          </w:p>
        </w:tc>
        <w:tc>
          <w:tcPr>
            <w:tcW w:w="69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5770F05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周围采矿作业</w:t>
            </w:r>
          </w:p>
        </w:tc>
        <w:tc>
          <w:tcPr>
            <w:tcW w:w="302"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008024C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坍塌</w:t>
            </w:r>
          </w:p>
        </w:tc>
        <w:tc>
          <w:tcPr>
            <w:tcW w:w="397"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7B6901F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溃坝</w:t>
            </w:r>
          </w:p>
        </w:tc>
        <w:tc>
          <w:tcPr>
            <w:tcW w:w="381"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43E44D5E">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曾经发生</w:t>
            </w:r>
          </w:p>
        </w:tc>
        <w:tc>
          <w:tcPr>
            <w:tcW w:w="534"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15F18F1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按制度执行、加强教育</w:t>
            </w:r>
          </w:p>
        </w:tc>
        <w:tc>
          <w:tcPr>
            <w:tcW w:w="323"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3AF3A21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胜任</w:t>
            </w:r>
          </w:p>
        </w:tc>
        <w:tc>
          <w:tcPr>
            <w:tcW w:w="434"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52D2766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遵守安全制度、提高安全意识</w:t>
            </w:r>
          </w:p>
        </w:tc>
        <w:tc>
          <w:tcPr>
            <w:tcW w:w="207"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2407872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0.2</w:t>
            </w:r>
          </w:p>
        </w:tc>
        <w:tc>
          <w:tcPr>
            <w:tcW w:w="19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2C4ABC1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6</w:t>
            </w:r>
          </w:p>
        </w:tc>
        <w:tc>
          <w:tcPr>
            <w:tcW w:w="204"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3012A8F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15</w:t>
            </w:r>
          </w:p>
        </w:tc>
        <w:tc>
          <w:tcPr>
            <w:tcW w:w="20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5CCAF41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18</w:t>
            </w:r>
          </w:p>
        </w:tc>
        <w:tc>
          <w:tcPr>
            <w:tcW w:w="272" w:type="pct"/>
            <w:tcBorders>
              <w:top w:val="single" w:color="auto" w:sz="6" w:space="0"/>
              <w:left w:val="single" w:color="auto" w:sz="6" w:space="0"/>
              <w:bottom w:val="single" w:color="auto" w:sz="6" w:space="0"/>
              <w:right w:val="single" w:color="auto" w:sz="6" w:space="0"/>
            </w:tcBorders>
            <w:shd w:val="clear" w:color="auto" w:fill="0000FF"/>
            <w:noWrap w:val="0"/>
            <w:vAlign w:val="center"/>
          </w:tcPr>
          <w:p w14:paraId="3D11DA5C">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A</w:t>
            </w:r>
          </w:p>
        </w:tc>
        <w:tc>
          <w:tcPr>
            <w:tcW w:w="677" w:type="pct"/>
            <w:tcBorders>
              <w:top w:val="single" w:color="auto" w:sz="6" w:space="0"/>
              <w:left w:val="single" w:color="auto" w:sz="6" w:space="0"/>
              <w:bottom w:val="single" w:color="auto" w:sz="6" w:space="0"/>
              <w:right w:val="single" w:color="auto" w:sz="12" w:space="0"/>
            </w:tcBorders>
            <w:noWrap w:val="0"/>
            <w:vAlign w:val="center"/>
          </w:tcPr>
          <w:p w14:paraId="148C07D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加强安全教育严格执行制度</w:t>
            </w:r>
          </w:p>
        </w:tc>
      </w:tr>
      <w:tr w14:paraId="22E5706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2" w:hRule="atLeast"/>
        </w:trPr>
        <w:tc>
          <w:tcPr>
            <w:tcW w:w="165"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5158E58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6</w:t>
            </w:r>
          </w:p>
        </w:tc>
        <w:tc>
          <w:tcPr>
            <w:tcW w:w="69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5FA5CBD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山体滑坡</w:t>
            </w:r>
          </w:p>
        </w:tc>
        <w:tc>
          <w:tcPr>
            <w:tcW w:w="302"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08F9C95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坍塌</w:t>
            </w:r>
          </w:p>
        </w:tc>
        <w:tc>
          <w:tcPr>
            <w:tcW w:w="397"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221FE66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溃坝</w:t>
            </w:r>
          </w:p>
        </w:tc>
        <w:tc>
          <w:tcPr>
            <w:tcW w:w="381"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0EB649B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可能发生</w:t>
            </w:r>
          </w:p>
        </w:tc>
        <w:tc>
          <w:tcPr>
            <w:tcW w:w="534"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5E52F5F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加强检查</w:t>
            </w:r>
          </w:p>
        </w:tc>
        <w:tc>
          <w:tcPr>
            <w:tcW w:w="323"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2FC36244">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胜任</w:t>
            </w:r>
          </w:p>
        </w:tc>
        <w:tc>
          <w:tcPr>
            <w:tcW w:w="434"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07E3D2A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巡视、加固</w:t>
            </w:r>
          </w:p>
        </w:tc>
        <w:tc>
          <w:tcPr>
            <w:tcW w:w="207"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64495FF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0.2</w:t>
            </w:r>
          </w:p>
        </w:tc>
        <w:tc>
          <w:tcPr>
            <w:tcW w:w="19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13C46F3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6</w:t>
            </w:r>
          </w:p>
        </w:tc>
        <w:tc>
          <w:tcPr>
            <w:tcW w:w="204"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4033528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15</w:t>
            </w:r>
          </w:p>
        </w:tc>
        <w:tc>
          <w:tcPr>
            <w:tcW w:w="20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2EA06A2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18</w:t>
            </w:r>
          </w:p>
        </w:tc>
        <w:tc>
          <w:tcPr>
            <w:tcW w:w="272" w:type="pct"/>
            <w:tcBorders>
              <w:top w:val="single" w:color="auto" w:sz="6" w:space="0"/>
              <w:left w:val="single" w:color="auto" w:sz="6" w:space="0"/>
              <w:bottom w:val="single" w:color="auto" w:sz="6" w:space="0"/>
              <w:right w:val="single" w:color="auto" w:sz="6" w:space="0"/>
            </w:tcBorders>
            <w:shd w:val="clear" w:color="auto" w:fill="0000FF"/>
            <w:noWrap w:val="0"/>
            <w:vAlign w:val="center"/>
          </w:tcPr>
          <w:p w14:paraId="0306E754">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A</w:t>
            </w:r>
          </w:p>
        </w:tc>
        <w:tc>
          <w:tcPr>
            <w:tcW w:w="677" w:type="pct"/>
            <w:tcBorders>
              <w:top w:val="single" w:color="auto" w:sz="6" w:space="0"/>
              <w:left w:val="single" w:color="auto" w:sz="6" w:space="0"/>
              <w:bottom w:val="single" w:color="auto" w:sz="6" w:space="0"/>
              <w:right w:val="single" w:color="auto" w:sz="12" w:space="0"/>
            </w:tcBorders>
            <w:noWrap w:val="0"/>
            <w:vAlign w:val="center"/>
          </w:tcPr>
          <w:p w14:paraId="466646B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保持安全距离</w:t>
            </w:r>
          </w:p>
        </w:tc>
      </w:tr>
      <w:tr w14:paraId="5B53A9D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5" w:hRule="atLeast"/>
        </w:trPr>
        <w:tc>
          <w:tcPr>
            <w:tcW w:w="165"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2128FBC9">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7</w:t>
            </w:r>
          </w:p>
        </w:tc>
        <w:tc>
          <w:tcPr>
            <w:tcW w:w="69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04B553A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水位超过警戒线</w:t>
            </w:r>
          </w:p>
        </w:tc>
        <w:tc>
          <w:tcPr>
            <w:tcW w:w="302"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1CC9391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坍塌</w:t>
            </w:r>
          </w:p>
        </w:tc>
        <w:tc>
          <w:tcPr>
            <w:tcW w:w="397"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0AF8D9C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溃坝</w:t>
            </w:r>
          </w:p>
        </w:tc>
        <w:tc>
          <w:tcPr>
            <w:tcW w:w="381"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72DF051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可能发生</w:t>
            </w:r>
          </w:p>
        </w:tc>
        <w:tc>
          <w:tcPr>
            <w:tcW w:w="534"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517C98E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定期检查</w:t>
            </w:r>
          </w:p>
        </w:tc>
        <w:tc>
          <w:tcPr>
            <w:tcW w:w="323"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54C5FCFB">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胜任</w:t>
            </w:r>
          </w:p>
        </w:tc>
        <w:tc>
          <w:tcPr>
            <w:tcW w:w="434"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5DB29C1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定期检查</w:t>
            </w:r>
          </w:p>
        </w:tc>
        <w:tc>
          <w:tcPr>
            <w:tcW w:w="207"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4015EA0E">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0.5</w:t>
            </w:r>
          </w:p>
        </w:tc>
        <w:tc>
          <w:tcPr>
            <w:tcW w:w="19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2033341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6</w:t>
            </w:r>
          </w:p>
        </w:tc>
        <w:tc>
          <w:tcPr>
            <w:tcW w:w="204"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2F685FF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100</w:t>
            </w:r>
          </w:p>
        </w:tc>
        <w:tc>
          <w:tcPr>
            <w:tcW w:w="20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4F84AB7A">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300</w:t>
            </w:r>
          </w:p>
        </w:tc>
        <w:tc>
          <w:tcPr>
            <w:tcW w:w="272" w:type="pct"/>
            <w:tcBorders>
              <w:top w:val="single" w:color="auto" w:sz="6" w:space="0"/>
              <w:left w:val="single" w:color="auto" w:sz="6" w:space="0"/>
              <w:bottom w:val="single" w:color="auto" w:sz="6" w:space="0"/>
              <w:right w:val="single" w:color="auto" w:sz="6" w:space="0"/>
            </w:tcBorders>
            <w:shd w:val="clear" w:color="auto" w:fill="FF6600"/>
            <w:noWrap w:val="0"/>
            <w:vAlign w:val="top"/>
          </w:tcPr>
          <w:p w14:paraId="4DEA3DB4">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D</w:t>
            </w:r>
          </w:p>
        </w:tc>
        <w:tc>
          <w:tcPr>
            <w:tcW w:w="677" w:type="pct"/>
            <w:tcBorders>
              <w:top w:val="single" w:color="auto" w:sz="6" w:space="0"/>
              <w:left w:val="single" w:color="auto" w:sz="6" w:space="0"/>
              <w:bottom w:val="single" w:color="auto" w:sz="6" w:space="0"/>
              <w:right w:val="single" w:color="auto" w:sz="12" w:space="0"/>
            </w:tcBorders>
            <w:noWrap w:val="0"/>
            <w:vAlign w:val="center"/>
          </w:tcPr>
          <w:p w14:paraId="220827AB">
            <w:pPr>
              <w:spacing w:line="240" w:lineRule="auto"/>
              <w:ind w:firstLine="0" w:firstLineChars="0"/>
              <w:jc w:val="center"/>
              <w:rPr>
                <w:rFonts w:hint="eastAsia" w:ascii="Times New Roman" w:hAnsi="Times New Roman" w:eastAsia="宋体" w:cs="Times New Roman"/>
                <w:color w:val="auto"/>
                <w:sz w:val="21"/>
              </w:rPr>
            </w:pPr>
          </w:p>
        </w:tc>
      </w:tr>
      <w:tr w14:paraId="6A7FD62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49" w:hRule="atLeast"/>
        </w:trPr>
        <w:tc>
          <w:tcPr>
            <w:tcW w:w="165"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0CB75D0B">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8</w:t>
            </w:r>
          </w:p>
        </w:tc>
        <w:tc>
          <w:tcPr>
            <w:tcW w:w="69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1564524A">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排洪设施损毁</w:t>
            </w:r>
          </w:p>
        </w:tc>
        <w:tc>
          <w:tcPr>
            <w:tcW w:w="302"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3D0E165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坍塌</w:t>
            </w:r>
          </w:p>
        </w:tc>
        <w:tc>
          <w:tcPr>
            <w:tcW w:w="397"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2CEB00BF">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溃坝</w:t>
            </w:r>
          </w:p>
        </w:tc>
        <w:tc>
          <w:tcPr>
            <w:tcW w:w="381"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4D4A425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可能发生</w:t>
            </w:r>
          </w:p>
        </w:tc>
        <w:tc>
          <w:tcPr>
            <w:tcW w:w="534"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607AA4BA">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定期检查</w:t>
            </w:r>
          </w:p>
        </w:tc>
        <w:tc>
          <w:tcPr>
            <w:tcW w:w="323"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4627009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胜任</w:t>
            </w:r>
          </w:p>
        </w:tc>
        <w:tc>
          <w:tcPr>
            <w:tcW w:w="434"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056D6D6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定期检查</w:t>
            </w:r>
          </w:p>
        </w:tc>
        <w:tc>
          <w:tcPr>
            <w:tcW w:w="207"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61233EC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0.5</w:t>
            </w:r>
          </w:p>
        </w:tc>
        <w:tc>
          <w:tcPr>
            <w:tcW w:w="19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55EECAE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6</w:t>
            </w:r>
          </w:p>
        </w:tc>
        <w:tc>
          <w:tcPr>
            <w:tcW w:w="204"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0A867D0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100</w:t>
            </w:r>
          </w:p>
        </w:tc>
        <w:tc>
          <w:tcPr>
            <w:tcW w:w="20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02ED601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300</w:t>
            </w:r>
          </w:p>
        </w:tc>
        <w:tc>
          <w:tcPr>
            <w:tcW w:w="272" w:type="pct"/>
            <w:tcBorders>
              <w:top w:val="single" w:color="auto" w:sz="6" w:space="0"/>
              <w:left w:val="single" w:color="auto" w:sz="6" w:space="0"/>
              <w:bottom w:val="single" w:color="auto" w:sz="6" w:space="0"/>
              <w:right w:val="single" w:color="auto" w:sz="6" w:space="0"/>
            </w:tcBorders>
            <w:shd w:val="clear" w:color="auto" w:fill="FF6600"/>
            <w:noWrap w:val="0"/>
            <w:vAlign w:val="top"/>
          </w:tcPr>
          <w:p w14:paraId="1926196C">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D</w:t>
            </w:r>
          </w:p>
        </w:tc>
        <w:tc>
          <w:tcPr>
            <w:tcW w:w="677" w:type="pct"/>
            <w:tcBorders>
              <w:top w:val="single" w:color="auto" w:sz="6" w:space="0"/>
              <w:left w:val="single" w:color="auto" w:sz="6" w:space="0"/>
              <w:bottom w:val="single" w:color="auto" w:sz="6" w:space="0"/>
              <w:right w:val="single" w:color="auto" w:sz="12" w:space="0"/>
            </w:tcBorders>
            <w:noWrap w:val="0"/>
            <w:vAlign w:val="center"/>
          </w:tcPr>
          <w:p w14:paraId="1DB3DAF7">
            <w:pPr>
              <w:spacing w:line="240" w:lineRule="auto"/>
              <w:ind w:firstLine="0" w:firstLineChars="0"/>
              <w:jc w:val="center"/>
              <w:rPr>
                <w:rFonts w:hint="eastAsia" w:ascii="Times New Roman" w:hAnsi="Times New Roman" w:eastAsia="宋体" w:cs="Times New Roman"/>
                <w:color w:val="auto"/>
                <w:sz w:val="21"/>
              </w:rPr>
            </w:pPr>
          </w:p>
        </w:tc>
      </w:tr>
      <w:tr w14:paraId="261EFB8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165"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5093F2A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9</w:t>
            </w:r>
          </w:p>
        </w:tc>
        <w:tc>
          <w:tcPr>
            <w:tcW w:w="69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4ABC0C8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排洪系统堵塞</w:t>
            </w:r>
          </w:p>
        </w:tc>
        <w:tc>
          <w:tcPr>
            <w:tcW w:w="302"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17505DBF">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坍塌</w:t>
            </w:r>
          </w:p>
        </w:tc>
        <w:tc>
          <w:tcPr>
            <w:tcW w:w="397"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38705A3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溃坝</w:t>
            </w:r>
          </w:p>
        </w:tc>
        <w:tc>
          <w:tcPr>
            <w:tcW w:w="381"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29EEBB3B">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可能发生</w:t>
            </w:r>
          </w:p>
        </w:tc>
        <w:tc>
          <w:tcPr>
            <w:tcW w:w="534"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6B2D81E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定期检查</w:t>
            </w:r>
          </w:p>
        </w:tc>
        <w:tc>
          <w:tcPr>
            <w:tcW w:w="323"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1E516ECB">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胜任</w:t>
            </w:r>
          </w:p>
        </w:tc>
        <w:tc>
          <w:tcPr>
            <w:tcW w:w="434"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226E7F7E">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定期检查</w:t>
            </w:r>
          </w:p>
        </w:tc>
        <w:tc>
          <w:tcPr>
            <w:tcW w:w="207"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5B5F1BE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0.5</w:t>
            </w:r>
          </w:p>
        </w:tc>
        <w:tc>
          <w:tcPr>
            <w:tcW w:w="19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13B7F289">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6</w:t>
            </w:r>
          </w:p>
        </w:tc>
        <w:tc>
          <w:tcPr>
            <w:tcW w:w="204"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7833F16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100</w:t>
            </w:r>
          </w:p>
        </w:tc>
        <w:tc>
          <w:tcPr>
            <w:tcW w:w="20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04EC214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300</w:t>
            </w:r>
          </w:p>
        </w:tc>
        <w:tc>
          <w:tcPr>
            <w:tcW w:w="272" w:type="pct"/>
            <w:tcBorders>
              <w:top w:val="single" w:color="auto" w:sz="6" w:space="0"/>
              <w:left w:val="single" w:color="auto" w:sz="6" w:space="0"/>
              <w:bottom w:val="single" w:color="auto" w:sz="6" w:space="0"/>
              <w:right w:val="single" w:color="auto" w:sz="6" w:space="0"/>
            </w:tcBorders>
            <w:shd w:val="clear" w:color="auto" w:fill="FF6600"/>
            <w:noWrap w:val="0"/>
            <w:vAlign w:val="top"/>
          </w:tcPr>
          <w:p w14:paraId="5624BC2A">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D</w:t>
            </w:r>
          </w:p>
        </w:tc>
        <w:tc>
          <w:tcPr>
            <w:tcW w:w="677" w:type="pct"/>
            <w:tcBorders>
              <w:top w:val="single" w:color="auto" w:sz="6" w:space="0"/>
              <w:left w:val="single" w:color="auto" w:sz="6" w:space="0"/>
              <w:bottom w:val="single" w:color="auto" w:sz="6" w:space="0"/>
              <w:right w:val="single" w:color="auto" w:sz="12" w:space="0"/>
            </w:tcBorders>
            <w:noWrap w:val="0"/>
            <w:vAlign w:val="center"/>
          </w:tcPr>
          <w:p w14:paraId="4386FEDA">
            <w:pPr>
              <w:spacing w:line="240" w:lineRule="auto"/>
              <w:ind w:firstLine="0" w:firstLineChars="0"/>
              <w:jc w:val="center"/>
              <w:rPr>
                <w:rFonts w:hint="eastAsia" w:ascii="Times New Roman" w:hAnsi="Times New Roman" w:eastAsia="宋体" w:cs="Times New Roman"/>
                <w:color w:val="auto"/>
                <w:sz w:val="21"/>
              </w:rPr>
            </w:pPr>
          </w:p>
        </w:tc>
      </w:tr>
      <w:tr w14:paraId="260C112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57" w:hRule="atLeast"/>
        </w:trPr>
        <w:tc>
          <w:tcPr>
            <w:tcW w:w="165"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319B495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10</w:t>
            </w:r>
          </w:p>
        </w:tc>
        <w:tc>
          <w:tcPr>
            <w:tcW w:w="69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4BE18739">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坝体深层滑动</w:t>
            </w:r>
          </w:p>
        </w:tc>
        <w:tc>
          <w:tcPr>
            <w:tcW w:w="302"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52E69C4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坍塌</w:t>
            </w:r>
          </w:p>
        </w:tc>
        <w:tc>
          <w:tcPr>
            <w:tcW w:w="397"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6E41990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溃坝</w:t>
            </w:r>
          </w:p>
        </w:tc>
        <w:tc>
          <w:tcPr>
            <w:tcW w:w="381"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2C4DC61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可能发生</w:t>
            </w:r>
          </w:p>
        </w:tc>
        <w:tc>
          <w:tcPr>
            <w:tcW w:w="534"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4C153C9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定期检查</w:t>
            </w:r>
          </w:p>
        </w:tc>
        <w:tc>
          <w:tcPr>
            <w:tcW w:w="323"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3E1218A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胜任</w:t>
            </w:r>
          </w:p>
        </w:tc>
        <w:tc>
          <w:tcPr>
            <w:tcW w:w="434"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6B8AC4EB">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定期检查</w:t>
            </w:r>
          </w:p>
        </w:tc>
        <w:tc>
          <w:tcPr>
            <w:tcW w:w="207"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69DDA47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0.5</w:t>
            </w:r>
          </w:p>
        </w:tc>
        <w:tc>
          <w:tcPr>
            <w:tcW w:w="19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46F5791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6</w:t>
            </w:r>
          </w:p>
        </w:tc>
        <w:tc>
          <w:tcPr>
            <w:tcW w:w="204"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51FD503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100</w:t>
            </w:r>
          </w:p>
        </w:tc>
        <w:tc>
          <w:tcPr>
            <w:tcW w:w="20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004865C4">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300</w:t>
            </w:r>
          </w:p>
        </w:tc>
        <w:tc>
          <w:tcPr>
            <w:tcW w:w="272" w:type="pct"/>
            <w:tcBorders>
              <w:top w:val="single" w:color="auto" w:sz="6" w:space="0"/>
              <w:left w:val="single" w:color="auto" w:sz="6" w:space="0"/>
              <w:bottom w:val="single" w:color="auto" w:sz="6" w:space="0"/>
              <w:right w:val="single" w:color="auto" w:sz="6" w:space="0"/>
            </w:tcBorders>
            <w:shd w:val="clear" w:color="auto" w:fill="FF6600"/>
            <w:noWrap w:val="0"/>
            <w:vAlign w:val="top"/>
          </w:tcPr>
          <w:p w14:paraId="3808697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D</w:t>
            </w:r>
          </w:p>
        </w:tc>
        <w:tc>
          <w:tcPr>
            <w:tcW w:w="677" w:type="pct"/>
            <w:tcBorders>
              <w:top w:val="single" w:color="auto" w:sz="6" w:space="0"/>
              <w:left w:val="single" w:color="auto" w:sz="6" w:space="0"/>
              <w:bottom w:val="single" w:color="auto" w:sz="6" w:space="0"/>
              <w:right w:val="single" w:color="auto" w:sz="12" w:space="0"/>
            </w:tcBorders>
            <w:noWrap w:val="0"/>
            <w:vAlign w:val="center"/>
          </w:tcPr>
          <w:p w14:paraId="52BD2FED">
            <w:pPr>
              <w:spacing w:line="240" w:lineRule="auto"/>
              <w:ind w:firstLine="0" w:firstLineChars="0"/>
              <w:jc w:val="center"/>
              <w:rPr>
                <w:rFonts w:hint="eastAsia" w:ascii="Times New Roman" w:hAnsi="Times New Roman" w:eastAsia="宋体" w:cs="Times New Roman"/>
                <w:color w:val="auto"/>
                <w:sz w:val="21"/>
              </w:rPr>
            </w:pPr>
          </w:p>
        </w:tc>
      </w:tr>
    </w:tbl>
    <w:p w14:paraId="4B3BF25C">
      <w:pPr>
        <w:bidi w:val="0"/>
        <w:ind w:left="0" w:leftChars="0" w:firstLine="0" w:firstLineChars="0"/>
        <w:jc w:val="center"/>
        <w:rPr>
          <w:rFonts w:hint="eastAsia"/>
          <w:color w:val="auto"/>
          <w:lang w:val="en-US" w:eastAsia="zh-CN"/>
        </w:rPr>
      </w:pPr>
      <w:r>
        <w:rPr>
          <w:rFonts w:hint="eastAsia"/>
          <w:color w:val="auto"/>
          <w:lang w:val="en-US" w:eastAsia="zh-CN"/>
        </w:rPr>
        <w:t xml:space="preserve">表5.6-7 </w:t>
      </w:r>
      <w:r>
        <w:rPr>
          <w:rFonts w:ascii="Times New Roman" w:hAnsi="Times New Roman" w:eastAsia="宋体" w:cs="Times New Roman"/>
          <w:bCs/>
          <w:color w:val="auto"/>
          <w:sz w:val="28"/>
          <w:szCs w:val="28"/>
        </w:rPr>
        <w:t>尾矿库</w:t>
      </w:r>
      <w:r>
        <w:rPr>
          <w:rFonts w:hint="eastAsia" w:ascii="Times New Roman" w:hAnsi="Times New Roman" w:eastAsia="宋体" w:cs="Times New Roman"/>
          <w:color w:val="auto"/>
          <w:sz w:val="28"/>
          <w:szCs w:val="28"/>
        </w:rPr>
        <w:t>安全风险管控清单</w:t>
      </w:r>
    </w:p>
    <w:tbl>
      <w:tblPr>
        <w:tblStyle w:val="19"/>
        <w:tblW w:w="14508"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68"/>
        <w:gridCol w:w="1080"/>
        <w:gridCol w:w="1800"/>
        <w:gridCol w:w="1980"/>
        <w:gridCol w:w="1525"/>
        <w:gridCol w:w="2975"/>
        <w:gridCol w:w="540"/>
        <w:gridCol w:w="900"/>
        <w:gridCol w:w="720"/>
        <w:gridCol w:w="900"/>
        <w:gridCol w:w="1620"/>
      </w:tblGrid>
      <w:tr w14:paraId="42B5668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0" w:hRule="atLeast"/>
        </w:trPr>
        <w:tc>
          <w:tcPr>
            <w:tcW w:w="468" w:type="dxa"/>
            <w:tcBorders>
              <w:top w:val="single" w:color="auto" w:sz="4" w:space="0"/>
              <w:left w:val="single" w:color="auto" w:sz="4" w:space="0"/>
              <w:bottom w:val="single" w:color="auto" w:sz="4" w:space="0"/>
              <w:right w:val="single" w:color="auto" w:sz="4" w:space="0"/>
            </w:tcBorders>
            <w:noWrap w:val="0"/>
            <w:vAlign w:val="center"/>
          </w:tcPr>
          <w:p w14:paraId="775210F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序</w:t>
            </w:r>
          </w:p>
          <w:p w14:paraId="5BE1958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号</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554E181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生产系统或场所</w:t>
            </w:r>
          </w:p>
        </w:tc>
        <w:tc>
          <w:tcPr>
            <w:tcW w:w="1800" w:type="dxa"/>
            <w:tcBorders>
              <w:top w:val="single" w:color="auto" w:sz="4" w:space="0"/>
              <w:left w:val="single" w:color="auto" w:sz="4" w:space="0"/>
              <w:bottom w:val="single" w:color="auto" w:sz="4" w:space="0"/>
              <w:right w:val="single" w:color="auto" w:sz="4" w:space="0"/>
            </w:tcBorders>
            <w:noWrap w:val="0"/>
            <w:vAlign w:val="center"/>
          </w:tcPr>
          <w:p w14:paraId="1DA8FDD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危险源</w:t>
            </w:r>
          </w:p>
        </w:tc>
        <w:tc>
          <w:tcPr>
            <w:tcW w:w="1980" w:type="dxa"/>
            <w:tcBorders>
              <w:top w:val="single" w:color="auto" w:sz="4" w:space="0"/>
              <w:left w:val="single" w:color="auto" w:sz="4" w:space="0"/>
              <w:bottom w:val="single" w:color="auto" w:sz="4" w:space="0"/>
              <w:right w:val="single" w:color="auto" w:sz="4" w:space="0"/>
            </w:tcBorders>
            <w:noWrap w:val="0"/>
            <w:vAlign w:val="center"/>
          </w:tcPr>
          <w:p w14:paraId="6A6A13F9">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主要危险因素</w:t>
            </w:r>
          </w:p>
        </w:tc>
        <w:tc>
          <w:tcPr>
            <w:tcW w:w="1525" w:type="dxa"/>
            <w:tcBorders>
              <w:top w:val="single" w:color="auto" w:sz="4" w:space="0"/>
              <w:left w:val="single" w:color="auto" w:sz="4" w:space="0"/>
              <w:bottom w:val="single" w:color="auto" w:sz="4" w:space="0"/>
              <w:right w:val="single" w:color="auto" w:sz="4" w:space="0"/>
            </w:tcBorders>
            <w:noWrap w:val="0"/>
            <w:vAlign w:val="center"/>
          </w:tcPr>
          <w:p w14:paraId="149EA3F9">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最大可能的</w:t>
            </w:r>
          </w:p>
          <w:p w14:paraId="792D943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后果</w:t>
            </w:r>
          </w:p>
        </w:tc>
        <w:tc>
          <w:tcPr>
            <w:tcW w:w="2975" w:type="dxa"/>
            <w:tcBorders>
              <w:top w:val="single" w:color="auto" w:sz="4" w:space="0"/>
              <w:left w:val="single" w:color="auto" w:sz="4" w:space="0"/>
              <w:bottom w:val="single" w:color="auto" w:sz="4" w:space="0"/>
              <w:right w:val="single" w:color="auto" w:sz="4" w:space="0"/>
            </w:tcBorders>
            <w:noWrap w:val="0"/>
            <w:vAlign w:val="center"/>
          </w:tcPr>
          <w:p w14:paraId="594D9D8E">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主要防范措施</w:t>
            </w:r>
          </w:p>
        </w:tc>
        <w:tc>
          <w:tcPr>
            <w:tcW w:w="1440" w:type="dxa"/>
            <w:gridSpan w:val="2"/>
            <w:tcBorders>
              <w:top w:val="single" w:color="auto" w:sz="4" w:space="0"/>
              <w:left w:val="single" w:color="auto" w:sz="4" w:space="0"/>
              <w:bottom w:val="single" w:color="auto" w:sz="4" w:space="0"/>
              <w:right w:val="single" w:color="auto" w:sz="4" w:space="0"/>
            </w:tcBorders>
            <w:noWrap w:val="0"/>
            <w:vAlign w:val="center"/>
          </w:tcPr>
          <w:p w14:paraId="16F020FB">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发生的</w:t>
            </w:r>
          </w:p>
          <w:p w14:paraId="73D2EF5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可能性</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4C3AC51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风险</w:t>
            </w:r>
          </w:p>
          <w:p w14:paraId="5A5CBC9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等级</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314E3C6C">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备注</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31C3BBA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责任部门</w:t>
            </w:r>
          </w:p>
        </w:tc>
      </w:tr>
      <w:tr w14:paraId="6751574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5" w:hRule="atLeast"/>
        </w:trPr>
        <w:tc>
          <w:tcPr>
            <w:tcW w:w="468"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207E9E8B">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一</w:t>
            </w:r>
          </w:p>
        </w:tc>
        <w:tc>
          <w:tcPr>
            <w:tcW w:w="1080"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4B8418C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尾矿</w:t>
            </w:r>
          </w:p>
          <w:p w14:paraId="010DBECE">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坝体</w:t>
            </w: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C7CE0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山体稳定性低</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B29062B">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大面积山体滑坡等</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5205CEC">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溃坝导致下游大量人员伤亡，建筑物损毁、道路破坏及农田淹没</w:t>
            </w:r>
          </w:p>
        </w:tc>
        <w:tc>
          <w:tcPr>
            <w:tcW w:w="2975"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581EADBE">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1.建立、健全安全生产责任制、安全生产规章制度；</w:t>
            </w:r>
          </w:p>
          <w:p w14:paraId="4608D48A">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2.完善安全操作规程；</w:t>
            </w:r>
          </w:p>
          <w:p w14:paraId="540D2E3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3.完善防洪渡汛应急救援预案；</w:t>
            </w:r>
          </w:p>
          <w:p w14:paraId="5904F7EE">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4.建立、健全防洪渡汛应急救援组织，保障应急救援物资；</w:t>
            </w:r>
          </w:p>
          <w:p w14:paraId="2A11876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5.和气象部门建立联系，提前掌握降雨信息；</w:t>
            </w:r>
          </w:p>
          <w:p w14:paraId="08E744FE">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6.经常检查尾矿坝、排洪系统的运行状况；</w:t>
            </w:r>
          </w:p>
          <w:p w14:paraId="631D249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7.对已有的位移观测设施，按相等的时间间隔对坝体（包括坝肩）位移进行观测，并对观测结果进行合理的分析；</w:t>
            </w:r>
          </w:p>
          <w:p w14:paraId="1F6FAE79">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8.加强放矿管理，严格按设计要求堆筑尾矿坝；</w:t>
            </w:r>
          </w:p>
          <w:p w14:paraId="60ED4B9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9.对紧邻排水井的松动土体进行工程处理，确保不因为其垮塌而堵塞排洪系统；</w:t>
            </w:r>
          </w:p>
          <w:p w14:paraId="2F5BC30F">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10.由于库区周边山体较徒，覆土较厚，树木较多，要经常检查周围山体的稳定情况，特别是在雨天。</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655ED5F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28776D3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FF0000"/>
            <w:noWrap w:val="0"/>
            <w:vAlign w:val="center"/>
          </w:tcPr>
          <w:p w14:paraId="375622F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Ⅰ</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0A9B538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不可接</w:t>
            </w:r>
          </w:p>
          <w:p w14:paraId="3119C20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受风险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38FE5979">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公司</w:t>
            </w:r>
          </w:p>
        </w:tc>
      </w:tr>
      <w:tr w14:paraId="0792997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5"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35F2BBF8">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189AB29E">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D0FD5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坝体大面积管涌、流土</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876569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坝体垮塌</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0C58379">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溃坝</w:t>
            </w:r>
          </w:p>
        </w:tc>
        <w:tc>
          <w:tcPr>
            <w:tcW w:w="2975"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4BE151E7">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1B4F81D9">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国内其它</w:t>
            </w:r>
          </w:p>
          <w:p w14:paraId="0141736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FF0000"/>
            <w:noWrap w:val="0"/>
            <w:vAlign w:val="center"/>
          </w:tcPr>
          <w:p w14:paraId="2A036F2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Ⅰ</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671C439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不可接</w:t>
            </w:r>
          </w:p>
          <w:p w14:paraId="5B53B47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受风险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6C9DB97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公司</w:t>
            </w:r>
          </w:p>
        </w:tc>
      </w:tr>
      <w:tr w14:paraId="357177F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5"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694D7257">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2D05660F">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A6CF7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坝体出现贯穿性裂缝，且有滑动迹象</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A5F0B1A">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坝体垮塌</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6B8C20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溃坝</w:t>
            </w:r>
          </w:p>
        </w:tc>
        <w:tc>
          <w:tcPr>
            <w:tcW w:w="2975"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78B4FCB2">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4123375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国内其它</w:t>
            </w:r>
          </w:p>
          <w:p w14:paraId="5332669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FF0000"/>
            <w:noWrap w:val="0"/>
            <w:vAlign w:val="center"/>
          </w:tcPr>
          <w:p w14:paraId="4ECF545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Ⅰ</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209D7F7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不可接</w:t>
            </w:r>
          </w:p>
          <w:p w14:paraId="1EB84BCC">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受风险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7CDC73BF">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公司</w:t>
            </w:r>
          </w:p>
        </w:tc>
      </w:tr>
      <w:tr w14:paraId="1DB01BE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5"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395D2A69">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7891480D">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A54C0A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子坝挡水、坝体外坡比陡于设计值；坝体上升速率大于设计值</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783750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坝体垮塌</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AA361B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溃坝</w:t>
            </w:r>
          </w:p>
        </w:tc>
        <w:tc>
          <w:tcPr>
            <w:tcW w:w="2975"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53064276">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30CC2A7C">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国内其它</w:t>
            </w:r>
          </w:p>
          <w:p w14:paraId="71F0B31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6E4EFBAA">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Ⅱ</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6576571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高度</w:t>
            </w:r>
          </w:p>
          <w:p w14:paraId="3305824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危险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2B7FB5C4">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安全环保部、选厂</w:t>
            </w:r>
          </w:p>
        </w:tc>
      </w:tr>
      <w:tr w14:paraId="43F9AA9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49"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0C55CDA1">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01BF7EC6">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5A9AA70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渗透破坏</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7B0E0634">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外来水冲涮坝肩、</w:t>
            </w:r>
          </w:p>
          <w:p w14:paraId="5134117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坝体垮塌</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7336562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溃坝、尾砂泄漏</w:t>
            </w:r>
          </w:p>
        </w:tc>
        <w:tc>
          <w:tcPr>
            <w:tcW w:w="2975"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3EB37A07">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725BE88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71E6C00F">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66AA72F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Ⅲ</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7D3603C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中度</w:t>
            </w:r>
          </w:p>
          <w:p w14:paraId="1843146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43D75C42">
            <w:pPr>
              <w:spacing w:line="240" w:lineRule="auto"/>
              <w:ind w:firstLine="0" w:firstLineChars="0"/>
              <w:jc w:val="center"/>
              <w:rPr>
                <w:rFonts w:hint="eastAsia" w:ascii="Times New Roman" w:hAnsi="Times New Roman" w:eastAsia="宋体" w:cs="Times New Roman"/>
                <w:color w:val="auto"/>
                <w:sz w:val="21"/>
                <w:lang w:eastAsia="zh-CN"/>
              </w:rPr>
            </w:pPr>
            <w:r>
              <w:rPr>
                <w:rFonts w:hint="eastAsia" w:ascii="Times New Roman" w:hAnsi="Times New Roman" w:eastAsia="宋体" w:cs="Times New Roman"/>
                <w:color w:val="auto"/>
                <w:sz w:val="21"/>
              </w:rPr>
              <w:t>选厂、</w:t>
            </w:r>
            <w:r>
              <w:rPr>
                <w:rFonts w:hint="eastAsia" w:ascii="Times New Roman" w:hAnsi="Times New Roman" w:eastAsia="宋体" w:cs="Times New Roman"/>
                <w:color w:val="auto"/>
                <w:sz w:val="21"/>
                <w:lang w:eastAsia="zh-CN"/>
              </w:rPr>
              <w:t>安全环保部</w:t>
            </w:r>
          </w:p>
        </w:tc>
      </w:tr>
      <w:tr w14:paraId="23AD45B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7"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5E7F38AA">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6D57EC72">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23FB69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干滩长度和安全超高不足</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AE726A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洪水漫顶</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E3D39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溃坝</w:t>
            </w:r>
          </w:p>
        </w:tc>
        <w:tc>
          <w:tcPr>
            <w:tcW w:w="2975"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79C04036">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7F9FE93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618D9C6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5A8A52E9">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Ⅱ</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7343BD0E">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高度</w:t>
            </w:r>
          </w:p>
          <w:p w14:paraId="545A3FAC">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6BBBB5B9">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安全环保部、选厂</w:t>
            </w:r>
          </w:p>
        </w:tc>
      </w:tr>
      <w:tr w14:paraId="6364E5C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40"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5F0CBD2D">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0CAABD63">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3B90EC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排洪系统堵塞或损毁</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1D3DAC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洪水漫坝</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3FB9EB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溃坝</w:t>
            </w:r>
          </w:p>
        </w:tc>
        <w:tc>
          <w:tcPr>
            <w:tcW w:w="2975"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78B7477A">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76D07EBE">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16DEA2F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FF0000"/>
            <w:noWrap w:val="0"/>
            <w:vAlign w:val="center"/>
          </w:tcPr>
          <w:p w14:paraId="56CC49B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Ⅰ</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4835D4FC">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不可接</w:t>
            </w:r>
          </w:p>
          <w:p w14:paraId="6396319C">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受风险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34CD7DE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公司</w:t>
            </w:r>
          </w:p>
        </w:tc>
      </w:tr>
      <w:tr w14:paraId="62062C5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40"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53A99C14">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63DA7C9D">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DD8BB1A">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坝体位移</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698850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坡度过陡；使用年限长</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9D839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溃坝、人员伤亡</w:t>
            </w:r>
          </w:p>
        </w:tc>
        <w:tc>
          <w:tcPr>
            <w:tcW w:w="2975"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3971C133">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6041B4E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国内其它</w:t>
            </w:r>
          </w:p>
          <w:p w14:paraId="1712752A">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30E23414">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Ⅲ</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0EB9741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中度</w:t>
            </w:r>
          </w:p>
          <w:p w14:paraId="15966D0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11B1D6A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安全环保部、选厂</w:t>
            </w:r>
          </w:p>
        </w:tc>
      </w:tr>
      <w:tr w14:paraId="265D95D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40"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2F083901">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7BD2767F">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1C79F0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坝体结构参数（高度、宽度、外坡比、压实度等）不符合设计值</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08231D4">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局部不稳定或破坏</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E4B4E74">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坝体滑坡、垮塌</w:t>
            </w:r>
          </w:p>
        </w:tc>
        <w:tc>
          <w:tcPr>
            <w:tcW w:w="2975"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701ABAA0">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2DA4CD5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0AECA91C">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776CAD6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Ⅲ</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4139216C">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中度</w:t>
            </w:r>
          </w:p>
          <w:p w14:paraId="00EF5D1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160FB319">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lang w:eastAsia="zh-CN"/>
              </w:rPr>
              <w:t>安全环保部</w:t>
            </w:r>
            <w:r>
              <w:rPr>
                <w:rFonts w:hint="eastAsia" w:ascii="Times New Roman" w:hAnsi="Times New Roman" w:eastAsia="宋体" w:cs="Times New Roman"/>
                <w:color w:val="auto"/>
                <w:sz w:val="21"/>
              </w:rPr>
              <w:t>、选厂</w:t>
            </w:r>
          </w:p>
        </w:tc>
      </w:tr>
      <w:tr w14:paraId="2FF9868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40"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6A1C091C">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2B85C99B">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0C1ED4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未进行岸坡清理、隐蔽工程验收</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5AA049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局部塌陷</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A91B9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坝体垮塌</w:t>
            </w:r>
          </w:p>
        </w:tc>
        <w:tc>
          <w:tcPr>
            <w:tcW w:w="2975"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3FF6A5B4">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52B3760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11421BC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6FF7DDBA">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Ⅲ</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2AF449E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中度</w:t>
            </w:r>
          </w:p>
          <w:p w14:paraId="7DC7B93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43A69E5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安全环保部、选厂</w:t>
            </w:r>
          </w:p>
        </w:tc>
      </w:tr>
      <w:tr w14:paraId="52D3684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40"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718C79B1">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04A68FC8">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D55709">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坝轴线、冰下放矿不符合设计要求，不均匀放矿；尾矿浆沿坝内坡流动冲刷坝体</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373DDF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局部不稳定或破坏</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591B4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坝体滑坡、垮塌</w:t>
            </w:r>
          </w:p>
        </w:tc>
        <w:tc>
          <w:tcPr>
            <w:tcW w:w="2975" w:type="dxa"/>
            <w:vMerge w:val="continue"/>
            <w:tcBorders>
              <w:top w:val="single" w:color="auto" w:sz="4" w:space="0"/>
              <w:left w:val="single" w:color="auto" w:sz="4" w:space="0"/>
              <w:right w:val="single" w:color="auto" w:sz="4" w:space="0"/>
            </w:tcBorders>
            <w:shd w:val="clear" w:color="auto" w:fill="auto"/>
            <w:noWrap w:val="0"/>
            <w:vAlign w:val="center"/>
          </w:tcPr>
          <w:p w14:paraId="0CE24A7C">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15B2338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1CCE1DBE">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103FCB2C">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Ⅲ</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5F85452E">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中度</w:t>
            </w:r>
          </w:p>
          <w:p w14:paraId="399793F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5F63926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lang w:eastAsia="zh-CN"/>
              </w:rPr>
              <w:t>安全环保部</w:t>
            </w:r>
            <w:r>
              <w:rPr>
                <w:rFonts w:hint="eastAsia" w:ascii="Times New Roman" w:hAnsi="Times New Roman" w:eastAsia="宋体" w:cs="Times New Roman"/>
                <w:color w:val="auto"/>
                <w:sz w:val="21"/>
              </w:rPr>
              <w:t>、选厂</w:t>
            </w:r>
          </w:p>
        </w:tc>
      </w:tr>
      <w:tr w14:paraId="3FFB9F2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0"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016F47F2">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2CA12BFA">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8783B9">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坝体失稳、局部开裂；坝坡面排水沟破损；地震液化</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6E8830B">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坝体外坡坡度过陡、裂缝</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EC4D4C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坝体失稳</w:t>
            </w:r>
          </w:p>
          <w:p w14:paraId="2D8C4EE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甚至于溃坝</w:t>
            </w:r>
          </w:p>
        </w:tc>
        <w:tc>
          <w:tcPr>
            <w:tcW w:w="2975" w:type="dxa"/>
            <w:vMerge w:val="continue"/>
            <w:tcBorders>
              <w:left w:val="single" w:color="auto" w:sz="4" w:space="0"/>
              <w:right w:val="single" w:color="auto" w:sz="4" w:space="0"/>
            </w:tcBorders>
            <w:shd w:val="clear" w:color="auto" w:fill="auto"/>
            <w:noWrap w:val="0"/>
            <w:vAlign w:val="center"/>
          </w:tcPr>
          <w:p w14:paraId="4F59BFF2">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3445AD2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国内其它</w:t>
            </w:r>
          </w:p>
          <w:p w14:paraId="4167257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61B264AB">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Ⅲ</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14DD388C">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中度</w:t>
            </w:r>
          </w:p>
          <w:p w14:paraId="1704DE9A">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08B37C1B">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lang w:eastAsia="zh-CN"/>
              </w:rPr>
              <w:t>安全环保部</w:t>
            </w:r>
            <w:r>
              <w:rPr>
                <w:rFonts w:hint="eastAsia" w:ascii="Times New Roman" w:hAnsi="Times New Roman" w:eastAsia="宋体" w:cs="Times New Roman"/>
                <w:color w:val="auto"/>
                <w:sz w:val="21"/>
              </w:rPr>
              <w:t>、选厂</w:t>
            </w:r>
          </w:p>
        </w:tc>
      </w:tr>
      <w:tr w14:paraId="751BFE6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0"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6EDD1EA0">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32992AA1">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3F949AC">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超高超库容堆存尾矿</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ED530BB">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违规、停产、闭库</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82D34">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违规、停产、闭库</w:t>
            </w:r>
          </w:p>
        </w:tc>
        <w:tc>
          <w:tcPr>
            <w:tcW w:w="2975" w:type="dxa"/>
            <w:vMerge w:val="continue"/>
            <w:tcBorders>
              <w:left w:val="single" w:color="auto" w:sz="4" w:space="0"/>
              <w:right w:val="single" w:color="auto" w:sz="4" w:space="0"/>
            </w:tcBorders>
            <w:shd w:val="clear" w:color="auto" w:fill="auto"/>
            <w:noWrap w:val="0"/>
            <w:vAlign w:val="center"/>
          </w:tcPr>
          <w:p w14:paraId="0AB18255">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42DADAB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国内其它</w:t>
            </w:r>
          </w:p>
          <w:p w14:paraId="01C4397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6F5199FA">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Ⅳ</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2585996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低风险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737AB104">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公司</w:t>
            </w:r>
          </w:p>
        </w:tc>
      </w:tr>
      <w:tr w14:paraId="60E8057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0"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08A4C9AB">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0251DAB3">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FA43C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坝前（外坡面）有积水坑；坝坡面冲刷拉沟</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AF9222F">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局部渗透破坏；局部塌陷</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BD27BB">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坝体垮塌</w:t>
            </w:r>
          </w:p>
        </w:tc>
        <w:tc>
          <w:tcPr>
            <w:tcW w:w="2975"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0E64A2CC">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0C167FD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71FA25D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54FC21FA">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Ⅳ</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65DE2E8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低风险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5623DA8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选厂、尾矿班组</w:t>
            </w:r>
          </w:p>
        </w:tc>
      </w:tr>
      <w:tr w14:paraId="0E1F5CD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0"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460515D0">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1AC3EBA2">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1231ABA">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坝坡面未覆土植被筑沟</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63126FA">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坝坡面冲刷拉沟</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F77AE0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坝体垮塌</w:t>
            </w:r>
          </w:p>
        </w:tc>
        <w:tc>
          <w:tcPr>
            <w:tcW w:w="2975"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7F6B9C5A">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6B174AEA">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60BF3E3C">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1CC4F76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Ⅳ</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7F11C37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低风险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09FC0DA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选厂、尾矿班组</w:t>
            </w:r>
          </w:p>
        </w:tc>
      </w:tr>
      <w:tr w14:paraId="49F83E7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5"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05BE89FA">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0E3B7F00">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775B0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各类不同性质尾矿混排，或尾矿粒径变细</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79C628A">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坝体稳定性下降</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C7509DB">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坝体垮塌</w:t>
            </w:r>
          </w:p>
        </w:tc>
        <w:tc>
          <w:tcPr>
            <w:tcW w:w="2975"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766C3EC8">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3FEC2B4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7DC0C17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0A4B6CC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Ⅳ</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14E99B4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低风险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1E4D11C6">
            <w:pPr>
              <w:spacing w:line="240" w:lineRule="auto"/>
              <w:ind w:firstLine="0" w:firstLineChars="0"/>
              <w:jc w:val="center"/>
              <w:rPr>
                <w:rFonts w:hint="eastAsia" w:ascii="Times New Roman" w:hAnsi="Times New Roman" w:eastAsia="宋体" w:cs="Times New Roman"/>
                <w:color w:val="auto"/>
                <w:sz w:val="21"/>
                <w:lang w:eastAsia="zh-CN"/>
              </w:rPr>
            </w:pPr>
            <w:r>
              <w:rPr>
                <w:rFonts w:hint="eastAsia" w:ascii="Times New Roman" w:hAnsi="Times New Roman" w:eastAsia="宋体" w:cs="Times New Roman"/>
                <w:color w:val="auto"/>
                <w:sz w:val="21"/>
              </w:rPr>
              <w:t>公司、</w:t>
            </w:r>
            <w:r>
              <w:rPr>
                <w:rFonts w:hint="eastAsia" w:ascii="Times New Roman" w:hAnsi="Times New Roman" w:eastAsia="宋体" w:cs="Times New Roman"/>
                <w:color w:val="auto"/>
                <w:sz w:val="21"/>
                <w:lang w:eastAsia="zh-CN"/>
              </w:rPr>
              <w:t>安全环保部</w:t>
            </w:r>
          </w:p>
        </w:tc>
      </w:tr>
      <w:tr w14:paraId="0859763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2" w:hRule="atLeast"/>
        </w:trPr>
        <w:tc>
          <w:tcPr>
            <w:tcW w:w="468"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3EAF5A9F">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二</w:t>
            </w:r>
          </w:p>
        </w:tc>
        <w:tc>
          <w:tcPr>
            <w:tcW w:w="1080"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668D8C8B">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防排洪</w:t>
            </w:r>
          </w:p>
          <w:p w14:paraId="1ACDE10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系统</w:t>
            </w: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5D6FCE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排洪系统堵塞</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E0E2F9">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漂浮物、尾砂泄漏堵塞；沉降变形影响；洪水破坏</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F0226D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洪水漫顶</w:t>
            </w:r>
          </w:p>
          <w:p w14:paraId="6741B4AA">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导致溃坝</w:t>
            </w:r>
          </w:p>
        </w:tc>
        <w:tc>
          <w:tcPr>
            <w:tcW w:w="2975"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4AA908CC">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1.进行排洪系统检查、维护，及时清除杂物，防止堵塞；</w:t>
            </w:r>
          </w:p>
          <w:p w14:paraId="7932C30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2.排洪系统有充足的强度，封堵物承载能力经验算符合要求；</w:t>
            </w:r>
          </w:p>
          <w:p w14:paraId="1E857CE4">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3.开辟紧急溢洪道。</w:t>
            </w:r>
          </w:p>
          <w:p w14:paraId="672E083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4.排洪系统必须由有相应资质单位进行设计；</w:t>
            </w:r>
          </w:p>
          <w:p w14:paraId="26E6831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5.排洪设施必须由有资质单位进行施工；</w:t>
            </w:r>
          </w:p>
          <w:p w14:paraId="43EB36F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6.排水构筑物必须按设计要求构建。</w:t>
            </w:r>
          </w:p>
          <w:p w14:paraId="1B90D37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7.设置库水位标尺，进行观测；</w:t>
            </w:r>
          </w:p>
          <w:p w14:paraId="053732C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8.加强地质勘察；</w:t>
            </w:r>
          </w:p>
          <w:p w14:paraId="659B6CB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9.进行洪水复核，制定应急措施。</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6D4F917A">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72EEAD2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FF0000"/>
            <w:noWrap w:val="0"/>
            <w:vAlign w:val="center"/>
          </w:tcPr>
          <w:p w14:paraId="449E162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Ⅰ</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363E33BE">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不可接受风险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6815759C">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公司</w:t>
            </w:r>
          </w:p>
        </w:tc>
      </w:tr>
      <w:tr w14:paraId="31A6046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2"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3945790C">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25799851">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2907B2A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排水构筑物平面布置、标高、数量、型式、尺寸与设计不符</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39478C8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排洪能力不足，洪水漫顶</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1917E17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溃坝</w:t>
            </w:r>
          </w:p>
        </w:tc>
        <w:tc>
          <w:tcPr>
            <w:tcW w:w="2975"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2A04EA90">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2953AA8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7BE12C8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45C0E15F">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Ⅱ</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0E10A20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高度</w:t>
            </w:r>
          </w:p>
          <w:p w14:paraId="6FB5DD0F">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3C142851">
            <w:pPr>
              <w:spacing w:line="240" w:lineRule="auto"/>
              <w:ind w:firstLine="0" w:firstLineChars="0"/>
              <w:jc w:val="center"/>
              <w:rPr>
                <w:rFonts w:hint="eastAsia" w:ascii="Times New Roman" w:hAnsi="Times New Roman" w:eastAsia="宋体" w:cs="Times New Roman"/>
                <w:color w:val="auto"/>
                <w:sz w:val="21"/>
                <w:lang w:eastAsia="zh-CN"/>
              </w:rPr>
            </w:pPr>
            <w:r>
              <w:rPr>
                <w:rFonts w:hint="eastAsia" w:ascii="Times New Roman" w:hAnsi="Times New Roman" w:eastAsia="宋体" w:cs="Times New Roman"/>
                <w:color w:val="auto"/>
                <w:sz w:val="21"/>
              </w:rPr>
              <w:t>公司、</w:t>
            </w:r>
            <w:r>
              <w:rPr>
                <w:rFonts w:hint="eastAsia" w:ascii="Times New Roman" w:hAnsi="Times New Roman" w:eastAsia="宋体" w:cs="Times New Roman"/>
                <w:color w:val="auto"/>
                <w:sz w:val="21"/>
                <w:lang w:eastAsia="zh-CN"/>
              </w:rPr>
              <w:t>安全环保部</w:t>
            </w:r>
          </w:p>
        </w:tc>
      </w:tr>
      <w:tr w14:paraId="2F6BC6A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2"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2EBFA8C5">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2DF87523">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D62F6B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排洪系统局部损坏，或封堵不严</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DA3585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尾矿泄漏</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B8E75E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尾矿泄漏</w:t>
            </w:r>
          </w:p>
        </w:tc>
        <w:tc>
          <w:tcPr>
            <w:tcW w:w="2975"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31D348A9">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61FCE41B">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01B68FE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01858B3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Ⅱ</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6BA53C1A">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高度</w:t>
            </w:r>
          </w:p>
          <w:p w14:paraId="2D64445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4FC1A40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lang w:eastAsia="zh-CN"/>
              </w:rPr>
              <w:t>安全环保部</w:t>
            </w:r>
            <w:r>
              <w:rPr>
                <w:rFonts w:hint="eastAsia" w:ascii="Times New Roman" w:hAnsi="Times New Roman" w:eastAsia="宋体" w:cs="Times New Roman"/>
                <w:color w:val="auto"/>
                <w:sz w:val="21"/>
              </w:rPr>
              <w:t>、选厂</w:t>
            </w:r>
          </w:p>
        </w:tc>
      </w:tr>
      <w:tr w14:paraId="567B9A1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2"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2D16855D">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7C89AD32">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BB78C8E">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未清除进水口漂浮物</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FAE584">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排洪系统堵塞，淹溺</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A0063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溃坝</w:t>
            </w:r>
          </w:p>
        </w:tc>
        <w:tc>
          <w:tcPr>
            <w:tcW w:w="2975"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59ACA815">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1E00F87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678503D4">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0323BCDA">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Ⅱ</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2E7C527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高度</w:t>
            </w:r>
          </w:p>
          <w:p w14:paraId="4CB59AB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137E8AB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选厂、尾矿班组</w:t>
            </w:r>
          </w:p>
        </w:tc>
      </w:tr>
      <w:tr w14:paraId="4D44377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1"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4F0A2900">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65BFB64A">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F0B107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排洪框架井或排洪隧洞损坏；排洪系统被堵</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EC6683A">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尾矿泄漏</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E4FFD1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环境污染、人员伤亡、财产损失</w:t>
            </w:r>
          </w:p>
        </w:tc>
        <w:tc>
          <w:tcPr>
            <w:tcW w:w="2975"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0C3ED421">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118EBA8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14D213D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FF0000"/>
            <w:noWrap w:val="0"/>
            <w:vAlign w:val="center"/>
          </w:tcPr>
          <w:p w14:paraId="37612A8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Ⅰ</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2285AB3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不可接受风险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214ABDFE">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公司</w:t>
            </w:r>
          </w:p>
        </w:tc>
      </w:tr>
      <w:tr w14:paraId="3E72879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1"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27FC9CEE">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7CD3954F">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F399F6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排洪系统裂缝，或跑浑、漏砂</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34DFF69">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尾矿泄漏，环境污染</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15144F">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尾矿泄漏</w:t>
            </w:r>
          </w:p>
        </w:tc>
        <w:tc>
          <w:tcPr>
            <w:tcW w:w="2975"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5BB7F510">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0C28692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国内其它</w:t>
            </w:r>
          </w:p>
          <w:p w14:paraId="15A01EC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5AE34F1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Ⅲ</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22D71CB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中度</w:t>
            </w:r>
          </w:p>
          <w:p w14:paraId="4F6AE7D9">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456DF8F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lang w:eastAsia="zh-CN"/>
              </w:rPr>
              <w:t>安全环保部</w:t>
            </w:r>
            <w:r>
              <w:rPr>
                <w:rFonts w:hint="eastAsia" w:ascii="Times New Roman" w:hAnsi="Times New Roman" w:eastAsia="宋体" w:cs="Times New Roman"/>
                <w:color w:val="auto"/>
                <w:sz w:val="21"/>
              </w:rPr>
              <w:t>、选厂、尾矿班组</w:t>
            </w:r>
          </w:p>
        </w:tc>
      </w:tr>
      <w:tr w14:paraId="4C4DED4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1"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3B037267">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27E739CD">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00253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井架、拱板施工质量影响结构安全</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FB0EBA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坍塌、漫顶</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DF73E1F">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溃坝</w:t>
            </w:r>
          </w:p>
        </w:tc>
        <w:tc>
          <w:tcPr>
            <w:tcW w:w="2975"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00FDB26E">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72E672B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1C1EA30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24CF90AC">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Ⅲ</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4D785F7C">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中度</w:t>
            </w:r>
          </w:p>
          <w:p w14:paraId="3EED348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3468B5D5">
            <w:pPr>
              <w:spacing w:line="240" w:lineRule="auto"/>
              <w:ind w:firstLine="0" w:firstLineChars="0"/>
              <w:jc w:val="center"/>
              <w:rPr>
                <w:rFonts w:hint="eastAsia" w:ascii="Times New Roman" w:hAnsi="Times New Roman" w:eastAsia="宋体" w:cs="Times New Roman"/>
                <w:color w:val="auto"/>
                <w:sz w:val="21"/>
                <w:lang w:eastAsia="zh-CN"/>
              </w:rPr>
            </w:pPr>
            <w:r>
              <w:rPr>
                <w:rFonts w:hint="eastAsia" w:ascii="Times New Roman" w:hAnsi="Times New Roman" w:eastAsia="宋体" w:cs="Times New Roman"/>
                <w:color w:val="auto"/>
                <w:sz w:val="21"/>
                <w:lang w:eastAsia="zh-CN"/>
              </w:rPr>
              <w:t>安全环保部</w:t>
            </w:r>
          </w:p>
        </w:tc>
      </w:tr>
      <w:tr w14:paraId="152A7BF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8"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3067BD66">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2E3CC4C3">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C023A9">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排洪（水）构筑物垮塌</w:t>
            </w:r>
          </w:p>
        </w:tc>
        <w:tc>
          <w:tcPr>
            <w:tcW w:w="1980"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60C238DB">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设计不合理或无设计；未按设计要求施工；施工质量差；山体滑坡影响；洪水影响</w:t>
            </w:r>
          </w:p>
        </w:tc>
        <w:tc>
          <w:tcPr>
            <w:tcW w:w="1525"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3A5EA8C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洪水漫顶</w:t>
            </w:r>
          </w:p>
          <w:p w14:paraId="46889C9F">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导致溃坝</w:t>
            </w:r>
          </w:p>
        </w:tc>
        <w:tc>
          <w:tcPr>
            <w:tcW w:w="2975" w:type="dxa"/>
            <w:vMerge w:val="continue"/>
            <w:tcBorders>
              <w:left w:val="single" w:color="auto" w:sz="4" w:space="0"/>
              <w:right w:val="single" w:color="auto" w:sz="4" w:space="0"/>
            </w:tcBorders>
            <w:shd w:val="clear" w:color="auto" w:fill="auto"/>
            <w:noWrap w:val="0"/>
            <w:vAlign w:val="center"/>
          </w:tcPr>
          <w:p w14:paraId="23CFCE9B">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32CDDEB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国内其它</w:t>
            </w:r>
          </w:p>
          <w:p w14:paraId="56D8445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FF0000"/>
            <w:noWrap w:val="0"/>
            <w:vAlign w:val="center"/>
          </w:tcPr>
          <w:p w14:paraId="39DEC35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Ⅰ</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1E512AF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不可接受风险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120972C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公司</w:t>
            </w:r>
          </w:p>
        </w:tc>
      </w:tr>
      <w:tr w14:paraId="59B9018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3"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406238D4">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7D243AB4">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AEFFFA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排洪（水）构筑物错动</w:t>
            </w:r>
          </w:p>
        </w:tc>
        <w:tc>
          <w:tcPr>
            <w:tcW w:w="19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77372B96">
            <w:pPr>
              <w:spacing w:line="240" w:lineRule="auto"/>
              <w:ind w:firstLine="0" w:firstLineChars="0"/>
              <w:jc w:val="center"/>
              <w:rPr>
                <w:rFonts w:hint="eastAsia" w:ascii="Times New Roman" w:hAnsi="Times New Roman" w:eastAsia="宋体" w:cs="Times New Roman"/>
                <w:color w:val="auto"/>
                <w:sz w:val="21"/>
              </w:rPr>
            </w:pPr>
          </w:p>
        </w:tc>
        <w:tc>
          <w:tcPr>
            <w:tcW w:w="1525"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32BCD964">
            <w:pPr>
              <w:spacing w:line="240" w:lineRule="auto"/>
              <w:ind w:firstLine="0" w:firstLineChars="0"/>
              <w:jc w:val="center"/>
              <w:rPr>
                <w:rFonts w:hint="eastAsia" w:ascii="Times New Roman" w:hAnsi="Times New Roman" w:eastAsia="宋体" w:cs="Times New Roman"/>
                <w:color w:val="auto"/>
                <w:sz w:val="21"/>
              </w:rPr>
            </w:pPr>
          </w:p>
        </w:tc>
        <w:tc>
          <w:tcPr>
            <w:tcW w:w="2975" w:type="dxa"/>
            <w:vMerge w:val="continue"/>
            <w:tcBorders>
              <w:left w:val="single" w:color="auto" w:sz="4" w:space="0"/>
              <w:right w:val="single" w:color="auto" w:sz="4" w:space="0"/>
            </w:tcBorders>
            <w:shd w:val="clear" w:color="auto" w:fill="auto"/>
            <w:noWrap w:val="0"/>
            <w:vAlign w:val="center"/>
          </w:tcPr>
          <w:p w14:paraId="3FD90F2D">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13CD146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国内其它</w:t>
            </w:r>
          </w:p>
          <w:p w14:paraId="1BA79EA4">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FF0000"/>
            <w:noWrap w:val="0"/>
            <w:vAlign w:val="center"/>
          </w:tcPr>
          <w:p w14:paraId="3D722F2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Ⅰ</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310B6E1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不可接受风险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7C997D4A">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公司</w:t>
            </w:r>
          </w:p>
        </w:tc>
      </w:tr>
      <w:tr w14:paraId="6827F25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3"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4CDFDBAA">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39F775C9">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898ADC">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无库水位标尺</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18BD5C">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影响库水位控制</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6B5660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洪水漫顶</w:t>
            </w:r>
          </w:p>
        </w:tc>
        <w:tc>
          <w:tcPr>
            <w:tcW w:w="2975" w:type="dxa"/>
            <w:vMerge w:val="continue"/>
            <w:tcBorders>
              <w:left w:val="single" w:color="auto" w:sz="4" w:space="0"/>
              <w:bottom w:val="single" w:color="auto" w:sz="4" w:space="0"/>
              <w:right w:val="single" w:color="auto" w:sz="4" w:space="0"/>
            </w:tcBorders>
            <w:shd w:val="clear" w:color="auto" w:fill="auto"/>
            <w:noWrap w:val="0"/>
            <w:vAlign w:val="center"/>
          </w:tcPr>
          <w:p w14:paraId="15144C8E">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3EDF24D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6040BDD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2B993F0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Ⅳ</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30423E0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低风险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4DCB369A">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选厂、尾矿班组</w:t>
            </w:r>
          </w:p>
        </w:tc>
      </w:tr>
      <w:tr w14:paraId="057B183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468"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1F5AC2F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三</w:t>
            </w:r>
          </w:p>
        </w:tc>
        <w:tc>
          <w:tcPr>
            <w:tcW w:w="1080"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6BD16D5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输送</w:t>
            </w:r>
          </w:p>
          <w:p w14:paraId="5AD6D34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及排放</w:t>
            </w: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79750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尾矿输送及排放周边环境</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70DEDB4">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人员伤害，财产损失，</w:t>
            </w:r>
          </w:p>
          <w:p w14:paraId="1F8A3214">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如滑倒、刮伤等</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F5FC1F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人员伤害</w:t>
            </w:r>
          </w:p>
        </w:tc>
        <w:tc>
          <w:tcPr>
            <w:tcW w:w="2975"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5246E1C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重视员工工作环境的改善，在能力范围内逐步改善工作环境，严格按照操作规程操作。</w:t>
            </w:r>
          </w:p>
          <w:p w14:paraId="4CFA59CF">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1.设事故排放池；</w:t>
            </w:r>
          </w:p>
          <w:p w14:paraId="7E86CC74">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2.定期检查维护；</w:t>
            </w:r>
          </w:p>
          <w:p w14:paraId="3451FA2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3.过量磨损管路进行更换；</w:t>
            </w:r>
          </w:p>
          <w:p w14:paraId="00F1135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4.设专职人员管理；</w:t>
            </w:r>
          </w:p>
          <w:p w14:paraId="486BD69F">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5.汛期24h值守；</w:t>
            </w:r>
          </w:p>
          <w:p w14:paraId="0929C8E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6.采用分散支管均匀放矿，防止冲刷坝体。</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62FA974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3C4C5619">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7367295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Ⅴ</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793C8BE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可忽略</w:t>
            </w:r>
          </w:p>
          <w:p w14:paraId="4C8DB0F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7BBCCEE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选厂、尾矿班组</w:t>
            </w:r>
          </w:p>
        </w:tc>
      </w:tr>
      <w:tr w14:paraId="13753B9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3"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5B3FCE68">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799B8BF9">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A738F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未按规程操作</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4BA63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人员伤害、财产损失</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0AEB4AC">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人员伤害</w:t>
            </w:r>
          </w:p>
        </w:tc>
        <w:tc>
          <w:tcPr>
            <w:tcW w:w="2975"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2E1A2455">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7D6CA71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4FC0918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2F0C1DAA">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Ⅳ</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4FD40E9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低风险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2E30F11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尾矿班组</w:t>
            </w:r>
          </w:p>
        </w:tc>
      </w:tr>
      <w:tr w14:paraId="3702412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0"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76ECA5E5">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24F56BEB">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E30BA8E">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尾砂泄漏</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BEBC62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管路破损或人为破坏</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F589C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污染环境</w:t>
            </w:r>
          </w:p>
        </w:tc>
        <w:tc>
          <w:tcPr>
            <w:tcW w:w="2975"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70CE0572">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3A25AD8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50B8D86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4B51020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Ⅳ</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77C010AE">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低风险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323FB28B">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尾矿班组</w:t>
            </w:r>
          </w:p>
        </w:tc>
      </w:tr>
      <w:tr w14:paraId="21C73BC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0"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2B7802BF">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5EB23DC9">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72A502E">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不均匀排放</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309126F">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管路堵塞、冲刷子坝</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99A8C94">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溃坝</w:t>
            </w:r>
          </w:p>
        </w:tc>
        <w:tc>
          <w:tcPr>
            <w:tcW w:w="2975"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74FC2099">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3F87C7D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416857B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4882A8F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Ⅲ</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0D96629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中度</w:t>
            </w:r>
          </w:p>
          <w:p w14:paraId="619FFED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7ED62F0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选厂、尾矿班组</w:t>
            </w:r>
          </w:p>
        </w:tc>
      </w:tr>
      <w:tr w14:paraId="2C6ED84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0" w:hRule="atLeast"/>
        </w:trPr>
        <w:tc>
          <w:tcPr>
            <w:tcW w:w="468"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36D0B5D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四</w:t>
            </w:r>
          </w:p>
        </w:tc>
        <w:tc>
          <w:tcPr>
            <w:tcW w:w="1080"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1787CB6B">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排渗设施</w:t>
            </w: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6A63EBEA">
            <w:pPr>
              <w:spacing w:line="240" w:lineRule="auto"/>
              <w:ind w:firstLine="0" w:firstLineChars="0"/>
              <w:jc w:val="center"/>
              <w:rPr>
                <w:rFonts w:hint="eastAsia"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未按设计要求埋设排渗设施；或尾矿坝出现渗流、渗流、沼泽化等现象，未采取措施处理</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E80C85">
            <w:pPr>
              <w:spacing w:line="240" w:lineRule="auto"/>
              <w:ind w:firstLine="0" w:firstLineChars="0"/>
              <w:jc w:val="center"/>
              <w:rPr>
                <w:rFonts w:hint="eastAsia"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坝体失稳、滑坡、垮塌</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3928BDF">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坝体垮塌</w:t>
            </w:r>
          </w:p>
        </w:tc>
        <w:tc>
          <w:tcPr>
            <w:tcW w:w="2975"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top"/>
          </w:tcPr>
          <w:p w14:paraId="7EFCB8A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1.埋设排渗设施；修复排渗设施；</w:t>
            </w:r>
          </w:p>
          <w:p w14:paraId="2A3D22C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2.加强坝坡面检查，发现渗水，及时处理；</w:t>
            </w:r>
          </w:p>
          <w:p w14:paraId="1A802B3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3.进行浸润线观测，一旦有变化，及时查明原因，制定处理措施；</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22AEE84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3BE5BFEC">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7BD020BC">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Ⅱ</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095BC8A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高度</w:t>
            </w:r>
          </w:p>
          <w:p w14:paraId="65659AAA">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危险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6103EC7A">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lang w:eastAsia="zh-CN"/>
              </w:rPr>
              <w:t>安全环保部</w:t>
            </w:r>
            <w:r>
              <w:rPr>
                <w:rFonts w:hint="eastAsia" w:ascii="Times New Roman" w:hAnsi="Times New Roman" w:eastAsia="宋体" w:cs="Times New Roman"/>
                <w:color w:val="auto"/>
                <w:sz w:val="21"/>
              </w:rPr>
              <w:t>、选厂</w:t>
            </w:r>
          </w:p>
        </w:tc>
      </w:tr>
      <w:tr w14:paraId="687DF77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0" w:hRule="atLeast"/>
        </w:trPr>
        <w:tc>
          <w:tcPr>
            <w:tcW w:w="468" w:type="dxa"/>
            <w:vMerge w:val="continue"/>
            <w:tcBorders>
              <w:top w:val="single" w:color="auto" w:sz="4" w:space="0"/>
              <w:left w:val="single" w:color="auto" w:sz="4" w:space="0"/>
              <w:right w:val="single" w:color="auto" w:sz="4" w:space="0"/>
            </w:tcBorders>
            <w:shd w:val="clear" w:color="auto" w:fill="auto"/>
            <w:noWrap w:val="0"/>
            <w:vAlign w:val="center"/>
          </w:tcPr>
          <w:p w14:paraId="1D682605">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right w:val="single" w:color="auto" w:sz="4" w:space="0"/>
            </w:tcBorders>
            <w:shd w:val="clear" w:color="auto" w:fill="auto"/>
            <w:noWrap w:val="0"/>
            <w:vAlign w:val="center"/>
          </w:tcPr>
          <w:p w14:paraId="0D26878D">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06A49B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浸润线埋深不足</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45919B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塌陷，泥石流</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A5B281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坝体垮塌</w:t>
            </w:r>
          </w:p>
        </w:tc>
        <w:tc>
          <w:tcPr>
            <w:tcW w:w="2975" w:type="dxa"/>
            <w:vMerge w:val="continue"/>
            <w:tcBorders>
              <w:top w:val="single" w:color="auto" w:sz="4" w:space="0"/>
              <w:left w:val="single" w:color="auto" w:sz="4" w:space="0"/>
              <w:right w:val="single" w:color="auto" w:sz="4" w:space="0"/>
            </w:tcBorders>
            <w:shd w:val="clear" w:color="auto" w:fill="auto"/>
            <w:noWrap w:val="0"/>
            <w:vAlign w:val="center"/>
          </w:tcPr>
          <w:p w14:paraId="4E91B182">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2C9C400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60BF344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0657F56C">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Ⅱ</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43F17D0E">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高度</w:t>
            </w:r>
          </w:p>
          <w:p w14:paraId="58ED2444">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危险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4C11E81C">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选厂、尾矿班组</w:t>
            </w:r>
          </w:p>
        </w:tc>
      </w:tr>
      <w:tr w14:paraId="305EE56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0" w:hRule="atLeast"/>
        </w:trPr>
        <w:tc>
          <w:tcPr>
            <w:tcW w:w="468" w:type="dxa"/>
            <w:vMerge w:val="continue"/>
            <w:tcBorders>
              <w:left w:val="single" w:color="auto" w:sz="4" w:space="0"/>
              <w:right w:val="single" w:color="auto" w:sz="4" w:space="0"/>
            </w:tcBorders>
            <w:shd w:val="clear" w:color="auto" w:fill="auto"/>
            <w:noWrap w:val="0"/>
            <w:vAlign w:val="center"/>
          </w:tcPr>
          <w:p w14:paraId="61B313C5">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left w:val="single" w:color="auto" w:sz="4" w:space="0"/>
              <w:right w:val="single" w:color="auto" w:sz="4" w:space="0"/>
            </w:tcBorders>
            <w:shd w:val="clear" w:color="auto" w:fill="auto"/>
            <w:noWrap w:val="0"/>
            <w:vAlign w:val="center"/>
          </w:tcPr>
          <w:p w14:paraId="7DA935A8">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039AE5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排渗设施损坏；</w:t>
            </w:r>
          </w:p>
          <w:p w14:paraId="3E826C2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渗水浑浊</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85442BE">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尾矿泄漏；浸润线偏高</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1F50C1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坝体垮塌</w:t>
            </w:r>
          </w:p>
        </w:tc>
        <w:tc>
          <w:tcPr>
            <w:tcW w:w="2975" w:type="dxa"/>
            <w:vMerge w:val="continue"/>
            <w:tcBorders>
              <w:left w:val="single" w:color="auto" w:sz="4" w:space="0"/>
              <w:right w:val="single" w:color="auto" w:sz="4" w:space="0"/>
            </w:tcBorders>
            <w:shd w:val="clear" w:color="auto" w:fill="auto"/>
            <w:noWrap w:val="0"/>
            <w:vAlign w:val="center"/>
          </w:tcPr>
          <w:p w14:paraId="07D77F28">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4EE857A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5588E7CF">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6FAE9FA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Ⅲ</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3C3787FE">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中度</w:t>
            </w:r>
          </w:p>
          <w:p w14:paraId="38E1EA0E">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危险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3B1A37F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选厂、尾矿班组</w:t>
            </w:r>
          </w:p>
        </w:tc>
      </w:tr>
      <w:tr w14:paraId="2C7A0A5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0" w:hRule="atLeast"/>
        </w:trPr>
        <w:tc>
          <w:tcPr>
            <w:tcW w:w="468" w:type="dxa"/>
            <w:vMerge w:val="continue"/>
            <w:tcBorders>
              <w:left w:val="single" w:color="auto" w:sz="4" w:space="0"/>
              <w:bottom w:val="single" w:color="auto" w:sz="4" w:space="0"/>
              <w:right w:val="single" w:color="auto" w:sz="4" w:space="0"/>
            </w:tcBorders>
            <w:shd w:val="clear" w:color="auto" w:fill="auto"/>
            <w:noWrap w:val="0"/>
            <w:vAlign w:val="center"/>
          </w:tcPr>
          <w:p w14:paraId="06D552B6">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left w:val="single" w:color="auto" w:sz="4" w:space="0"/>
              <w:bottom w:val="single" w:color="auto" w:sz="4" w:space="0"/>
              <w:right w:val="single" w:color="auto" w:sz="4" w:space="0"/>
            </w:tcBorders>
            <w:shd w:val="clear" w:color="auto" w:fill="auto"/>
            <w:noWrap w:val="0"/>
            <w:vAlign w:val="center"/>
          </w:tcPr>
          <w:p w14:paraId="4C5E71C1">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A50DC7F">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坝面局部渗水；坝肩出现集中渗流</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2454AA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局部垮塌</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35015F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坝体垮塌</w:t>
            </w:r>
          </w:p>
        </w:tc>
        <w:tc>
          <w:tcPr>
            <w:tcW w:w="2975" w:type="dxa"/>
            <w:vMerge w:val="continue"/>
            <w:tcBorders>
              <w:left w:val="single" w:color="auto" w:sz="4" w:space="0"/>
              <w:bottom w:val="single" w:color="auto" w:sz="4" w:space="0"/>
              <w:right w:val="single" w:color="auto" w:sz="4" w:space="0"/>
            </w:tcBorders>
            <w:shd w:val="clear" w:color="auto" w:fill="auto"/>
            <w:noWrap w:val="0"/>
            <w:vAlign w:val="center"/>
          </w:tcPr>
          <w:p w14:paraId="7218792A">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7D33144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34CF892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3EBD704E">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Ⅲ</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26C9C7A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中度</w:t>
            </w:r>
          </w:p>
          <w:p w14:paraId="448EA88F">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危险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2C43EC14">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选厂、尾矿班组</w:t>
            </w:r>
          </w:p>
        </w:tc>
      </w:tr>
      <w:tr w14:paraId="2872B0C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0" w:hRule="atLeast"/>
        </w:trPr>
        <w:tc>
          <w:tcPr>
            <w:tcW w:w="468"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72A82A6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五</w:t>
            </w:r>
          </w:p>
        </w:tc>
        <w:tc>
          <w:tcPr>
            <w:tcW w:w="1080"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66C2C3B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安全</w:t>
            </w:r>
          </w:p>
          <w:p w14:paraId="760EDEC4">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监测设施</w:t>
            </w: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5A2D8B1">
            <w:pPr>
              <w:spacing w:line="240" w:lineRule="auto"/>
              <w:ind w:firstLine="0" w:firstLineChars="0"/>
              <w:jc w:val="center"/>
              <w:rPr>
                <w:rFonts w:hint="eastAsia"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尾矿库监测网络不能覆盖整个库区</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D168652">
            <w:pPr>
              <w:spacing w:line="240" w:lineRule="auto"/>
              <w:ind w:firstLine="0" w:firstLineChars="0"/>
              <w:jc w:val="center"/>
              <w:rPr>
                <w:rFonts w:hint="eastAsia"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监测不完整</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9A6DBAC">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项目、数据缺失</w:t>
            </w:r>
          </w:p>
        </w:tc>
        <w:tc>
          <w:tcPr>
            <w:tcW w:w="2975"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557D976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1.完善监测设施；</w:t>
            </w:r>
          </w:p>
          <w:p w14:paraId="59571F6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2.增设监测设施；</w:t>
            </w:r>
          </w:p>
          <w:p w14:paraId="1D37E5E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3.合理购置监控仪，合理设置观测基础参数；</w:t>
            </w:r>
          </w:p>
          <w:p w14:paraId="6ABF111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4.及时修复监测设施及其辅助设施；</w:t>
            </w:r>
          </w:p>
          <w:p w14:paraId="71B12E8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5.做好监测记录，并进行分析，保存记录。</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451F9FE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0650968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175B43A9">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Ⅲ</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3A591ADF">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中度</w:t>
            </w:r>
          </w:p>
          <w:p w14:paraId="4CE8C53E">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危险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4658061C">
            <w:pPr>
              <w:spacing w:line="240" w:lineRule="auto"/>
              <w:ind w:firstLine="0" w:firstLineChars="0"/>
              <w:jc w:val="center"/>
              <w:rPr>
                <w:rFonts w:hint="eastAsia" w:ascii="Times New Roman" w:hAnsi="Times New Roman" w:eastAsia="宋体" w:cs="Times New Roman"/>
                <w:color w:val="auto"/>
                <w:sz w:val="21"/>
                <w:lang w:eastAsia="zh-CN"/>
              </w:rPr>
            </w:pPr>
            <w:r>
              <w:rPr>
                <w:rFonts w:hint="eastAsia" w:ascii="Times New Roman" w:hAnsi="Times New Roman" w:eastAsia="宋体" w:cs="Times New Roman"/>
                <w:color w:val="auto"/>
                <w:sz w:val="21"/>
                <w:lang w:eastAsia="zh-CN"/>
              </w:rPr>
              <w:t>安全环保部</w:t>
            </w:r>
          </w:p>
        </w:tc>
      </w:tr>
      <w:tr w14:paraId="2711536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0" w:hRule="atLeast"/>
        </w:trPr>
        <w:tc>
          <w:tcPr>
            <w:tcW w:w="468" w:type="dxa"/>
            <w:vMerge w:val="continue"/>
            <w:tcBorders>
              <w:top w:val="single" w:color="auto" w:sz="4" w:space="0"/>
              <w:left w:val="single" w:color="auto" w:sz="4" w:space="0"/>
              <w:right w:val="single" w:color="auto" w:sz="4" w:space="0"/>
            </w:tcBorders>
            <w:shd w:val="clear" w:color="auto" w:fill="auto"/>
            <w:noWrap w:val="0"/>
            <w:vAlign w:val="center"/>
          </w:tcPr>
          <w:p w14:paraId="7C1855C7">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right w:val="single" w:color="auto" w:sz="4" w:space="0"/>
            </w:tcBorders>
            <w:shd w:val="clear" w:color="auto" w:fill="auto"/>
            <w:noWrap w:val="0"/>
            <w:vAlign w:val="center"/>
          </w:tcPr>
          <w:p w14:paraId="4D960177">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31A840">
            <w:pPr>
              <w:spacing w:line="240" w:lineRule="auto"/>
              <w:ind w:firstLine="0" w:firstLineChars="0"/>
              <w:jc w:val="center"/>
              <w:rPr>
                <w:rFonts w:hint="eastAsia"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测量误差大</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E8A9ED2">
            <w:pPr>
              <w:spacing w:line="240" w:lineRule="auto"/>
              <w:ind w:firstLine="0" w:firstLineChars="0"/>
              <w:jc w:val="center"/>
              <w:rPr>
                <w:rFonts w:hint="eastAsia"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结果不可靠</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0CAB76B">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误导</w:t>
            </w:r>
          </w:p>
        </w:tc>
        <w:tc>
          <w:tcPr>
            <w:tcW w:w="2975" w:type="dxa"/>
            <w:vMerge w:val="continue"/>
            <w:tcBorders>
              <w:top w:val="single" w:color="auto" w:sz="4" w:space="0"/>
              <w:left w:val="single" w:color="auto" w:sz="4" w:space="0"/>
              <w:right w:val="single" w:color="auto" w:sz="4" w:space="0"/>
            </w:tcBorders>
            <w:shd w:val="clear" w:color="auto" w:fill="auto"/>
            <w:noWrap w:val="0"/>
            <w:vAlign w:val="center"/>
          </w:tcPr>
          <w:p w14:paraId="3F6ED739">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3D1CE30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22ADB5CC">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39608BE9">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Ⅲ</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74CF1379">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中度</w:t>
            </w:r>
          </w:p>
          <w:p w14:paraId="06498F9B">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危险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16390D45">
            <w:pPr>
              <w:spacing w:line="240" w:lineRule="auto"/>
              <w:ind w:firstLine="0" w:firstLineChars="0"/>
              <w:jc w:val="center"/>
              <w:rPr>
                <w:rFonts w:hint="eastAsia" w:ascii="Times New Roman" w:hAnsi="Times New Roman" w:eastAsia="宋体" w:cs="Times New Roman"/>
                <w:color w:val="auto"/>
                <w:sz w:val="21"/>
                <w:lang w:eastAsia="zh-CN"/>
              </w:rPr>
            </w:pPr>
            <w:r>
              <w:rPr>
                <w:rFonts w:hint="eastAsia" w:ascii="Times New Roman" w:hAnsi="Times New Roman" w:eastAsia="宋体" w:cs="Times New Roman"/>
                <w:color w:val="auto"/>
                <w:sz w:val="21"/>
                <w:lang w:eastAsia="zh-CN"/>
              </w:rPr>
              <w:t>安全环保部</w:t>
            </w:r>
          </w:p>
        </w:tc>
      </w:tr>
      <w:tr w14:paraId="6E3DE32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0" w:hRule="atLeast"/>
        </w:trPr>
        <w:tc>
          <w:tcPr>
            <w:tcW w:w="468" w:type="dxa"/>
            <w:vMerge w:val="continue"/>
            <w:tcBorders>
              <w:left w:val="single" w:color="auto" w:sz="4" w:space="0"/>
              <w:right w:val="single" w:color="auto" w:sz="4" w:space="0"/>
            </w:tcBorders>
            <w:shd w:val="clear" w:color="auto" w:fill="auto"/>
            <w:noWrap w:val="0"/>
            <w:vAlign w:val="center"/>
          </w:tcPr>
          <w:p w14:paraId="2B75A354">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left w:val="single" w:color="auto" w:sz="4" w:space="0"/>
              <w:right w:val="single" w:color="auto" w:sz="4" w:space="0"/>
            </w:tcBorders>
            <w:shd w:val="clear" w:color="auto" w:fill="auto"/>
            <w:noWrap w:val="0"/>
            <w:vAlign w:val="center"/>
          </w:tcPr>
          <w:p w14:paraId="2064A11A">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883C660">
            <w:pPr>
              <w:spacing w:line="240" w:lineRule="auto"/>
              <w:ind w:firstLine="0" w:firstLineChars="0"/>
              <w:jc w:val="center"/>
              <w:rPr>
                <w:rFonts w:hint="eastAsia"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无在线监测设施；或监测设施不齐全</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AE8F1BA">
            <w:pPr>
              <w:spacing w:line="240" w:lineRule="auto"/>
              <w:ind w:firstLine="0" w:firstLineChars="0"/>
              <w:jc w:val="center"/>
              <w:rPr>
                <w:rFonts w:hint="eastAsia"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安全监测措施缺失，不合规</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D692E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项目、数据缺失</w:t>
            </w:r>
          </w:p>
        </w:tc>
        <w:tc>
          <w:tcPr>
            <w:tcW w:w="2975" w:type="dxa"/>
            <w:vMerge w:val="continue"/>
            <w:tcBorders>
              <w:left w:val="single" w:color="auto" w:sz="4" w:space="0"/>
              <w:right w:val="single" w:color="auto" w:sz="4" w:space="0"/>
            </w:tcBorders>
            <w:shd w:val="clear" w:color="auto" w:fill="auto"/>
            <w:noWrap w:val="0"/>
            <w:vAlign w:val="center"/>
          </w:tcPr>
          <w:p w14:paraId="128736E9">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7C47937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396D082F">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6CB96EF4">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Ⅲ</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20EF220A">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中度</w:t>
            </w:r>
          </w:p>
          <w:p w14:paraId="5818BCF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危险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44075974">
            <w:pPr>
              <w:spacing w:line="240" w:lineRule="auto"/>
              <w:ind w:firstLine="0" w:firstLineChars="0"/>
              <w:jc w:val="center"/>
              <w:rPr>
                <w:rFonts w:hint="eastAsia" w:ascii="Times New Roman" w:hAnsi="Times New Roman" w:eastAsia="宋体" w:cs="Times New Roman"/>
                <w:color w:val="auto"/>
                <w:sz w:val="21"/>
                <w:lang w:eastAsia="zh-CN"/>
              </w:rPr>
            </w:pPr>
            <w:r>
              <w:rPr>
                <w:rFonts w:hint="eastAsia" w:ascii="Times New Roman" w:hAnsi="Times New Roman" w:eastAsia="宋体" w:cs="Times New Roman"/>
                <w:color w:val="auto"/>
                <w:sz w:val="21"/>
                <w:lang w:eastAsia="zh-CN"/>
              </w:rPr>
              <w:t>安全环保部</w:t>
            </w:r>
          </w:p>
        </w:tc>
      </w:tr>
      <w:tr w14:paraId="58FE60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0" w:hRule="atLeast"/>
        </w:trPr>
        <w:tc>
          <w:tcPr>
            <w:tcW w:w="468" w:type="dxa"/>
            <w:vMerge w:val="continue"/>
            <w:tcBorders>
              <w:left w:val="single" w:color="auto" w:sz="4" w:space="0"/>
              <w:right w:val="single" w:color="auto" w:sz="4" w:space="0"/>
            </w:tcBorders>
            <w:shd w:val="clear" w:color="auto" w:fill="auto"/>
            <w:noWrap w:val="0"/>
            <w:vAlign w:val="center"/>
          </w:tcPr>
          <w:p w14:paraId="753FFA80">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left w:val="single" w:color="auto" w:sz="4" w:space="0"/>
              <w:right w:val="single" w:color="auto" w:sz="4" w:space="0"/>
            </w:tcBorders>
            <w:shd w:val="clear" w:color="auto" w:fill="auto"/>
            <w:noWrap w:val="0"/>
            <w:vAlign w:val="center"/>
          </w:tcPr>
          <w:p w14:paraId="0733984F">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004D747">
            <w:pPr>
              <w:spacing w:line="240" w:lineRule="auto"/>
              <w:ind w:firstLine="0" w:firstLineChars="0"/>
              <w:jc w:val="center"/>
              <w:rPr>
                <w:rFonts w:hint="eastAsia"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在线监测设施防雷设施不完善</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A7E0CA">
            <w:pPr>
              <w:spacing w:line="240" w:lineRule="auto"/>
              <w:ind w:firstLine="0" w:firstLineChars="0"/>
              <w:jc w:val="center"/>
              <w:rPr>
                <w:rFonts w:hint="eastAsia"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监测设施破坏</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2438AF">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项目、数据缺失</w:t>
            </w:r>
          </w:p>
        </w:tc>
        <w:tc>
          <w:tcPr>
            <w:tcW w:w="2975" w:type="dxa"/>
            <w:vMerge w:val="continue"/>
            <w:tcBorders>
              <w:left w:val="single" w:color="auto" w:sz="4" w:space="0"/>
              <w:right w:val="single" w:color="auto" w:sz="4" w:space="0"/>
            </w:tcBorders>
            <w:shd w:val="clear" w:color="auto" w:fill="auto"/>
            <w:noWrap w:val="0"/>
            <w:vAlign w:val="center"/>
          </w:tcPr>
          <w:p w14:paraId="6ED693FD">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191FC96E">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17E0E6E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785EE44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Ⅲ</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624356F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中度</w:t>
            </w:r>
          </w:p>
          <w:p w14:paraId="423F47EF">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危险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5B3A18B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选厂、尾矿班组</w:t>
            </w:r>
          </w:p>
        </w:tc>
      </w:tr>
      <w:tr w14:paraId="46C472F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0" w:hRule="atLeast"/>
        </w:trPr>
        <w:tc>
          <w:tcPr>
            <w:tcW w:w="468" w:type="dxa"/>
            <w:vMerge w:val="continue"/>
            <w:tcBorders>
              <w:left w:val="single" w:color="auto" w:sz="4" w:space="0"/>
              <w:right w:val="single" w:color="auto" w:sz="4" w:space="0"/>
            </w:tcBorders>
            <w:shd w:val="clear" w:color="auto" w:fill="auto"/>
            <w:noWrap w:val="0"/>
            <w:vAlign w:val="center"/>
          </w:tcPr>
          <w:p w14:paraId="1A06641C">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left w:val="single" w:color="auto" w:sz="4" w:space="0"/>
              <w:right w:val="single" w:color="auto" w:sz="4" w:space="0"/>
            </w:tcBorders>
            <w:shd w:val="clear" w:color="auto" w:fill="auto"/>
            <w:noWrap w:val="0"/>
            <w:vAlign w:val="center"/>
          </w:tcPr>
          <w:p w14:paraId="0BC0FD44">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90EB6FD">
            <w:pPr>
              <w:spacing w:line="240" w:lineRule="auto"/>
              <w:ind w:firstLine="0" w:firstLineChars="0"/>
              <w:jc w:val="center"/>
              <w:rPr>
                <w:rFonts w:hint="eastAsia"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监测设施工作不正常、有故障</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972B0E0">
            <w:pPr>
              <w:spacing w:line="240" w:lineRule="auto"/>
              <w:ind w:firstLine="0" w:firstLineChars="0"/>
              <w:jc w:val="center"/>
              <w:rPr>
                <w:rFonts w:hint="eastAsia"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不能监控尾矿库安全</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EBED1B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项目、数据缺失</w:t>
            </w:r>
          </w:p>
        </w:tc>
        <w:tc>
          <w:tcPr>
            <w:tcW w:w="2975" w:type="dxa"/>
            <w:vMerge w:val="continue"/>
            <w:tcBorders>
              <w:left w:val="single" w:color="auto" w:sz="4" w:space="0"/>
              <w:right w:val="single" w:color="auto" w:sz="4" w:space="0"/>
            </w:tcBorders>
            <w:shd w:val="clear" w:color="auto" w:fill="auto"/>
            <w:noWrap w:val="0"/>
            <w:vAlign w:val="center"/>
          </w:tcPr>
          <w:p w14:paraId="6169D909">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6C486D1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4141079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435A351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Ⅳ</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31C821E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低风险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1A0BADC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选厂、尾矿班组</w:t>
            </w:r>
          </w:p>
        </w:tc>
      </w:tr>
      <w:tr w14:paraId="6A9519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0" w:hRule="atLeast"/>
        </w:trPr>
        <w:tc>
          <w:tcPr>
            <w:tcW w:w="468" w:type="dxa"/>
            <w:vMerge w:val="continue"/>
            <w:tcBorders>
              <w:left w:val="single" w:color="auto" w:sz="4" w:space="0"/>
              <w:bottom w:val="single" w:color="auto" w:sz="4" w:space="0"/>
              <w:right w:val="single" w:color="auto" w:sz="4" w:space="0"/>
            </w:tcBorders>
            <w:shd w:val="clear" w:color="auto" w:fill="auto"/>
            <w:noWrap w:val="0"/>
            <w:vAlign w:val="center"/>
          </w:tcPr>
          <w:p w14:paraId="05F6DE5F">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left w:val="single" w:color="auto" w:sz="4" w:space="0"/>
              <w:bottom w:val="single" w:color="auto" w:sz="4" w:space="0"/>
              <w:right w:val="single" w:color="auto" w:sz="4" w:space="0"/>
            </w:tcBorders>
            <w:shd w:val="clear" w:color="auto" w:fill="auto"/>
            <w:noWrap w:val="0"/>
            <w:vAlign w:val="center"/>
          </w:tcPr>
          <w:p w14:paraId="32F7B175">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E79A5E">
            <w:pPr>
              <w:spacing w:line="240" w:lineRule="auto"/>
              <w:ind w:firstLine="0" w:firstLineChars="0"/>
              <w:jc w:val="center"/>
              <w:rPr>
                <w:rFonts w:hint="eastAsia"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监测设施被破坏</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BFFF106">
            <w:pPr>
              <w:spacing w:line="240" w:lineRule="auto"/>
              <w:ind w:firstLine="0" w:firstLineChars="0"/>
              <w:jc w:val="center"/>
              <w:rPr>
                <w:rFonts w:hint="eastAsia"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无法测量</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6557FB">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项目、数据缺失</w:t>
            </w:r>
          </w:p>
        </w:tc>
        <w:tc>
          <w:tcPr>
            <w:tcW w:w="2975" w:type="dxa"/>
            <w:vMerge w:val="continue"/>
            <w:tcBorders>
              <w:left w:val="single" w:color="auto" w:sz="4" w:space="0"/>
              <w:bottom w:val="single" w:color="auto" w:sz="4" w:space="0"/>
              <w:right w:val="single" w:color="auto" w:sz="4" w:space="0"/>
            </w:tcBorders>
            <w:shd w:val="clear" w:color="auto" w:fill="auto"/>
            <w:noWrap w:val="0"/>
            <w:vAlign w:val="center"/>
          </w:tcPr>
          <w:p w14:paraId="5D3EAF06">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5A15E2F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2B9EDCFC">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1534AEB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Ⅳ</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1F36646F">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低风险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5EFC38D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选厂、尾矿班组</w:t>
            </w:r>
          </w:p>
        </w:tc>
      </w:tr>
      <w:tr w14:paraId="262A18B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0" w:hRule="atLeast"/>
        </w:trPr>
        <w:tc>
          <w:tcPr>
            <w:tcW w:w="468"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1003132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六</w:t>
            </w:r>
          </w:p>
        </w:tc>
        <w:tc>
          <w:tcPr>
            <w:tcW w:w="1080"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3247F41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库区周围作业风险</w:t>
            </w:r>
          </w:p>
        </w:tc>
        <w:tc>
          <w:tcPr>
            <w:tcW w:w="1800"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7A323B5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外来尾矿、废料、废水入库，减小库容</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25EF90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调洪库容不够</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4A063C">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洪水漫顶</w:t>
            </w:r>
          </w:p>
        </w:tc>
        <w:tc>
          <w:tcPr>
            <w:tcW w:w="2975"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0FAFA5A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1.库区保护范围内禁止采选作业；</w:t>
            </w:r>
          </w:p>
          <w:p w14:paraId="441CE389">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2.加强与地方政府沟通，清理无证开采；</w:t>
            </w:r>
          </w:p>
          <w:p w14:paraId="72FC5C7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3.必要时进行监测。</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2D775A2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国内其它</w:t>
            </w:r>
          </w:p>
          <w:p w14:paraId="217B8EF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2A2B2F2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Ⅳ</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1D16ECFA">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低风险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3954016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lang w:eastAsia="zh-CN"/>
              </w:rPr>
              <w:t>安全环保部</w:t>
            </w:r>
            <w:r>
              <w:rPr>
                <w:rFonts w:hint="eastAsia" w:ascii="Times New Roman" w:hAnsi="Times New Roman" w:eastAsia="宋体" w:cs="Times New Roman"/>
                <w:color w:val="auto"/>
                <w:sz w:val="21"/>
              </w:rPr>
              <w:t>、</w:t>
            </w:r>
            <w:r>
              <w:rPr>
                <w:rFonts w:hint="eastAsia" w:ascii="Times New Roman" w:hAnsi="Times New Roman" w:eastAsia="宋体" w:cs="Times New Roman"/>
                <w:color w:val="auto"/>
                <w:sz w:val="21"/>
                <w:lang w:eastAsia="zh-CN"/>
              </w:rPr>
              <w:t>安全环保部</w:t>
            </w:r>
            <w:r>
              <w:rPr>
                <w:rFonts w:hint="eastAsia" w:ascii="Times New Roman" w:hAnsi="Times New Roman" w:eastAsia="宋体" w:cs="Times New Roman"/>
                <w:color w:val="auto"/>
                <w:sz w:val="21"/>
              </w:rPr>
              <w:t>、选厂、尾矿班组</w:t>
            </w:r>
          </w:p>
        </w:tc>
      </w:tr>
      <w:tr w14:paraId="54A545B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0"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0F87BC2D">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3CE1EA39">
            <w:pPr>
              <w:spacing w:line="240" w:lineRule="auto"/>
              <w:ind w:firstLine="0" w:firstLineChars="0"/>
              <w:jc w:val="center"/>
              <w:rPr>
                <w:rFonts w:hint="eastAsia" w:ascii="Times New Roman" w:hAnsi="Times New Roman" w:eastAsia="宋体" w:cs="Times New Roman"/>
                <w:color w:val="auto"/>
                <w:sz w:val="21"/>
              </w:rPr>
            </w:pPr>
          </w:p>
        </w:tc>
        <w:tc>
          <w:tcPr>
            <w:tcW w:w="180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300430FC">
            <w:pPr>
              <w:spacing w:line="240" w:lineRule="auto"/>
              <w:ind w:firstLine="0" w:firstLineChars="0"/>
              <w:jc w:val="center"/>
              <w:rPr>
                <w:rFonts w:hint="eastAsia" w:ascii="Times New Roman" w:hAnsi="Times New Roman" w:eastAsia="宋体" w:cs="Times New Roman"/>
                <w:color w:val="auto"/>
                <w:sz w:val="21"/>
              </w:rPr>
            </w:pP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B9D615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堵塞、破坏排洪系统</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15770C9">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溃坝</w:t>
            </w:r>
          </w:p>
        </w:tc>
        <w:tc>
          <w:tcPr>
            <w:tcW w:w="2975"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14305014">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7012A5E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4641792F">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3ED0F05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Ⅳ</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066BA90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低风险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1A1121F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lang w:eastAsia="zh-CN"/>
              </w:rPr>
              <w:t>安全环保部</w:t>
            </w:r>
            <w:r>
              <w:rPr>
                <w:rFonts w:hint="eastAsia" w:ascii="Times New Roman" w:hAnsi="Times New Roman" w:eastAsia="宋体" w:cs="Times New Roman"/>
                <w:color w:val="auto"/>
                <w:sz w:val="21"/>
              </w:rPr>
              <w:t>、选厂、尾矿班组</w:t>
            </w:r>
          </w:p>
        </w:tc>
      </w:tr>
      <w:tr w14:paraId="4F8A82C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0"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5FED873C">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194C138A">
            <w:pPr>
              <w:spacing w:line="240" w:lineRule="auto"/>
              <w:ind w:firstLine="0" w:firstLineChars="0"/>
              <w:jc w:val="center"/>
              <w:rPr>
                <w:rFonts w:hint="eastAsia" w:ascii="Times New Roman" w:hAnsi="Times New Roman" w:eastAsia="宋体" w:cs="Times New Roman"/>
                <w:color w:val="auto"/>
                <w:sz w:val="21"/>
              </w:rPr>
            </w:pPr>
          </w:p>
        </w:tc>
        <w:tc>
          <w:tcPr>
            <w:tcW w:w="1800"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40BFB35A">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库区采矿、爆破</w:t>
            </w:r>
          </w:p>
          <w:p w14:paraId="1C8C9D8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震动</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176AB0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库区爆破作业</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AB410C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震动液化、溃坝、人员伤亡</w:t>
            </w:r>
          </w:p>
        </w:tc>
        <w:tc>
          <w:tcPr>
            <w:tcW w:w="2975"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4822EA8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1.库区保护范围内禁止爆破作业；</w:t>
            </w:r>
          </w:p>
          <w:p w14:paraId="6B2B2D6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2.经批准的爆破作业应严格控制药量，并采取分段起爆方式，减弱爆破震动效应；</w:t>
            </w:r>
          </w:p>
          <w:p w14:paraId="7D5C6124">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3.必要时进行监测，及时修复遭破坏的尾矿设施。</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2EAB56D9">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国内其它</w:t>
            </w:r>
          </w:p>
          <w:p w14:paraId="4BB8790B">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vMerge w:val="restart"/>
            <w:tcBorders>
              <w:top w:val="single" w:color="auto" w:sz="4" w:space="0"/>
              <w:left w:val="single" w:color="auto" w:sz="4" w:space="0"/>
              <w:bottom w:val="single" w:color="auto" w:sz="4" w:space="0"/>
              <w:right w:val="single" w:color="auto" w:sz="4" w:space="0"/>
            </w:tcBorders>
            <w:shd w:val="clear" w:color="auto" w:fill="0000FF"/>
            <w:noWrap w:val="0"/>
            <w:vAlign w:val="center"/>
          </w:tcPr>
          <w:p w14:paraId="3267763F">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Ⅳ</w:t>
            </w:r>
          </w:p>
        </w:tc>
        <w:tc>
          <w:tcPr>
            <w:tcW w:w="900" w:type="dxa"/>
            <w:vMerge w:val="restart"/>
            <w:tcBorders>
              <w:top w:val="single" w:color="auto" w:sz="4" w:space="0"/>
              <w:left w:val="single" w:color="auto" w:sz="4" w:space="0"/>
              <w:bottom w:val="single" w:color="auto" w:sz="4" w:space="0"/>
              <w:right w:val="single" w:color="auto" w:sz="4" w:space="0"/>
            </w:tcBorders>
            <w:noWrap w:val="0"/>
            <w:vAlign w:val="center"/>
          </w:tcPr>
          <w:p w14:paraId="6153513B">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低风险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3D43978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lang w:eastAsia="zh-CN"/>
              </w:rPr>
              <w:t>安全环保部</w:t>
            </w:r>
            <w:r>
              <w:rPr>
                <w:rFonts w:hint="eastAsia" w:ascii="Times New Roman" w:hAnsi="Times New Roman" w:eastAsia="宋体" w:cs="Times New Roman"/>
                <w:color w:val="auto"/>
                <w:sz w:val="21"/>
              </w:rPr>
              <w:t>、选厂、尾矿班组</w:t>
            </w:r>
          </w:p>
        </w:tc>
      </w:tr>
      <w:tr w14:paraId="44B05F1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0"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323F2B1F">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2E876354">
            <w:pPr>
              <w:spacing w:line="240" w:lineRule="auto"/>
              <w:ind w:firstLine="0" w:firstLineChars="0"/>
              <w:jc w:val="center"/>
              <w:rPr>
                <w:rFonts w:hint="eastAsia" w:ascii="Times New Roman" w:hAnsi="Times New Roman" w:eastAsia="宋体" w:cs="Times New Roman"/>
                <w:color w:val="auto"/>
                <w:sz w:val="21"/>
              </w:rPr>
            </w:pPr>
          </w:p>
        </w:tc>
        <w:tc>
          <w:tcPr>
            <w:tcW w:w="180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383CE2F8">
            <w:pPr>
              <w:spacing w:line="240" w:lineRule="auto"/>
              <w:ind w:firstLine="0" w:firstLineChars="0"/>
              <w:jc w:val="center"/>
              <w:rPr>
                <w:rFonts w:hint="eastAsia" w:ascii="Times New Roman" w:hAnsi="Times New Roman" w:eastAsia="宋体" w:cs="Times New Roman"/>
                <w:color w:val="auto"/>
                <w:sz w:val="21"/>
              </w:rPr>
            </w:pP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603C1E4">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损害坝体和</w:t>
            </w:r>
          </w:p>
          <w:p w14:paraId="52894C1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排洪系统</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F5959B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坝体失稳或排洪系统损坏</w:t>
            </w:r>
          </w:p>
        </w:tc>
        <w:tc>
          <w:tcPr>
            <w:tcW w:w="2975"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2F3EF670">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7AC33C24">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39E2280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vMerge w:val="continue"/>
            <w:tcBorders>
              <w:top w:val="single" w:color="auto" w:sz="4" w:space="0"/>
              <w:left w:val="single" w:color="auto" w:sz="4" w:space="0"/>
              <w:bottom w:val="single" w:color="auto" w:sz="4" w:space="0"/>
              <w:right w:val="single" w:color="auto" w:sz="4" w:space="0"/>
            </w:tcBorders>
            <w:shd w:val="clear" w:color="auto" w:fill="0000FF"/>
            <w:noWrap w:val="0"/>
            <w:vAlign w:val="center"/>
          </w:tcPr>
          <w:p w14:paraId="1903499A">
            <w:pPr>
              <w:spacing w:line="240" w:lineRule="auto"/>
              <w:ind w:firstLine="0" w:firstLineChars="0"/>
              <w:jc w:val="center"/>
              <w:rPr>
                <w:rFonts w:hint="eastAsia" w:ascii="Times New Roman" w:hAnsi="Times New Roman" w:eastAsia="宋体" w:cs="Times New Roman"/>
                <w:color w:val="auto"/>
                <w:sz w:val="21"/>
              </w:rPr>
            </w:pPr>
          </w:p>
        </w:tc>
        <w:tc>
          <w:tcPr>
            <w:tcW w:w="900" w:type="dxa"/>
            <w:vMerge w:val="continue"/>
            <w:tcBorders>
              <w:top w:val="single" w:color="auto" w:sz="4" w:space="0"/>
              <w:left w:val="single" w:color="auto" w:sz="4" w:space="0"/>
              <w:bottom w:val="single" w:color="auto" w:sz="4" w:space="0"/>
              <w:right w:val="single" w:color="auto" w:sz="4" w:space="0"/>
            </w:tcBorders>
            <w:noWrap w:val="0"/>
            <w:vAlign w:val="center"/>
          </w:tcPr>
          <w:p w14:paraId="685D933B">
            <w:pPr>
              <w:spacing w:line="240" w:lineRule="auto"/>
              <w:ind w:firstLine="0" w:firstLineChars="0"/>
              <w:jc w:val="center"/>
              <w:rPr>
                <w:rFonts w:hint="eastAsia" w:ascii="Times New Roman" w:hAnsi="Times New Roman" w:eastAsia="宋体" w:cs="Times New Roman"/>
                <w:color w:val="auto"/>
                <w:sz w:val="21"/>
              </w:rPr>
            </w:pPr>
          </w:p>
        </w:tc>
        <w:tc>
          <w:tcPr>
            <w:tcW w:w="1620" w:type="dxa"/>
            <w:tcBorders>
              <w:top w:val="single" w:color="auto" w:sz="4" w:space="0"/>
              <w:left w:val="single" w:color="auto" w:sz="4" w:space="0"/>
              <w:bottom w:val="single" w:color="auto" w:sz="4" w:space="0"/>
              <w:right w:val="single" w:color="auto" w:sz="4" w:space="0"/>
            </w:tcBorders>
            <w:noWrap w:val="0"/>
            <w:vAlign w:val="top"/>
          </w:tcPr>
          <w:p w14:paraId="2A9360A9">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lang w:eastAsia="zh-CN"/>
              </w:rPr>
              <w:t>安全环保部</w:t>
            </w:r>
            <w:r>
              <w:rPr>
                <w:rFonts w:hint="eastAsia" w:ascii="Times New Roman" w:hAnsi="Times New Roman" w:eastAsia="宋体" w:cs="Times New Roman"/>
                <w:color w:val="auto"/>
                <w:sz w:val="21"/>
              </w:rPr>
              <w:t>、选厂、尾矿班组</w:t>
            </w:r>
          </w:p>
        </w:tc>
      </w:tr>
      <w:tr w14:paraId="1501323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0"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2B12E75A">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7C3890B0">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D0CD57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放牧、砍伐树木</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64F0FCF">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居民活动</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61CAB8A">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造成山体不稳定</w:t>
            </w:r>
          </w:p>
        </w:tc>
        <w:tc>
          <w:tcPr>
            <w:tcW w:w="29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CB6948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禁止砍伐</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4D48D01F">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国内其它</w:t>
            </w:r>
          </w:p>
          <w:p w14:paraId="11AAB7DB">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52EA4F9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Ⅳ</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3DE1920E">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低风险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2287C96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lang w:eastAsia="zh-CN"/>
              </w:rPr>
              <w:t>安全环保部</w:t>
            </w:r>
            <w:r>
              <w:rPr>
                <w:rFonts w:hint="eastAsia" w:ascii="Times New Roman" w:hAnsi="Times New Roman" w:eastAsia="宋体" w:cs="Times New Roman"/>
                <w:color w:val="auto"/>
                <w:sz w:val="21"/>
              </w:rPr>
              <w:t>、选厂、尾矿班组</w:t>
            </w:r>
          </w:p>
        </w:tc>
      </w:tr>
      <w:tr w14:paraId="7D72A0A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0"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34B4E1B5">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01DE5B88">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059D33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淹溺</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E89C6CC">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在库区水域作业；其它人员进入库区水域玩耍。</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8CB2CB">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人员伤亡</w:t>
            </w:r>
          </w:p>
        </w:tc>
        <w:tc>
          <w:tcPr>
            <w:tcW w:w="29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92C4A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1.加强员工安全教育，提高员工安全意识；</w:t>
            </w:r>
          </w:p>
          <w:p w14:paraId="6342555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2.建立安全操作规程；</w:t>
            </w:r>
          </w:p>
          <w:p w14:paraId="67A03B94">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3.树立安全警示牌；</w:t>
            </w:r>
          </w:p>
          <w:p w14:paraId="6562FB14">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4.制止、严禁在库内水域玩耍。</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4C7B337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国内其它</w:t>
            </w:r>
          </w:p>
          <w:p w14:paraId="55EEA31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4666FCF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Ⅳ</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0C88CFE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低风险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2E25384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lang w:eastAsia="zh-CN"/>
              </w:rPr>
              <w:t>安全环保部</w:t>
            </w:r>
            <w:r>
              <w:rPr>
                <w:rFonts w:hint="eastAsia" w:ascii="Times New Roman" w:hAnsi="Times New Roman" w:eastAsia="宋体" w:cs="Times New Roman"/>
                <w:color w:val="auto"/>
                <w:sz w:val="21"/>
              </w:rPr>
              <w:t>、选厂、尾矿班组</w:t>
            </w:r>
          </w:p>
        </w:tc>
      </w:tr>
      <w:tr w14:paraId="651F4BF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0"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32A3C9B4">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4D96069D">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7FECDCE">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火灾</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05E23B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抽烟或野外用火</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B34C8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人员伤亡</w:t>
            </w:r>
          </w:p>
        </w:tc>
        <w:tc>
          <w:tcPr>
            <w:tcW w:w="29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CC79EB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1.加强员工安全教育，提高员工安全意识；</w:t>
            </w:r>
          </w:p>
          <w:p w14:paraId="22998DCF">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2.建立安全操作规程；</w:t>
            </w:r>
          </w:p>
          <w:p w14:paraId="6998E12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3.严禁野外用火。</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64B285C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国内其它</w:t>
            </w:r>
          </w:p>
          <w:p w14:paraId="04A5938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30753B5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Ⅳ</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2DC4A73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低风险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480BB58B">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lang w:eastAsia="zh-CN"/>
              </w:rPr>
              <w:t>安全环保部</w:t>
            </w:r>
            <w:r>
              <w:rPr>
                <w:rFonts w:hint="eastAsia" w:ascii="Times New Roman" w:hAnsi="Times New Roman" w:eastAsia="宋体" w:cs="Times New Roman"/>
                <w:color w:val="auto"/>
                <w:sz w:val="21"/>
              </w:rPr>
              <w:t>、保卫部、选厂、尾矿班组</w:t>
            </w:r>
          </w:p>
        </w:tc>
      </w:tr>
      <w:tr w14:paraId="32EE75D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93"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11239ED4">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434D5D4C">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BBD56A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粉尘</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6253CDA">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尾矿粉尘</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821894">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人身伤害</w:t>
            </w:r>
          </w:p>
        </w:tc>
        <w:tc>
          <w:tcPr>
            <w:tcW w:w="29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AB8AE2F">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1.加强员工职业病危害教育，提高员工防范职业病危害意识；</w:t>
            </w:r>
          </w:p>
          <w:p w14:paraId="4A04063C">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2.穿戴好防护品。</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68C4FB5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国内其它</w:t>
            </w:r>
          </w:p>
          <w:p w14:paraId="30707A64">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00851AEC">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Ⅳ</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65BECE1E">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低风险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58DBB15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lang w:eastAsia="zh-CN"/>
              </w:rPr>
              <w:t>安全环保部</w:t>
            </w:r>
            <w:r>
              <w:rPr>
                <w:rFonts w:hint="eastAsia" w:ascii="Times New Roman" w:hAnsi="Times New Roman" w:eastAsia="宋体" w:cs="Times New Roman"/>
                <w:color w:val="auto"/>
                <w:sz w:val="21"/>
              </w:rPr>
              <w:t>、选厂、尾矿班组</w:t>
            </w:r>
          </w:p>
        </w:tc>
      </w:tr>
      <w:tr w14:paraId="6846D07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0"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2454B0ED">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3BF082D5">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0B834C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动植物伤害</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08DDA2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野外作业</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D1C72A">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人身伤害</w:t>
            </w:r>
          </w:p>
        </w:tc>
        <w:tc>
          <w:tcPr>
            <w:tcW w:w="29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52100F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1.采取相应的防范措施；</w:t>
            </w:r>
          </w:p>
          <w:p w14:paraId="3DE2D1FF">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2.配备相应的药品，以防紧急使用。</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4F1F8A2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国内其它</w:t>
            </w:r>
          </w:p>
          <w:p w14:paraId="2B0D514F">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13636184">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Ⅳ</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6009319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低风险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5A9E449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选厂、尾矿班组</w:t>
            </w:r>
          </w:p>
        </w:tc>
      </w:tr>
      <w:tr w14:paraId="7B95825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0"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74ED9023">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099C8D4F">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B3E43F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山体滑坡、塌方</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B9743A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山体不稳</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B8CB45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缩小库容</w:t>
            </w:r>
          </w:p>
        </w:tc>
        <w:tc>
          <w:tcPr>
            <w:tcW w:w="29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6C1BAB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加强库区山体观察，必要时应对危险地段进行加固。</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73E6D3A9">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国内其它</w:t>
            </w:r>
          </w:p>
          <w:p w14:paraId="78DD107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0D2B5D6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Ⅲ</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3A838F7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中度</w:t>
            </w:r>
          </w:p>
          <w:p w14:paraId="528D6DFE">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26B26F9B">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选厂、尾矿班组</w:t>
            </w:r>
          </w:p>
        </w:tc>
      </w:tr>
      <w:tr w14:paraId="22D8AC5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0"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56215E16">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679AAC6B">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A5FA77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雷击</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F0E936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人员伤亡、火灾</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32FB9A">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人员伤亡、火灾</w:t>
            </w:r>
          </w:p>
        </w:tc>
        <w:tc>
          <w:tcPr>
            <w:tcW w:w="29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99E65E">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1.建（构）筑物设置防雷设施，确保防雷设施有效。</w:t>
            </w:r>
          </w:p>
          <w:p w14:paraId="75D39FB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2.提高员工防雷意识，普及防雷知识。</w:t>
            </w:r>
          </w:p>
          <w:p w14:paraId="580F8E2E">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3.及时提供防雷预警信息。</w:t>
            </w:r>
          </w:p>
          <w:p w14:paraId="12DA5FA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4.雷雨天气，应躲在室内，不得站在空旷处、大树下，不得触摸电气设备等导电体。</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199321A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28F6FCE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w:t>
            </w:r>
          </w:p>
          <w:p w14:paraId="1A32444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发生过</w:t>
            </w:r>
          </w:p>
        </w:tc>
        <w:tc>
          <w:tcPr>
            <w:tcW w:w="72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45537219">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Ⅲ</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34FAADD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中度</w:t>
            </w:r>
          </w:p>
          <w:p w14:paraId="5A7FFCC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391D8449">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lang w:eastAsia="zh-CN"/>
              </w:rPr>
              <w:t>安全环保部</w:t>
            </w:r>
            <w:r>
              <w:rPr>
                <w:rFonts w:hint="eastAsia" w:ascii="Times New Roman" w:hAnsi="Times New Roman" w:eastAsia="宋体" w:cs="Times New Roman"/>
                <w:color w:val="auto"/>
                <w:sz w:val="21"/>
              </w:rPr>
              <w:t>、保卫部、选厂、尾矿班组</w:t>
            </w:r>
          </w:p>
        </w:tc>
      </w:tr>
      <w:tr w14:paraId="48B3DA5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0"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00028ED6">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0829692C">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3B87A54">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地震</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E61ABD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自然现象</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80C64BF">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坝体失稳、</w:t>
            </w:r>
          </w:p>
          <w:p w14:paraId="4FA8013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溃坝</w:t>
            </w:r>
          </w:p>
        </w:tc>
        <w:tc>
          <w:tcPr>
            <w:tcW w:w="29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8B575AC">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设计中应考虑当地的地震等级</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4FB331C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国内其它</w:t>
            </w:r>
          </w:p>
          <w:p w14:paraId="4D3BF3AA">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29365364">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Ⅴ</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2DD4EF9E">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可忽略</w:t>
            </w:r>
          </w:p>
          <w:p w14:paraId="51A73C8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4429099C">
            <w:pPr>
              <w:spacing w:line="240" w:lineRule="auto"/>
              <w:ind w:firstLine="0" w:firstLineChars="0"/>
              <w:jc w:val="center"/>
              <w:rPr>
                <w:rFonts w:hint="eastAsia" w:ascii="Times New Roman" w:hAnsi="Times New Roman" w:eastAsia="宋体" w:cs="Times New Roman"/>
                <w:color w:val="auto"/>
                <w:sz w:val="21"/>
                <w:lang w:eastAsia="zh-CN"/>
              </w:rPr>
            </w:pPr>
            <w:r>
              <w:rPr>
                <w:rFonts w:hint="eastAsia" w:ascii="Times New Roman" w:hAnsi="Times New Roman" w:eastAsia="宋体" w:cs="Times New Roman"/>
                <w:color w:val="auto"/>
                <w:sz w:val="21"/>
                <w:lang w:eastAsia="zh-CN"/>
              </w:rPr>
              <w:t>安全环保部</w:t>
            </w:r>
          </w:p>
        </w:tc>
      </w:tr>
      <w:tr w14:paraId="5C736AF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0"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6AB074BC">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7C796B7D">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884B6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触电</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C0CBB2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雷雨天气时，在坝体上值班、巡查；更换照明灯具或修复供电线路</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3B178E">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人员</w:t>
            </w:r>
          </w:p>
          <w:p w14:paraId="0DF70F8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伤亡</w:t>
            </w:r>
          </w:p>
        </w:tc>
        <w:tc>
          <w:tcPr>
            <w:tcW w:w="3515"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6DF5CBE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1.加强员工安全教育，提高员工安全意识；</w:t>
            </w:r>
          </w:p>
          <w:p w14:paraId="4E5E560C">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2.建立安全操作规程；</w:t>
            </w:r>
          </w:p>
          <w:p w14:paraId="74CF18B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3.尽量避免在雷电时滞留库区；</w:t>
            </w:r>
          </w:p>
          <w:p w14:paraId="0D16495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4.雨天巡视时，要穿戴必要的防护用品。</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7D41D3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国内</w:t>
            </w:r>
          </w:p>
          <w:p w14:paraId="65C075CF">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其它</w:t>
            </w:r>
          </w:p>
          <w:p w14:paraId="2DEF834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w:t>
            </w:r>
          </w:p>
          <w:p w14:paraId="4976962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发生过</w:t>
            </w:r>
          </w:p>
        </w:tc>
        <w:tc>
          <w:tcPr>
            <w:tcW w:w="72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5EF9011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Ⅳ</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59B7D87E">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低风险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5F81C4A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lang w:eastAsia="zh-CN"/>
              </w:rPr>
              <w:t>安全环保部</w:t>
            </w:r>
            <w:r>
              <w:rPr>
                <w:rFonts w:hint="eastAsia" w:ascii="Times New Roman" w:hAnsi="Times New Roman" w:eastAsia="宋体" w:cs="Times New Roman"/>
                <w:color w:val="auto"/>
                <w:sz w:val="21"/>
              </w:rPr>
              <w:t>、选厂、尾矿班组</w:t>
            </w:r>
          </w:p>
        </w:tc>
      </w:tr>
      <w:tr w14:paraId="28C1866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212615E8">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046EB5D1">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1803AAC4">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自然环境因素（如暴雨、冰冻、酷暑）及生产环境</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318E54EE">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摔伤、中暑、冻伤、矽肺等职业危害</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4C2252B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人身伤害或者设备损坏</w:t>
            </w:r>
          </w:p>
        </w:tc>
        <w:tc>
          <w:tcPr>
            <w:tcW w:w="2975"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top"/>
          </w:tcPr>
          <w:p w14:paraId="520FB81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1.库区保护范围内严格按章操作，经过培训等途径提高员工的安全意识，按规程规范要求对尾矿库进行检查；</w:t>
            </w:r>
          </w:p>
          <w:p w14:paraId="0A4B2ADC">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2.逐步改善员工的工作环境，改善道路交通状况，对放矿管线路周围杂草等进行清理。</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5B2539D9">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3A79384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w:t>
            </w:r>
          </w:p>
          <w:p w14:paraId="340D62A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发生过</w:t>
            </w:r>
          </w:p>
        </w:tc>
        <w:tc>
          <w:tcPr>
            <w:tcW w:w="72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13E9C8D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Ⅳ、Ⅴ</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00BD10F4">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低～可忽略</w:t>
            </w:r>
          </w:p>
          <w:p w14:paraId="3823D60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3149BBE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lang w:eastAsia="zh-CN"/>
              </w:rPr>
              <w:t>安全环保部</w:t>
            </w:r>
            <w:r>
              <w:rPr>
                <w:rFonts w:hint="eastAsia" w:ascii="Times New Roman" w:hAnsi="Times New Roman" w:eastAsia="宋体" w:cs="Times New Roman"/>
                <w:color w:val="auto"/>
                <w:sz w:val="21"/>
              </w:rPr>
              <w:t>、选厂、尾矿班组</w:t>
            </w:r>
          </w:p>
        </w:tc>
      </w:tr>
      <w:tr w14:paraId="23D19E3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132FEB51">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1F0FFABB">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137F04">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生产场所以外的活动、装置及相关方活动</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CB6B50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砸伤、压伤等人身伤害、经济设备损失</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9D8C64">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人身伤害或者设备损坏</w:t>
            </w:r>
          </w:p>
        </w:tc>
        <w:tc>
          <w:tcPr>
            <w:tcW w:w="2975"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705FF4FF">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544D0A5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508B81F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w:t>
            </w:r>
          </w:p>
          <w:p w14:paraId="5C31DB0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发生过</w:t>
            </w:r>
          </w:p>
        </w:tc>
        <w:tc>
          <w:tcPr>
            <w:tcW w:w="72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5AFD572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Ⅳ</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6034CB4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低风险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41073C9B">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lang w:eastAsia="zh-CN"/>
              </w:rPr>
              <w:t>安全环保部</w:t>
            </w:r>
            <w:r>
              <w:rPr>
                <w:rFonts w:hint="eastAsia" w:ascii="Times New Roman" w:hAnsi="Times New Roman" w:eastAsia="宋体" w:cs="Times New Roman"/>
                <w:color w:val="auto"/>
                <w:sz w:val="21"/>
              </w:rPr>
              <w:t>、选厂、尾矿班组</w:t>
            </w:r>
          </w:p>
        </w:tc>
      </w:tr>
      <w:tr w14:paraId="2AC75CB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0" w:hRule="atLeast"/>
        </w:trPr>
        <w:tc>
          <w:tcPr>
            <w:tcW w:w="468"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5AD9B94C">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七</w:t>
            </w:r>
          </w:p>
        </w:tc>
        <w:tc>
          <w:tcPr>
            <w:tcW w:w="1080"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3E1C29D9">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次生</w:t>
            </w:r>
          </w:p>
          <w:p w14:paraId="56A71ACE">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风险</w:t>
            </w: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F7B12B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更换设备零件造成的风险等</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33BAF5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人身伤害，设备事故等</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AB0303B">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人身伤害，设备损坏</w:t>
            </w:r>
          </w:p>
        </w:tc>
        <w:tc>
          <w:tcPr>
            <w:tcW w:w="2975"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2946564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1.加强对次生风险的发掘力度，对次生危险要有充分认识；</w:t>
            </w:r>
          </w:p>
          <w:p w14:paraId="4A9EE854">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2.对发现的次生风险进行有效处理，当场能解决的当场解决，不能当场解决的要有充分认识，加强管理，进行商讨，争取尽早解决。</w:t>
            </w:r>
          </w:p>
        </w:tc>
        <w:tc>
          <w:tcPr>
            <w:tcW w:w="1440" w:type="dxa"/>
            <w:gridSpan w:val="2"/>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6E2FE65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5A9B298C">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w:t>
            </w:r>
          </w:p>
          <w:p w14:paraId="10B7D46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发生过</w:t>
            </w:r>
          </w:p>
        </w:tc>
        <w:tc>
          <w:tcPr>
            <w:tcW w:w="720" w:type="dxa"/>
            <w:vMerge w:val="restart"/>
            <w:tcBorders>
              <w:top w:val="single" w:color="auto" w:sz="4" w:space="0"/>
              <w:left w:val="single" w:color="auto" w:sz="4" w:space="0"/>
              <w:bottom w:val="single" w:color="auto" w:sz="4" w:space="0"/>
              <w:right w:val="single" w:color="auto" w:sz="4" w:space="0"/>
            </w:tcBorders>
            <w:shd w:val="clear" w:color="auto" w:fill="0000FF"/>
            <w:noWrap w:val="0"/>
            <w:vAlign w:val="center"/>
          </w:tcPr>
          <w:p w14:paraId="1D894B69">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Ⅴ</w:t>
            </w:r>
          </w:p>
        </w:tc>
        <w:tc>
          <w:tcPr>
            <w:tcW w:w="900" w:type="dxa"/>
            <w:vMerge w:val="restart"/>
            <w:tcBorders>
              <w:top w:val="single" w:color="auto" w:sz="4" w:space="0"/>
              <w:left w:val="single" w:color="auto" w:sz="4" w:space="0"/>
              <w:bottom w:val="single" w:color="auto" w:sz="4" w:space="0"/>
              <w:right w:val="single" w:color="auto" w:sz="4" w:space="0"/>
            </w:tcBorders>
            <w:noWrap w:val="0"/>
            <w:vAlign w:val="center"/>
          </w:tcPr>
          <w:p w14:paraId="3227A3C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可忽略风险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690CCD8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选厂、尾矿班组</w:t>
            </w:r>
          </w:p>
        </w:tc>
      </w:tr>
      <w:tr w14:paraId="7AA8DEC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0"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695048ED">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1061129D">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8AC896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其他次生风险</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EB4474F">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尾矿库未知风险</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83E6D3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未知风险</w:t>
            </w:r>
          </w:p>
        </w:tc>
        <w:tc>
          <w:tcPr>
            <w:tcW w:w="2975"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479597D6">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60D52E9C">
            <w:pPr>
              <w:spacing w:line="240" w:lineRule="auto"/>
              <w:ind w:firstLine="0" w:firstLineChars="0"/>
              <w:jc w:val="center"/>
              <w:rPr>
                <w:rFonts w:hint="eastAsia" w:ascii="Times New Roman" w:hAnsi="Times New Roman" w:eastAsia="宋体" w:cs="Times New Roman"/>
                <w:color w:val="auto"/>
                <w:sz w:val="21"/>
              </w:rPr>
            </w:pPr>
          </w:p>
        </w:tc>
        <w:tc>
          <w:tcPr>
            <w:tcW w:w="720" w:type="dxa"/>
            <w:vMerge w:val="continue"/>
            <w:tcBorders>
              <w:top w:val="single" w:color="auto" w:sz="4" w:space="0"/>
              <w:left w:val="single" w:color="auto" w:sz="4" w:space="0"/>
              <w:bottom w:val="single" w:color="auto" w:sz="4" w:space="0"/>
              <w:right w:val="single" w:color="auto" w:sz="4" w:space="0"/>
            </w:tcBorders>
            <w:shd w:val="clear" w:color="auto" w:fill="0000FF"/>
            <w:noWrap w:val="0"/>
            <w:vAlign w:val="center"/>
          </w:tcPr>
          <w:p w14:paraId="707F9AB9">
            <w:pPr>
              <w:spacing w:line="240" w:lineRule="auto"/>
              <w:ind w:firstLine="0" w:firstLineChars="0"/>
              <w:jc w:val="center"/>
              <w:rPr>
                <w:rFonts w:hint="eastAsia" w:ascii="Times New Roman" w:hAnsi="Times New Roman" w:eastAsia="宋体" w:cs="Times New Roman"/>
                <w:color w:val="auto"/>
                <w:sz w:val="21"/>
              </w:rPr>
            </w:pPr>
          </w:p>
        </w:tc>
        <w:tc>
          <w:tcPr>
            <w:tcW w:w="900" w:type="dxa"/>
            <w:vMerge w:val="continue"/>
            <w:tcBorders>
              <w:top w:val="single" w:color="auto" w:sz="4" w:space="0"/>
              <w:left w:val="single" w:color="auto" w:sz="4" w:space="0"/>
              <w:bottom w:val="single" w:color="auto" w:sz="4" w:space="0"/>
              <w:right w:val="single" w:color="auto" w:sz="4" w:space="0"/>
            </w:tcBorders>
            <w:noWrap w:val="0"/>
            <w:vAlign w:val="center"/>
          </w:tcPr>
          <w:p w14:paraId="6D79BDB9">
            <w:pPr>
              <w:spacing w:line="240" w:lineRule="auto"/>
              <w:ind w:firstLine="0" w:firstLineChars="0"/>
              <w:jc w:val="center"/>
              <w:rPr>
                <w:rFonts w:hint="eastAsia" w:ascii="Times New Roman" w:hAnsi="Times New Roman" w:eastAsia="宋体" w:cs="Times New Roman"/>
                <w:color w:val="auto"/>
                <w:sz w:val="21"/>
              </w:rPr>
            </w:pPr>
          </w:p>
        </w:tc>
        <w:tc>
          <w:tcPr>
            <w:tcW w:w="1620" w:type="dxa"/>
            <w:tcBorders>
              <w:top w:val="single" w:color="auto" w:sz="4" w:space="0"/>
              <w:left w:val="single" w:color="auto" w:sz="4" w:space="0"/>
              <w:bottom w:val="single" w:color="auto" w:sz="4" w:space="0"/>
              <w:right w:val="single" w:color="auto" w:sz="4" w:space="0"/>
            </w:tcBorders>
            <w:noWrap w:val="0"/>
            <w:vAlign w:val="top"/>
          </w:tcPr>
          <w:p w14:paraId="5DFC705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lang w:eastAsia="zh-CN"/>
              </w:rPr>
              <w:t>安全环保部</w:t>
            </w:r>
            <w:r>
              <w:rPr>
                <w:rFonts w:hint="eastAsia" w:ascii="Times New Roman" w:hAnsi="Times New Roman" w:eastAsia="宋体" w:cs="Times New Roman"/>
                <w:color w:val="auto"/>
                <w:sz w:val="21"/>
              </w:rPr>
              <w:t>、选厂</w:t>
            </w:r>
          </w:p>
        </w:tc>
      </w:tr>
      <w:tr w14:paraId="79E3834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0" w:hRule="atLeast"/>
        </w:trPr>
        <w:tc>
          <w:tcPr>
            <w:tcW w:w="468"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5731CAA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八</w:t>
            </w:r>
          </w:p>
        </w:tc>
        <w:tc>
          <w:tcPr>
            <w:tcW w:w="1080"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564DF27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辅助</w:t>
            </w:r>
          </w:p>
          <w:p w14:paraId="73E8814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设施</w:t>
            </w: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B87716B">
            <w:pPr>
              <w:spacing w:line="240" w:lineRule="auto"/>
              <w:ind w:firstLine="0" w:firstLineChars="0"/>
              <w:jc w:val="center"/>
              <w:rPr>
                <w:rFonts w:hint="eastAsia"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应急物资缺失或不齐</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C54D0C0">
            <w:pPr>
              <w:spacing w:line="240" w:lineRule="auto"/>
              <w:ind w:firstLine="0" w:firstLineChars="0"/>
              <w:jc w:val="center"/>
              <w:rPr>
                <w:rFonts w:hint="eastAsia"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救援资源不足</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963425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贻误救援，人员伤亡</w:t>
            </w:r>
          </w:p>
        </w:tc>
        <w:tc>
          <w:tcPr>
            <w:tcW w:w="29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54E63A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1.配齐备足应急物资，并妥善摆放、保管；</w:t>
            </w:r>
          </w:p>
          <w:p w14:paraId="6C9B6CC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2.定期检查、维护应急物资，及时更新、更换；</w:t>
            </w:r>
          </w:p>
          <w:p w14:paraId="65E2AEB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3.建立物资台账，做到帐卡物相符。</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50BC704F">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5257E35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w:t>
            </w:r>
          </w:p>
          <w:p w14:paraId="6274C74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发生过</w:t>
            </w:r>
          </w:p>
        </w:tc>
        <w:tc>
          <w:tcPr>
            <w:tcW w:w="720"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3EE9905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Ⅱ</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62F91F0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高度</w:t>
            </w:r>
          </w:p>
          <w:p w14:paraId="02B2371E">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0345BE7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lang w:eastAsia="zh-CN"/>
              </w:rPr>
              <w:t>安全环保部</w:t>
            </w:r>
            <w:r>
              <w:rPr>
                <w:rFonts w:hint="eastAsia" w:ascii="Times New Roman" w:hAnsi="Times New Roman" w:eastAsia="宋体" w:cs="Times New Roman"/>
                <w:color w:val="auto"/>
                <w:sz w:val="21"/>
              </w:rPr>
              <w:t>、选厂</w:t>
            </w:r>
          </w:p>
        </w:tc>
      </w:tr>
      <w:tr w14:paraId="218B9D8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0"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51CDF284">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0148C3E1">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BDFA0C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尾矿库附属设施（如照明灯、警示灯等）故障</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034F2A4">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人身伤害，设备事故等</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789E0C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人身伤害，设备损坏</w:t>
            </w:r>
          </w:p>
        </w:tc>
        <w:tc>
          <w:tcPr>
            <w:tcW w:w="2975"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5BBBE3DA">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1.加强对尾矿库的日常管理，尾矿库员工严格按章操作，熟悉操作规程，加强安全意识；</w:t>
            </w:r>
          </w:p>
          <w:p w14:paraId="1830479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2.加强对尾矿库巡查，对尾矿库设备设施进行日常监护、维修，对不合格设备进行更换，改善尾矿库运行环境；</w:t>
            </w:r>
          </w:p>
          <w:p w14:paraId="7CFBF30B">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3.配齐备足应急物资，并妥善保管；</w:t>
            </w:r>
          </w:p>
          <w:p w14:paraId="7F53923F">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4.修复上坝道路，设置安全标志；</w:t>
            </w:r>
          </w:p>
          <w:p w14:paraId="7EBA4EF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5.坝顶、上坝道路、排水构筑物等处设照明设施，并确保有效照度；</w:t>
            </w:r>
          </w:p>
          <w:p w14:paraId="0911465C">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6.设固定电话，或配移动手机，确保信号畅通；</w:t>
            </w:r>
          </w:p>
          <w:p w14:paraId="512F990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7.检查维护好上坝道路、库房、照明设施、安全标志、通讯设施；</w:t>
            </w:r>
          </w:p>
          <w:p w14:paraId="67843FB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8.选择在高处建库房；</w:t>
            </w:r>
          </w:p>
          <w:p w14:paraId="1BD3300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9.加强驾驶员安全意识培训，提高驾驶员操作技能；</w:t>
            </w:r>
          </w:p>
          <w:p w14:paraId="01D73D3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10.保证尾矿库投入的足额提取，专款专用及投入的有效性，加强对尾矿库投入的管理。</w:t>
            </w: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191BC5D9">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15C442FB">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397C699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Ⅴ</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0B1E130F">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可忽略</w:t>
            </w:r>
          </w:p>
          <w:p w14:paraId="202BC06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22AC4E94">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选厂、尾矿班组</w:t>
            </w:r>
          </w:p>
        </w:tc>
      </w:tr>
      <w:tr w14:paraId="220872D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0"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52FDA33B">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438F23E3">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AFA1F6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尾矿库排洪系统设施（如排水井、拱板等）故障</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3D7C77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人身伤害，设备事故，尾矿泄漏等</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C4D4CF">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人身伤害，设备损坏，尾矿泄漏等</w:t>
            </w:r>
          </w:p>
        </w:tc>
        <w:tc>
          <w:tcPr>
            <w:tcW w:w="2975"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1D28E62C">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50690A0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5D26383C">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7558299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Ⅲ</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11A512C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中度</w:t>
            </w:r>
          </w:p>
          <w:p w14:paraId="3B0F9D7F">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2608ECC9">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lang w:eastAsia="zh-CN"/>
              </w:rPr>
              <w:t>安全环保部</w:t>
            </w:r>
            <w:r>
              <w:rPr>
                <w:rFonts w:hint="eastAsia" w:ascii="Times New Roman" w:hAnsi="Times New Roman" w:eastAsia="宋体" w:cs="Times New Roman"/>
                <w:color w:val="auto"/>
                <w:sz w:val="21"/>
              </w:rPr>
              <w:t>、选厂、尾矿班组</w:t>
            </w:r>
          </w:p>
        </w:tc>
      </w:tr>
      <w:tr w14:paraId="0174484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0"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4DD173F7">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198FD07B">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4EC5AB">
            <w:pPr>
              <w:spacing w:line="240" w:lineRule="auto"/>
              <w:ind w:firstLine="0" w:firstLineChars="0"/>
              <w:jc w:val="center"/>
              <w:rPr>
                <w:rFonts w:hint="eastAsia"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道路宽度、坡度、路面不符合要求</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AD914A5">
            <w:pPr>
              <w:spacing w:line="240" w:lineRule="auto"/>
              <w:ind w:firstLine="0" w:firstLineChars="0"/>
              <w:jc w:val="center"/>
              <w:rPr>
                <w:rFonts w:hint="eastAsia"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车辆伤害</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7A4CB4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人员伤亡</w:t>
            </w:r>
          </w:p>
        </w:tc>
        <w:tc>
          <w:tcPr>
            <w:tcW w:w="2975"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0D689476">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18A8B79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5A7698E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3EE9711F">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Ⅲ</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67DE804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中度</w:t>
            </w:r>
          </w:p>
          <w:p w14:paraId="1F32D1C4">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0CAE43B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lang w:eastAsia="zh-CN"/>
              </w:rPr>
              <w:t>安全环保部</w:t>
            </w:r>
            <w:r>
              <w:rPr>
                <w:rFonts w:hint="eastAsia" w:ascii="Times New Roman" w:hAnsi="Times New Roman" w:eastAsia="宋体" w:cs="Times New Roman"/>
                <w:color w:val="auto"/>
                <w:sz w:val="21"/>
              </w:rPr>
              <w:t>、选厂</w:t>
            </w:r>
          </w:p>
        </w:tc>
      </w:tr>
      <w:tr w14:paraId="61586AA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0"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7CEF3A7E">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79AB8462">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35F7861">
            <w:pPr>
              <w:spacing w:line="240" w:lineRule="auto"/>
              <w:ind w:firstLine="0" w:firstLineChars="0"/>
              <w:jc w:val="center"/>
              <w:rPr>
                <w:rFonts w:hint="eastAsia"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道路陡峭和关键部位无安全护栏、安全标志</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8A22F86">
            <w:pPr>
              <w:spacing w:line="240" w:lineRule="auto"/>
              <w:ind w:firstLine="0" w:firstLineChars="0"/>
              <w:jc w:val="center"/>
              <w:rPr>
                <w:rFonts w:hint="eastAsia"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高处坠落</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3CDC539">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人员伤亡</w:t>
            </w:r>
          </w:p>
        </w:tc>
        <w:tc>
          <w:tcPr>
            <w:tcW w:w="2975"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6101B81F">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468821EB">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3A467DA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4741C15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Ⅲ</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60E4F58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中度</w:t>
            </w:r>
          </w:p>
          <w:p w14:paraId="00B63B0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52B9F7C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lang w:eastAsia="zh-CN"/>
              </w:rPr>
              <w:t>安全环保部</w:t>
            </w:r>
            <w:r>
              <w:rPr>
                <w:rFonts w:hint="eastAsia" w:ascii="Times New Roman" w:hAnsi="Times New Roman" w:eastAsia="宋体" w:cs="Times New Roman"/>
                <w:color w:val="auto"/>
                <w:sz w:val="21"/>
              </w:rPr>
              <w:t>、选厂</w:t>
            </w:r>
          </w:p>
        </w:tc>
      </w:tr>
      <w:tr w14:paraId="0558EC5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0"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6FF34EA0">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3BC1F8BA">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E0ECBF">
            <w:pPr>
              <w:spacing w:line="240" w:lineRule="auto"/>
              <w:ind w:firstLine="0" w:firstLineChars="0"/>
              <w:jc w:val="center"/>
              <w:rPr>
                <w:rFonts w:hint="eastAsia"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挖掘机、车辆行驶中刹车失灵</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2544C30">
            <w:pPr>
              <w:spacing w:line="240" w:lineRule="auto"/>
              <w:ind w:firstLine="0" w:firstLineChars="0"/>
              <w:jc w:val="center"/>
              <w:rPr>
                <w:rFonts w:hint="eastAsia"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机械伤害、车辆伤害</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45B69BE">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人员伤亡</w:t>
            </w:r>
          </w:p>
        </w:tc>
        <w:tc>
          <w:tcPr>
            <w:tcW w:w="2975"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588CCFC5">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202F170B">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4F5A7CCC">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10F26EA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Ⅲ</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06914E04">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中度</w:t>
            </w:r>
          </w:p>
          <w:p w14:paraId="3E090BC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5E43AAC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选厂、尾矿班组</w:t>
            </w:r>
          </w:p>
        </w:tc>
      </w:tr>
      <w:tr w14:paraId="1BBE04E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0"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362C66E8">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31C2B958">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556B76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使用工具（如铲子等）故障。</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AC6AACE">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人身伤害，设备事故，</w:t>
            </w:r>
          </w:p>
          <w:p w14:paraId="3826F6B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职业危害</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40A20E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人身伤害，设备损坏</w:t>
            </w:r>
          </w:p>
        </w:tc>
        <w:tc>
          <w:tcPr>
            <w:tcW w:w="2975"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7654CA1A">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5A1A834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47A9C20F">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38923179">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Ⅴ</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00A6F11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可忽略</w:t>
            </w:r>
          </w:p>
          <w:p w14:paraId="182301AB">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3752305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选厂、尾矿班组</w:t>
            </w:r>
          </w:p>
        </w:tc>
      </w:tr>
      <w:tr w14:paraId="2C9EE5C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0"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27B970E2">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6A6419BB">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E48BC9">
            <w:pPr>
              <w:spacing w:line="240" w:lineRule="auto"/>
              <w:ind w:firstLine="0" w:firstLineChars="0"/>
              <w:jc w:val="center"/>
              <w:rPr>
                <w:rFonts w:hint="eastAsia"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道路、坝体、滩面、排水井、其他地段照明不足</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891B482">
            <w:pPr>
              <w:spacing w:line="240" w:lineRule="auto"/>
              <w:ind w:firstLine="0" w:firstLineChars="0"/>
              <w:jc w:val="center"/>
              <w:rPr>
                <w:rFonts w:hint="eastAsia"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可能造成夜间巡查不畅或高处坠落</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7681FC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人身伤害</w:t>
            </w:r>
          </w:p>
        </w:tc>
        <w:tc>
          <w:tcPr>
            <w:tcW w:w="2975"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6115F903">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7F9FE2C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4D3F6A0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0B5E8F8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Ⅳ</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7C1E8B79">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低风险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7901F73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选厂、尾矿班组</w:t>
            </w:r>
          </w:p>
        </w:tc>
      </w:tr>
      <w:tr w14:paraId="54A6409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0"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30BB444F">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0D685EE0">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29C5B60">
            <w:pPr>
              <w:spacing w:line="240" w:lineRule="auto"/>
              <w:ind w:firstLine="0" w:firstLineChars="0"/>
              <w:jc w:val="center"/>
              <w:rPr>
                <w:rFonts w:hint="eastAsia"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值班房、应急物资库、电气设备失火</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AE3A67">
            <w:pPr>
              <w:spacing w:line="240" w:lineRule="auto"/>
              <w:ind w:firstLine="0" w:firstLineChars="0"/>
              <w:jc w:val="center"/>
              <w:rPr>
                <w:rFonts w:hint="eastAsia"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火灾</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C587FD9">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人员伤亡，设备损坏</w:t>
            </w:r>
          </w:p>
        </w:tc>
        <w:tc>
          <w:tcPr>
            <w:tcW w:w="2975"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1FBAD638">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00B272BE">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45F84A8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5599AF1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Ⅳ</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63E286B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低风险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196CFB39">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保卫部、选厂、尾矿班组</w:t>
            </w:r>
          </w:p>
        </w:tc>
      </w:tr>
      <w:tr w14:paraId="5710779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0"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7CE831C8">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2DF8B12C">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27ECB8D">
            <w:pPr>
              <w:spacing w:line="240" w:lineRule="auto"/>
              <w:ind w:firstLine="0" w:firstLineChars="0"/>
              <w:jc w:val="center"/>
              <w:rPr>
                <w:rFonts w:hint="eastAsia"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安全标志、避灾线路标识缺失或不齐</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620848B">
            <w:pPr>
              <w:spacing w:line="240" w:lineRule="auto"/>
              <w:ind w:firstLine="0" w:firstLineChars="0"/>
              <w:jc w:val="center"/>
              <w:rPr>
                <w:rFonts w:hint="eastAsia"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无法预知安全风险</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F305A91">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造成意外伤害</w:t>
            </w:r>
          </w:p>
        </w:tc>
        <w:tc>
          <w:tcPr>
            <w:tcW w:w="2975"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62E24021">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66C4DE8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68870BA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7EA74EC4">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Ⅳ</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61F33D8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低风险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2137706B">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选厂、尾矿班组</w:t>
            </w:r>
          </w:p>
        </w:tc>
      </w:tr>
      <w:tr w14:paraId="15FFB36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0" w:hRule="atLeast"/>
        </w:trPr>
        <w:tc>
          <w:tcPr>
            <w:tcW w:w="468" w:type="dxa"/>
            <w:vMerge w:val="continue"/>
            <w:tcBorders>
              <w:left w:val="single" w:color="auto" w:sz="4" w:space="0"/>
              <w:right w:val="single" w:color="auto" w:sz="4" w:space="0"/>
            </w:tcBorders>
            <w:shd w:val="clear" w:color="auto" w:fill="auto"/>
            <w:noWrap w:val="0"/>
            <w:vAlign w:val="center"/>
          </w:tcPr>
          <w:p w14:paraId="7F8D1247">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left w:val="single" w:color="auto" w:sz="4" w:space="0"/>
              <w:right w:val="single" w:color="auto" w:sz="4" w:space="0"/>
            </w:tcBorders>
            <w:shd w:val="clear" w:color="auto" w:fill="auto"/>
            <w:noWrap w:val="0"/>
            <w:vAlign w:val="center"/>
          </w:tcPr>
          <w:p w14:paraId="4ABAB90F">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EDAADDD">
            <w:pPr>
              <w:spacing w:line="240" w:lineRule="auto"/>
              <w:ind w:firstLine="0" w:firstLineChars="0"/>
              <w:jc w:val="center"/>
              <w:rPr>
                <w:rFonts w:hint="eastAsia"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库房受洪水冲击，或大雪压垮</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054616F">
            <w:pPr>
              <w:spacing w:line="240" w:lineRule="auto"/>
              <w:ind w:firstLine="0" w:firstLineChars="0"/>
              <w:jc w:val="center"/>
              <w:rPr>
                <w:rFonts w:hint="eastAsia"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垮塌</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E0CB8E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人员伤亡</w:t>
            </w:r>
          </w:p>
        </w:tc>
        <w:tc>
          <w:tcPr>
            <w:tcW w:w="2975" w:type="dxa"/>
            <w:vMerge w:val="continue"/>
            <w:tcBorders>
              <w:top w:val="single" w:color="auto" w:sz="4" w:space="0"/>
              <w:left w:val="single" w:color="auto" w:sz="4" w:space="0"/>
              <w:right w:val="single" w:color="auto" w:sz="4" w:space="0"/>
            </w:tcBorders>
            <w:shd w:val="clear" w:color="auto" w:fill="auto"/>
            <w:noWrap w:val="0"/>
            <w:vAlign w:val="center"/>
          </w:tcPr>
          <w:p w14:paraId="025BCBDF">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694DBE04">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33A0A17F">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281B044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Ⅳ</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181FEEBA">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低风险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2B29FB9B">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选厂</w:t>
            </w:r>
          </w:p>
        </w:tc>
      </w:tr>
      <w:tr w14:paraId="18DF0EE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0" w:hRule="atLeast"/>
        </w:trPr>
        <w:tc>
          <w:tcPr>
            <w:tcW w:w="468" w:type="dxa"/>
            <w:vMerge w:val="continue"/>
            <w:tcBorders>
              <w:left w:val="single" w:color="auto" w:sz="4" w:space="0"/>
              <w:bottom w:val="single" w:color="auto" w:sz="4" w:space="0"/>
              <w:right w:val="single" w:color="auto" w:sz="4" w:space="0"/>
            </w:tcBorders>
            <w:shd w:val="clear" w:color="auto" w:fill="auto"/>
            <w:noWrap w:val="0"/>
            <w:vAlign w:val="center"/>
          </w:tcPr>
          <w:p w14:paraId="6DBA8587">
            <w:pPr>
              <w:spacing w:line="240" w:lineRule="auto"/>
              <w:ind w:firstLine="0" w:firstLineChars="0"/>
              <w:jc w:val="center"/>
              <w:rPr>
                <w:rFonts w:hint="eastAsia" w:ascii="Times New Roman" w:hAnsi="Times New Roman" w:eastAsia="宋体" w:cs="Times New Roman"/>
                <w:color w:val="auto"/>
                <w:sz w:val="21"/>
              </w:rPr>
            </w:pPr>
          </w:p>
        </w:tc>
        <w:tc>
          <w:tcPr>
            <w:tcW w:w="1080" w:type="dxa"/>
            <w:vMerge w:val="continue"/>
            <w:tcBorders>
              <w:left w:val="single" w:color="auto" w:sz="4" w:space="0"/>
              <w:bottom w:val="single" w:color="auto" w:sz="4" w:space="0"/>
              <w:right w:val="single" w:color="auto" w:sz="4" w:space="0"/>
            </w:tcBorders>
            <w:shd w:val="clear" w:color="auto" w:fill="auto"/>
            <w:noWrap w:val="0"/>
            <w:vAlign w:val="center"/>
          </w:tcPr>
          <w:p w14:paraId="1848A3F4">
            <w:pPr>
              <w:spacing w:line="240" w:lineRule="auto"/>
              <w:ind w:firstLine="0" w:firstLineChars="0"/>
              <w:jc w:val="center"/>
              <w:rPr>
                <w:rFonts w:hint="eastAsia" w:ascii="Times New Roman" w:hAnsi="Times New Roman" w:eastAsia="宋体" w:cs="Times New Roman"/>
                <w:color w:val="auto"/>
                <w:sz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E84677E">
            <w:pPr>
              <w:spacing w:line="240" w:lineRule="auto"/>
              <w:ind w:firstLine="0" w:firstLineChars="0"/>
              <w:jc w:val="center"/>
              <w:rPr>
                <w:rFonts w:hint="eastAsia"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未配备通讯设备，或通讯设备维护不当，无法使用</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7DC1320">
            <w:pPr>
              <w:spacing w:line="240" w:lineRule="auto"/>
              <w:ind w:firstLine="0" w:firstLineChars="0"/>
              <w:jc w:val="center"/>
              <w:rPr>
                <w:rFonts w:hint="eastAsia"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预警不及时</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00AA19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无法及时处理现场情况</w:t>
            </w:r>
          </w:p>
        </w:tc>
        <w:tc>
          <w:tcPr>
            <w:tcW w:w="2975" w:type="dxa"/>
            <w:vMerge w:val="continue"/>
            <w:tcBorders>
              <w:left w:val="single" w:color="auto" w:sz="4" w:space="0"/>
              <w:bottom w:val="single" w:color="auto" w:sz="4" w:space="0"/>
              <w:right w:val="single" w:color="auto" w:sz="4" w:space="0"/>
            </w:tcBorders>
            <w:shd w:val="clear" w:color="auto" w:fill="auto"/>
            <w:noWrap w:val="0"/>
            <w:vAlign w:val="center"/>
          </w:tcPr>
          <w:p w14:paraId="2EB55B51">
            <w:pPr>
              <w:spacing w:line="240" w:lineRule="auto"/>
              <w:ind w:firstLine="0" w:firstLineChars="0"/>
              <w:jc w:val="center"/>
              <w:rPr>
                <w:rFonts w:hint="eastAsia" w:ascii="Times New Roman" w:hAnsi="Times New Roman" w:eastAsia="宋体" w:cs="Times New Roman"/>
                <w:color w:val="auto"/>
                <w:sz w:val="21"/>
              </w:rPr>
            </w:pPr>
          </w:p>
        </w:tc>
        <w:tc>
          <w:tcPr>
            <w:tcW w:w="1440"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2CD27E8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省内其它</w:t>
            </w:r>
          </w:p>
          <w:p w14:paraId="72646CB5">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矿山发生过</w:t>
            </w:r>
          </w:p>
        </w:tc>
        <w:tc>
          <w:tcPr>
            <w:tcW w:w="72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5F89B887">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Ⅳ</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1A61D14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低风险</w:t>
            </w:r>
          </w:p>
        </w:tc>
        <w:tc>
          <w:tcPr>
            <w:tcW w:w="1620" w:type="dxa"/>
            <w:tcBorders>
              <w:top w:val="single" w:color="auto" w:sz="4" w:space="0"/>
              <w:left w:val="single" w:color="auto" w:sz="4" w:space="0"/>
              <w:bottom w:val="single" w:color="auto" w:sz="4" w:space="0"/>
              <w:right w:val="single" w:color="auto" w:sz="4" w:space="0"/>
            </w:tcBorders>
            <w:noWrap w:val="0"/>
            <w:vAlign w:val="top"/>
          </w:tcPr>
          <w:p w14:paraId="6580BFCC">
            <w:pPr>
              <w:spacing w:line="240" w:lineRule="auto"/>
              <w:ind w:firstLine="0" w:firstLineChars="0"/>
              <w:jc w:val="center"/>
              <w:rPr>
                <w:rFonts w:hint="eastAsia" w:ascii="Times New Roman" w:hAnsi="Times New Roman" w:eastAsia="宋体" w:cs="Times New Roman"/>
                <w:color w:val="auto"/>
                <w:sz w:val="21"/>
                <w:lang w:eastAsia="zh-CN"/>
              </w:rPr>
            </w:pPr>
            <w:r>
              <w:rPr>
                <w:rFonts w:hint="eastAsia" w:ascii="Times New Roman" w:hAnsi="Times New Roman" w:eastAsia="宋体" w:cs="Times New Roman"/>
                <w:color w:val="auto"/>
                <w:sz w:val="21"/>
              </w:rPr>
              <w:t>办公室、</w:t>
            </w:r>
            <w:r>
              <w:rPr>
                <w:rFonts w:hint="eastAsia" w:ascii="Times New Roman" w:hAnsi="Times New Roman" w:eastAsia="宋体" w:cs="Times New Roman"/>
                <w:color w:val="auto"/>
                <w:sz w:val="21"/>
                <w:lang w:eastAsia="zh-CN"/>
              </w:rPr>
              <w:t>安全环保部</w:t>
            </w:r>
          </w:p>
        </w:tc>
      </w:tr>
      <w:tr w14:paraId="0FC78B3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0" w:hRule="atLeast"/>
        </w:trPr>
        <w:tc>
          <w:tcPr>
            <w:tcW w:w="468"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4D3D1C3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九</w:t>
            </w:r>
          </w:p>
        </w:tc>
        <w:tc>
          <w:tcPr>
            <w:tcW w:w="1080"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7500CEAF">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相关方的活动</w:t>
            </w: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FC36CA4">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承包商活动</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1DFF2F3">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人身伤害，设备事故，工程质量不达标等</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EEF4F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人身伤害，设备设施损坏等</w:t>
            </w:r>
          </w:p>
        </w:tc>
        <w:tc>
          <w:tcPr>
            <w:tcW w:w="2975"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53B4587A">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1.加强承包商的管理，安排人员对承包商进行监管，对工程进行审核，对作业过程进行检查。</w:t>
            </w:r>
          </w:p>
          <w:p w14:paraId="5CCC35E6">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2.架设警示牌，禁止无关人员进入尾矿库管理区，禁止车辆驶入坝面，加强尾矿库的管理。</w:t>
            </w:r>
          </w:p>
        </w:tc>
        <w:tc>
          <w:tcPr>
            <w:tcW w:w="1440" w:type="dxa"/>
            <w:gridSpan w:val="2"/>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611BB14C">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省内其他</w:t>
            </w:r>
          </w:p>
          <w:p w14:paraId="7FF5A7E8">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矿山曾经</w:t>
            </w:r>
          </w:p>
          <w:p w14:paraId="7BB8B9DD">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发生过</w:t>
            </w:r>
          </w:p>
        </w:tc>
        <w:tc>
          <w:tcPr>
            <w:tcW w:w="720" w:type="dxa"/>
            <w:vMerge w:val="restart"/>
            <w:tcBorders>
              <w:top w:val="single" w:color="auto" w:sz="4" w:space="0"/>
              <w:left w:val="single" w:color="auto" w:sz="4" w:space="0"/>
              <w:bottom w:val="single" w:color="auto" w:sz="4" w:space="0"/>
              <w:right w:val="single" w:color="auto" w:sz="4" w:space="0"/>
            </w:tcBorders>
            <w:shd w:val="clear" w:color="auto" w:fill="0000FF"/>
            <w:noWrap w:val="0"/>
            <w:vAlign w:val="center"/>
          </w:tcPr>
          <w:p w14:paraId="65B86282">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Ⅳ</w:t>
            </w:r>
          </w:p>
        </w:tc>
        <w:tc>
          <w:tcPr>
            <w:tcW w:w="900" w:type="dxa"/>
            <w:vMerge w:val="restart"/>
            <w:tcBorders>
              <w:top w:val="single" w:color="auto" w:sz="4" w:space="0"/>
              <w:left w:val="single" w:color="auto" w:sz="4" w:space="0"/>
              <w:bottom w:val="single" w:color="auto" w:sz="4" w:space="0"/>
              <w:right w:val="single" w:color="auto" w:sz="4" w:space="0"/>
            </w:tcBorders>
            <w:noWrap w:val="0"/>
            <w:vAlign w:val="center"/>
          </w:tcPr>
          <w:p w14:paraId="53ACF9D0">
            <w:pPr>
              <w:spacing w:line="240" w:lineRule="auto"/>
              <w:ind w:firstLine="0" w:firstLineChars="0"/>
              <w:jc w:val="center"/>
              <w:rPr>
                <w:rFonts w:hint="eastAsia" w:ascii="Times New Roman" w:hAnsi="Times New Roman" w:eastAsia="宋体" w:cs="Times New Roman"/>
                <w:color w:val="auto"/>
                <w:sz w:val="21"/>
              </w:rPr>
            </w:pPr>
            <w:r>
              <w:rPr>
                <w:rFonts w:hint="eastAsia" w:ascii="Times New Roman" w:hAnsi="Times New Roman" w:eastAsia="宋体" w:cs="Times New Roman"/>
                <w:color w:val="auto"/>
                <w:sz w:val="21"/>
              </w:rPr>
              <w:t>低风险</w:t>
            </w:r>
          </w:p>
        </w:tc>
        <w:tc>
          <w:tcPr>
            <w:tcW w:w="1620" w:type="dxa"/>
            <w:vMerge w:val="restart"/>
            <w:tcBorders>
              <w:top w:val="single" w:color="auto" w:sz="4" w:space="0"/>
              <w:left w:val="single" w:color="auto" w:sz="4" w:space="0"/>
              <w:right w:val="single" w:color="auto" w:sz="4" w:space="0"/>
            </w:tcBorders>
            <w:noWrap w:val="0"/>
            <w:vAlign w:val="top"/>
          </w:tcPr>
          <w:p w14:paraId="197E1688">
            <w:pPr>
              <w:spacing w:line="240" w:lineRule="auto"/>
              <w:ind w:firstLine="0" w:firstLineChars="0"/>
              <w:jc w:val="center"/>
              <w:rPr>
                <w:rFonts w:hint="eastAsia" w:ascii="Times New Roman" w:hAnsi="Times New Roman" w:eastAsia="宋体" w:cs="Times New Roman"/>
                <w:color w:val="auto"/>
                <w:sz w:val="21"/>
                <w:lang w:eastAsia="zh-CN"/>
              </w:rPr>
            </w:pPr>
            <w:r>
              <w:rPr>
                <w:rFonts w:hint="eastAsia" w:ascii="Times New Roman" w:hAnsi="Times New Roman" w:eastAsia="宋体" w:cs="Times New Roman"/>
                <w:color w:val="auto"/>
                <w:sz w:val="21"/>
              </w:rPr>
              <w:t>公司、</w:t>
            </w:r>
            <w:r>
              <w:rPr>
                <w:rFonts w:hint="eastAsia" w:ascii="Times New Roman" w:hAnsi="Times New Roman" w:eastAsia="宋体" w:cs="Times New Roman"/>
                <w:color w:val="auto"/>
                <w:sz w:val="21"/>
                <w:lang w:eastAsia="zh-CN"/>
              </w:rPr>
              <w:t>安全环保部</w:t>
            </w:r>
          </w:p>
        </w:tc>
      </w:tr>
      <w:tr w14:paraId="2CC49C8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0" w:hRule="atLeast"/>
        </w:trPr>
        <w:tc>
          <w:tcPr>
            <w:tcW w:w="4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7C84BB7F">
            <w:pPr>
              <w:spacing w:before="156" w:beforeLines="50" w:line="240" w:lineRule="auto"/>
              <w:ind w:firstLine="0" w:firstLineChars="0"/>
              <w:jc w:val="center"/>
              <w:rPr>
                <w:rFonts w:hint="eastAsia" w:ascii="宋体" w:hAnsi="宋体" w:eastAsia="宋体" w:cs="Times New Roman"/>
                <w:color w:val="auto"/>
                <w:sz w:val="21"/>
                <w:szCs w:val="21"/>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548F40D2">
            <w:pPr>
              <w:spacing w:before="156" w:beforeLines="50" w:line="240" w:lineRule="auto"/>
              <w:ind w:firstLine="0" w:firstLineChars="0"/>
              <w:jc w:val="center"/>
              <w:rPr>
                <w:rFonts w:hint="eastAsia" w:ascii="宋体" w:hAnsi="宋体" w:eastAsia="宋体" w:cs="Times New Roman"/>
                <w:color w:val="auto"/>
                <w:sz w:val="21"/>
                <w:szCs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2F6892C">
            <w:pPr>
              <w:spacing w:line="300" w:lineRule="exact"/>
              <w:ind w:firstLine="0" w:firstLineChars="0"/>
              <w:jc w:val="center"/>
              <w:rPr>
                <w:rFonts w:hint="eastAsia" w:ascii="宋体" w:hAnsi="宋体" w:eastAsia="宋体" w:cs="Times New Roman"/>
                <w:bCs/>
                <w:color w:val="auto"/>
                <w:sz w:val="21"/>
                <w:szCs w:val="28"/>
              </w:rPr>
            </w:pPr>
            <w:r>
              <w:rPr>
                <w:rFonts w:hint="eastAsia" w:ascii="宋体" w:hAnsi="宋体" w:eastAsia="宋体" w:cs="Times New Roman"/>
                <w:bCs/>
                <w:color w:val="auto"/>
                <w:sz w:val="21"/>
                <w:szCs w:val="28"/>
              </w:rPr>
              <w:t>周围居民的违规进入，非法作业等</w:t>
            </w:r>
          </w:p>
        </w:tc>
        <w:tc>
          <w:tcPr>
            <w:tcW w:w="1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70391C1">
            <w:pPr>
              <w:spacing w:line="300" w:lineRule="exact"/>
              <w:ind w:firstLine="0" w:firstLineChars="0"/>
              <w:jc w:val="center"/>
              <w:rPr>
                <w:rFonts w:hint="eastAsia" w:ascii="宋体" w:hAnsi="宋体" w:eastAsia="宋体" w:cs="Times New Roman"/>
                <w:bCs/>
                <w:color w:val="auto"/>
                <w:sz w:val="21"/>
                <w:szCs w:val="28"/>
              </w:rPr>
            </w:pPr>
            <w:r>
              <w:rPr>
                <w:rFonts w:hint="eastAsia" w:ascii="宋体" w:hAnsi="宋体" w:eastAsia="宋体" w:cs="Times New Roman"/>
                <w:bCs/>
                <w:color w:val="auto"/>
                <w:sz w:val="21"/>
                <w:szCs w:val="28"/>
              </w:rPr>
              <w:t>人身伤害等，坝体损坏</w:t>
            </w:r>
          </w:p>
        </w:tc>
        <w:tc>
          <w:tcPr>
            <w:tcW w:w="15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FFEB23">
            <w:pPr>
              <w:spacing w:line="300" w:lineRule="exact"/>
              <w:ind w:firstLine="0" w:firstLineChars="0"/>
              <w:jc w:val="center"/>
              <w:rPr>
                <w:rFonts w:ascii="宋体" w:hAnsi="宋体" w:eastAsia="宋体" w:cs="Times New Roman"/>
                <w:bCs/>
                <w:color w:val="auto"/>
                <w:sz w:val="21"/>
                <w:szCs w:val="28"/>
              </w:rPr>
            </w:pPr>
            <w:r>
              <w:rPr>
                <w:rFonts w:hint="eastAsia" w:ascii="宋体" w:hAnsi="宋体" w:eastAsia="宋体" w:cs="Times New Roman"/>
                <w:bCs/>
                <w:color w:val="auto"/>
                <w:sz w:val="21"/>
                <w:szCs w:val="28"/>
              </w:rPr>
              <w:t>人身伤害，设备损坏，坝体受损等</w:t>
            </w:r>
          </w:p>
        </w:tc>
        <w:tc>
          <w:tcPr>
            <w:tcW w:w="2975"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03F41661">
            <w:pPr>
              <w:spacing w:before="156" w:beforeLines="50" w:line="240" w:lineRule="auto"/>
              <w:ind w:firstLine="0" w:firstLineChars="0"/>
              <w:jc w:val="center"/>
              <w:rPr>
                <w:rFonts w:hint="eastAsia" w:ascii="宋体" w:hAnsi="宋体" w:eastAsia="宋体" w:cs="Times New Roman"/>
                <w:color w:val="auto"/>
                <w:sz w:val="21"/>
                <w:szCs w:val="21"/>
              </w:rPr>
            </w:pPr>
          </w:p>
        </w:tc>
        <w:tc>
          <w:tcPr>
            <w:tcW w:w="1440" w:type="dxa"/>
            <w:gridSpan w:val="2"/>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67C83690">
            <w:pPr>
              <w:widowControl/>
              <w:spacing w:line="240" w:lineRule="auto"/>
              <w:ind w:firstLine="0" w:firstLineChars="0"/>
              <w:jc w:val="center"/>
              <w:rPr>
                <w:rFonts w:ascii="宋体" w:hAnsi="宋体" w:eastAsia="宋体" w:cs="Times New Roman"/>
                <w:color w:val="auto"/>
                <w:sz w:val="21"/>
                <w:szCs w:val="21"/>
              </w:rPr>
            </w:pPr>
          </w:p>
        </w:tc>
        <w:tc>
          <w:tcPr>
            <w:tcW w:w="720" w:type="dxa"/>
            <w:vMerge w:val="continue"/>
            <w:tcBorders>
              <w:top w:val="single" w:color="auto" w:sz="4" w:space="0"/>
              <w:left w:val="single" w:color="auto" w:sz="4" w:space="0"/>
              <w:bottom w:val="single" w:color="auto" w:sz="4" w:space="0"/>
              <w:right w:val="single" w:color="auto" w:sz="4" w:space="0"/>
            </w:tcBorders>
            <w:shd w:val="clear" w:color="auto" w:fill="0000FF"/>
            <w:noWrap w:val="0"/>
            <w:vAlign w:val="center"/>
          </w:tcPr>
          <w:p w14:paraId="521A8332">
            <w:pPr>
              <w:widowControl/>
              <w:spacing w:line="240" w:lineRule="auto"/>
              <w:ind w:firstLine="0" w:firstLineChars="0"/>
              <w:jc w:val="center"/>
              <w:rPr>
                <w:rFonts w:ascii="宋体" w:hAnsi="宋体" w:eastAsia="宋体" w:cs="Times New Roman"/>
                <w:color w:val="auto"/>
                <w:sz w:val="21"/>
                <w:szCs w:val="21"/>
              </w:rPr>
            </w:pPr>
          </w:p>
        </w:tc>
        <w:tc>
          <w:tcPr>
            <w:tcW w:w="900" w:type="dxa"/>
            <w:vMerge w:val="continue"/>
            <w:tcBorders>
              <w:top w:val="single" w:color="auto" w:sz="4" w:space="0"/>
              <w:left w:val="single" w:color="auto" w:sz="4" w:space="0"/>
              <w:bottom w:val="single" w:color="auto" w:sz="4" w:space="0"/>
              <w:right w:val="single" w:color="auto" w:sz="4" w:space="0"/>
            </w:tcBorders>
            <w:noWrap w:val="0"/>
            <w:vAlign w:val="center"/>
          </w:tcPr>
          <w:p w14:paraId="7167F9D7">
            <w:pPr>
              <w:widowControl/>
              <w:spacing w:line="240" w:lineRule="auto"/>
              <w:ind w:firstLine="0" w:firstLineChars="0"/>
              <w:jc w:val="center"/>
              <w:rPr>
                <w:rFonts w:ascii="宋体" w:hAnsi="宋体" w:eastAsia="宋体" w:cs="Times New Roman"/>
                <w:color w:val="auto"/>
                <w:sz w:val="21"/>
                <w:szCs w:val="21"/>
              </w:rPr>
            </w:pPr>
          </w:p>
        </w:tc>
        <w:tc>
          <w:tcPr>
            <w:tcW w:w="1620" w:type="dxa"/>
            <w:vMerge w:val="continue"/>
            <w:tcBorders>
              <w:left w:val="single" w:color="auto" w:sz="4" w:space="0"/>
              <w:bottom w:val="single" w:color="auto" w:sz="4" w:space="0"/>
              <w:right w:val="single" w:color="auto" w:sz="4" w:space="0"/>
            </w:tcBorders>
            <w:noWrap w:val="0"/>
            <w:vAlign w:val="top"/>
          </w:tcPr>
          <w:p w14:paraId="397E7B88">
            <w:pPr>
              <w:widowControl/>
              <w:spacing w:line="240" w:lineRule="auto"/>
              <w:ind w:firstLine="0" w:firstLineChars="0"/>
              <w:jc w:val="center"/>
              <w:rPr>
                <w:rFonts w:ascii="宋体" w:hAnsi="宋体" w:eastAsia="宋体" w:cs="Times New Roman"/>
                <w:color w:val="auto"/>
                <w:sz w:val="21"/>
                <w:szCs w:val="21"/>
              </w:rPr>
            </w:pPr>
          </w:p>
        </w:tc>
      </w:tr>
    </w:tbl>
    <w:p w14:paraId="38842157">
      <w:pPr>
        <w:bidi w:val="0"/>
        <w:rPr>
          <w:rFonts w:hint="eastAsia"/>
          <w:color w:val="auto"/>
          <w:lang w:val="en-US" w:eastAsia="zh-CN"/>
        </w:rPr>
      </w:pPr>
      <w:r>
        <w:rPr>
          <w:rFonts w:hint="eastAsia"/>
          <w:color w:val="auto"/>
          <w:lang w:val="en-US" w:eastAsia="zh-CN"/>
        </w:rPr>
        <w:t>（1）从上表可知，杨家店尾矿库系统性风险中洪水漫顶，排洪系统堵塞和破坏，外来尾矿、废石、废水，库区爆破振动液化四项为不可接受风险，其中洪水漫顶、排洪系统堵塞和破坏应防范和避免；外来尾矿、废石、废水，库区爆破应禁止。</w:t>
      </w:r>
    </w:p>
    <w:p w14:paraId="3BD0AD64">
      <w:pPr>
        <w:bidi w:val="0"/>
        <w:rPr>
          <w:rFonts w:hint="eastAsia"/>
          <w:color w:val="auto"/>
          <w:lang w:val="en-US" w:eastAsia="zh-CN"/>
        </w:rPr>
      </w:pPr>
      <w:r>
        <w:rPr>
          <w:rFonts w:hint="eastAsia"/>
          <w:color w:val="auto"/>
          <w:lang w:val="en-US" w:eastAsia="zh-CN"/>
        </w:rPr>
        <w:t>（2）杨家店尾矿库尾矿坝下游1000m范围内有101户居民，尾矿坝的安全对环境、社会公众影响巨大。</w:t>
      </w:r>
    </w:p>
    <w:p w14:paraId="7A76613C">
      <w:pPr>
        <w:bidi w:val="0"/>
        <w:rPr>
          <w:rFonts w:hint="eastAsia"/>
          <w:color w:val="auto"/>
          <w:lang w:val="en-US" w:eastAsia="zh-CN"/>
        </w:rPr>
        <w:sectPr>
          <w:headerReference r:id="rId12" w:type="default"/>
          <w:footerReference r:id="rId13" w:type="default"/>
          <w:pgSz w:w="16839" w:h="11906" w:orient="landscape"/>
          <w:pgMar w:top="1417" w:right="1417" w:bottom="1417" w:left="1417" w:header="850" w:footer="992" w:gutter="0"/>
          <w:pgNumType w:fmt="decimal" w:start="104"/>
          <w:cols w:space="425" w:num="1"/>
          <w:rtlGutter w:val="0"/>
          <w:docGrid w:linePitch="312" w:charSpace="0"/>
        </w:sectPr>
      </w:pPr>
    </w:p>
    <w:p w14:paraId="65964281">
      <w:pPr>
        <w:bidi w:val="0"/>
        <w:ind w:left="0" w:leftChars="0" w:firstLine="0" w:firstLineChars="0"/>
        <w:jc w:val="center"/>
        <w:rPr>
          <w:rFonts w:hint="eastAsia"/>
          <w:color w:val="auto"/>
          <w:lang w:val="en-US" w:eastAsia="zh-CN"/>
        </w:rPr>
      </w:pPr>
      <w:r>
        <w:rPr>
          <w:rFonts w:hint="eastAsia"/>
          <w:color w:val="auto"/>
          <w:lang w:val="en-US" w:eastAsia="zh-CN"/>
        </w:rPr>
        <w:t>表5.6-8 尾矿库安全管理风险管控清单</w:t>
      </w:r>
    </w:p>
    <w:tbl>
      <w:tblPr>
        <w:tblStyle w:val="19"/>
        <w:tblpPr w:leftFromText="180" w:rightFromText="180" w:vertAnchor="text" w:horzAnchor="margin" w:tblpX="-180" w:tblpY="313"/>
        <w:tblW w:w="94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2797"/>
        <w:gridCol w:w="731"/>
        <w:gridCol w:w="900"/>
        <w:gridCol w:w="900"/>
        <w:gridCol w:w="720"/>
        <w:gridCol w:w="900"/>
        <w:gridCol w:w="1980"/>
      </w:tblGrid>
      <w:tr w14:paraId="2281A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540" w:type="dxa"/>
            <w:vMerge w:val="restart"/>
            <w:tcBorders>
              <w:top w:val="single" w:color="auto" w:sz="4" w:space="0"/>
              <w:left w:val="single" w:color="auto" w:sz="4" w:space="0"/>
              <w:right w:val="single" w:color="auto" w:sz="4" w:space="0"/>
            </w:tcBorders>
            <w:noWrap w:val="0"/>
            <w:vAlign w:val="center"/>
          </w:tcPr>
          <w:p w14:paraId="63438E93">
            <w:pPr>
              <w:tabs>
                <w:tab w:val="left" w:pos="945"/>
                <w:tab w:val="left" w:pos="1155"/>
              </w:tabs>
              <w:snapToGrid w:val="0"/>
              <w:spacing w:line="300" w:lineRule="exact"/>
              <w:ind w:firstLine="0" w:firstLineChars="0"/>
              <w:jc w:val="center"/>
              <w:rPr>
                <w:rFonts w:ascii="Times New Roman" w:hAnsi="Times New Roman" w:eastAsia="宋体"/>
                <w:color w:val="auto"/>
                <w:sz w:val="21"/>
                <w:szCs w:val="21"/>
              </w:rPr>
            </w:pPr>
            <w:r>
              <w:rPr>
                <w:rFonts w:ascii="Times New Roman" w:hAnsi="宋体" w:eastAsia="宋体"/>
                <w:color w:val="auto"/>
                <w:sz w:val="21"/>
                <w:szCs w:val="21"/>
              </w:rPr>
              <w:t>序号</w:t>
            </w:r>
          </w:p>
        </w:tc>
        <w:tc>
          <w:tcPr>
            <w:tcW w:w="2797" w:type="dxa"/>
            <w:vMerge w:val="restart"/>
            <w:tcBorders>
              <w:top w:val="single" w:color="auto" w:sz="4" w:space="0"/>
              <w:left w:val="single" w:color="auto" w:sz="4" w:space="0"/>
              <w:right w:val="single" w:color="auto" w:sz="4" w:space="0"/>
            </w:tcBorders>
            <w:noWrap w:val="0"/>
            <w:vAlign w:val="center"/>
          </w:tcPr>
          <w:p w14:paraId="14926C37">
            <w:pPr>
              <w:tabs>
                <w:tab w:val="left" w:pos="945"/>
                <w:tab w:val="left" w:pos="1155"/>
              </w:tabs>
              <w:snapToGrid w:val="0"/>
              <w:spacing w:line="300" w:lineRule="exact"/>
              <w:ind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危险源</w:t>
            </w:r>
          </w:p>
          <w:p w14:paraId="04D38672">
            <w:pPr>
              <w:tabs>
                <w:tab w:val="left" w:pos="945"/>
                <w:tab w:val="left" w:pos="1155"/>
              </w:tabs>
              <w:snapToGrid w:val="0"/>
              <w:spacing w:line="300" w:lineRule="exact"/>
              <w:ind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及风险</w:t>
            </w:r>
          </w:p>
        </w:tc>
        <w:tc>
          <w:tcPr>
            <w:tcW w:w="731" w:type="dxa"/>
            <w:vMerge w:val="restart"/>
            <w:tcBorders>
              <w:top w:val="single" w:color="auto" w:sz="4" w:space="0"/>
              <w:left w:val="single" w:color="auto" w:sz="4" w:space="0"/>
              <w:right w:val="single" w:color="auto" w:sz="4" w:space="0"/>
            </w:tcBorders>
            <w:noWrap w:val="0"/>
            <w:vAlign w:val="center"/>
          </w:tcPr>
          <w:p w14:paraId="1BCFB168">
            <w:pPr>
              <w:tabs>
                <w:tab w:val="left" w:pos="945"/>
                <w:tab w:val="left" w:pos="1155"/>
              </w:tabs>
              <w:snapToGrid w:val="0"/>
              <w:spacing w:line="300" w:lineRule="exact"/>
              <w:ind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可能后果</w:t>
            </w:r>
          </w:p>
        </w:tc>
        <w:tc>
          <w:tcPr>
            <w:tcW w:w="900" w:type="dxa"/>
            <w:vMerge w:val="restart"/>
            <w:tcBorders>
              <w:top w:val="single" w:color="auto" w:sz="4" w:space="0"/>
              <w:left w:val="single" w:color="auto" w:sz="4" w:space="0"/>
              <w:right w:val="single" w:color="auto" w:sz="4" w:space="0"/>
            </w:tcBorders>
            <w:noWrap w:val="0"/>
            <w:vAlign w:val="center"/>
          </w:tcPr>
          <w:p w14:paraId="062F16B1">
            <w:pPr>
              <w:tabs>
                <w:tab w:val="left" w:pos="945"/>
                <w:tab w:val="left" w:pos="1155"/>
              </w:tabs>
              <w:snapToGrid w:val="0"/>
              <w:spacing w:line="300" w:lineRule="exact"/>
              <w:ind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可能性</w:t>
            </w:r>
          </w:p>
        </w:tc>
        <w:tc>
          <w:tcPr>
            <w:tcW w:w="900" w:type="dxa"/>
            <w:vMerge w:val="restart"/>
            <w:tcBorders>
              <w:top w:val="single" w:color="auto" w:sz="4" w:space="0"/>
              <w:left w:val="single" w:color="auto" w:sz="4" w:space="0"/>
              <w:right w:val="single" w:color="auto" w:sz="4" w:space="0"/>
            </w:tcBorders>
            <w:noWrap w:val="0"/>
            <w:vAlign w:val="center"/>
          </w:tcPr>
          <w:p w14:paraId="7CCED6E8">
            <w:pPr>
              <w:tabs>
                <w:tab w:val="left" w:pos="945"/>
                <w:tab w:val="left" w:pos="1155"/>
              </w:tabs>
              <w:snapToGrid w:val="0"/>
              <w:spacing w:line="300" w:lineRule="exact"/>
              <w:ind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严重性</w:t>
            </w:r>
          </w:p>
        </w:tc>
        <w:tc>
          <w:tcPr>
            <w:tcW w:w="720" w:type="dxa"/>
            <w:vMerge w:val="restart"/>
            <w:tcBorders>
              <w:top w:val="single" w:color="auto" w:sz="4" w:space="0"/>
              <w:left w:val="single" w:color="auto" w:sz="4" w:space="0"/>
              <w:right w:val="single" w:color="auto" w:sz="4" w:space="0"/>
            </w:tcBorders>
            <w:noWrap w:val="0"/>
            <w:vAlign w:val="center"/>
          </w:tcPr>
          <w:p w14:paraId="0DE5675C">
            <w:pPr>
              <w:tabs>
                <w:tab w:val="left" w:pos="18"/>
              </w:tabs>
              <w:snapToGrid w:val="0"/>
              <w:spacing w:line="300" w:lineRule="exact"/>
              <w:ind w:firstLine="0" w:firstLineChars="0"/>
              <w:jc w:val="center"/>
              <w:rPr>
                <w:rFonts w:hint="eastAsia" w:ascii="Times New Roman" w:hAnsi="Times New Roman" w:eastAsia="宋体"/>
                <w:color w:val="auto"/>
                <w:sz w:val="21"/>
                <w:szCs w:val="21"/>
              </w:rPr>
            </w:pPr>
            <w:r>
              <w:rPr>
                <w:rFonts w:ascii="Times New Roman" w:hAnsi="宋体" w:eastAsia="宋体"/>
                <w:color w:val="auto"/>
                <w:sz w:val="21"/>
                <w:szCs w:val="21"/>
              </w:rPr>
              <w:t>风险等级</w:t>
            </w:r>
          </w:p>
        </w:tc>
        <w:tc>
          <w:tcPr>
            <w:tcW w:w="900" w:type="dxa"/>
            <w:vMerge w:val="restart"/>
            <w:tcBorders>
              <w:top w:val="single" w:color="auto" w:sz="4" w:space="0"/>
              <w:left w:val="single" w:color="auto" w:sz="4" w:space="0"/>
              <w:right w:val="single" w:color="auto" w:sz="4" w:space="0"/>
            </w:tcBorders>
            <w:noWrap w:val="0"/>
            <w:vAlign w:val="center"/>
          </w:tcPr>
          <w:p w14:paraId="66704B2D">
            <w:pPr>
              <w:tabs>
                <w:tab w:val="left" w:pos="18"/>
              </w:tabs>
              <w:snapToGrid w:val="0"/>
              <w:spacing w:line="300" w:lineRule="exact"/>
              <w:ind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备注</w:t>
            </w:r>
          </w:p>
        </w:tc>
        <w:tc>
          <w:tcPr>
            <w:tcW w:w="1980" w:type="dxa"/>
            <w:vMerge w:val="restart"/>
            <w:tcBorders>
              <w:top w:val="single" w:color="auto" w:sz="4" w:space="0"/>
              <w:left w:val="single" w:color="auto" w:sz="4" w:space="0"/>
              <w:right w:val="single" w:color="auto" w:sz="4" w:space="0"/>
            </w:tcBorders>
            <w:noWrap w:val="0"/>
            <w:vAlign w:val="center"/>
          </w:tcPr>
          <w:p w14:paraId="0F3BE744">
            <w:pPr>
              <w:tabs>
                <w:tab w:val="left" w:pos="18"/>
              </w:tabs>
              <w:snapToGrid w:val="0"/>
              <w:spacing w:line="300" w:lineRule="exact"/>
              <w:ind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责任部门</w:t>
            </w:r>
          </w:p>
        </w:tc>
      </w:tr>
      <w:tr w14:paraId="65269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540" w:type="dxa"/>
            <w:vMerge w:val="continue"/>
            <w:tcBorders>
              <w:left w:val="single" w:color="auto" w:sz="4" w:space="0"/>
              <w:bottom w:val="single" w:color="auto" w:sz="4" w:space="0"/>
              <w:right w:val="single" w:color="auto" w:sz="4" w:space="0"/>
            </w:tcBorders>
            <w:noWrap w:val="0"/>
            <w:vAlign w:val="center"/>
          </w:tcPr>
          <w:p w14:paraId="1BD190F8">
            <w:pPr>
              <w:tabs>
                <w:tab w:val="left" w:pos="945"/>
                <w:tab w:val="left" w:pos="1155"/>
              </w:tabs>
              <w:snapToGrid w:val="0"/>
              <w:spacing w:line="300" w:lineRule="exact"/>
              <w:ind w:firstLine="420" w:firstLineChars="0"/>
              <w:jc w:val="center"/>
              <w:rPr>
                <w:rFonts w:ascii="Times New Roman" w:hAnsi="Times New Roman" w:eastAsia="宋体"/>
                <w:color w:val="auto"/>
                <w:sz w:val="21"/>
                <w:szCs w:val="21"/>
              </w:rPr>
            </w:pPr>
          </w:p>
        </w:tc>
        <w:tc>
          <w:tcPr>
            <w:tcW w:w="2797" w:type="dxa"/>
            <w:vMerge w:val="continue"/>
            <w:tcBorders>
              <w:left w:val="single" w:color="auto" w:sz="4" w:space="0"/>
              <w:bottom w:val="single" w:color="auto" w:sz="4" w:space="0"/>
              <w:right w:val="single" w:color="auto" w:sz="4" w:space="0"/>
            </w:tcBorders>
            <w:noWrap w:val="0"/>
            <w:vAlign w:val="center"/>
          </w:tcPr>
          <w:p w14:paraId="2A2929AD">
            <w:pPr>
              <w:tabs>
                <w:tab w:val="left" w:pos="945"/>
                <w:tab w:val="left" w:pos="1155"/>
              </w:tabs>
              <w:snapToGrid w:val="0"/>
              <w:spacing w:line="300" w:lineRule="exact"/>
              <w:ind w:firstLine="420" w:firstLineChars="0"/>
              <w:jc w:val="center"/>
              <w:rPr>
                <w:rFonts w:ascii="Times New Roman" w:hAnsi="Times New Roman" w:eastAsia="宋体"/>
                <w:color w:val="auto"/>
                <w:sz w:val="21"/>
                <w:szCs w:val="21"/>
              </w:rPr>
            </w:pPr>
          </w:p>
        </w:tc>
        <w:tc>
          <w:tcPr>
            <w:tcW w:w="731" w:type="dxa"/>
            <w:vMerge w:val="continue"/>
            <w:tcBorders>
              <w:left w:val="single" w:color="auto" w:sz="4" w:space="0"/>
              <w:bottom w:val="single" w:color="auto" w:sz="4" w:space="0"/>
              <w:right w:val="single" w:color="auto" w:sz="4" w:space="0"/>
            </w:tcBorders>
            <w:noWrap w:val="0"/>
            <w:vAlign w:val="center"/>
          </w:tcPr>
          <w:p w14:paraId="24CA289C">
            <w:pPr>
              <w:tabs>
                <w:tab w:val="left" w:pos="945"/>
                <w:tab w:val="left" w:pos="1155"/>
              </w:tabs>
              <w:snapToGrid w:val="0"/>
              <w:spacing w:line="300" w:lineRule="exact"/>
              <w:ind w:firstLine="420" w:firstLineChars="0"/>
              <w:jc w:val="center"/>
              <w:rPr>
                <w:rFonts w:ascii="Times New Roman" w:hAnsi="Times New Roman" w:eastAsia="宋体"/>
                <w:color w:val="auto"/>
                <w:sz w:val="21"/>
                <w:szCs w:val="21"/>
              </w:rPr>
            </w:pPr>
          </w:p>
        </w:tc>
        <w:tc>
          <w:tcPr>
            <w:tcW w:w="900" w:type="dxa"/>
            <w:vMerge w:val="continue"/>
            <w:tcBorders>
              <w:left w:val="single" w:color="auto" w:sz="4" w:space="0"/>
              <w:bottom w:val="single" w:color="auto" w:sz="4" w:space="0"/>
              <w:right w:val="single" w:color="auto" w:sz="4" w:space="0"/>
            </w:tcBorders>
            <w:noWrap w:val="0"/>
            <w:vAlign w:val="center"/>
          </w:tcPr>
          <w:p w14:paraId="67BC34CF">
            <w:pPr>
              <w:tabs>
                <w:tab w:val="left" w:pos="945"/>
                <w:tab w:val="left" w:pos="1155"/>
              </w:tabs>
              <w:snapToGrid w:val="0"/>
              <w:spacing w:line="300" w:lineRule="exact"/>
              <w:ind w:firstLine="0" w:firstLineChars="0"/>
              <w:jc w:val="center"/>
              <w:rPr>
                <w:rFonts w:hint="eastAsia" w:ascii="Times New Roman" w:hAnsi="Times New Roman" w:eastAsia="宋体"/>
                <w:color w:val="auto"/>
                <w:sz w:val="21"/>
                <w:szCs w:val="21"/>
              </w:rPr>
            </w:pPr>
          </w:p>
        </w:tc>
        <w:tc>
          <w:tcPr>
            <w:tcW w:w="900" w:type="dxa"/>
            <w:vMerge w:val="continue"/>
            <w:tcBorders>
              <w:left w:val="single" w:color="auto" w:sz="4" w:space="0"/>
              <w:bottom w:val="single" w:color="auto" w:sz="4" w:space="0"/>
              <w:right w:val="single" w:color="auto" w:sz="4" w:space="0"/>
            </w:tcBorders>
            <w:noWrap w:val="0"/>
            <w:vAlign w:val="center"/>
          </w:tcPr>
          <w:p w14:paraId="197261A8">
            <w:pPr>
              <w:tabs>
                <w:tab w:val="left" w:pos="945"/>
                <w:tab w:val="left" w:pos="1155"/>
              </w:tabs>
              <w:snapToGrid w:val="0"/>
              <w:spacing w:line="300" w:lineRule="exact"/>
              <w:ind w:firstLine="0" w:firstLineChars="0"/>
              <w:jc w:val="center"/>
              <w:rPr>
                <w:rFonts w:hint="eastAsia" w:ascii="Times New Roman" w:hAnsi="Times New Roman" w:eastAsia="宋体"/>
                <w:color w:val="auto"/>
                <w:sz w:val="21"/>
                <w:szCs w:val="21"/>
              </w:rPr>
            </w:pPr>
          </w:p>
        </w:tc>
        <w:tc>
          <w:tcPr>
            <w:tcW w:w="720" w:type="dxa"/>
            <w:vMerge w:val="continue"/>
            <w:tcBorders>
              <w:left w:val="single" w:color="auto" w:sz="4" w:space="0"/>
              <w:bottom w:val="single" w:color="auto" w:sz="4" w:space="0"/>
              <w:right w:val="single" w:color="auto" w:sz="4" w:space="0"/>
            </w:tcBorders>
            <w:noWrap w:val="0"/>
            <w:vAlign w:val="center"/>
          </w:tcPr>
          <w:p w14:paraId="5443EE02">
            <w:pPr>
              <w:tabs>
                <w:tab w:val="left" w:pos="18"/>
              </w:tabs>
              <w:snapToGrid w:val="0"/>
              <w:spacing w:line="300" w:lineRule="exact"/>
              <w:ind w:firstLine="420" w:firstLineChars="0"/>
              <w:jc w:val="center"/>
              <w:rPr>
                <w:rFonts w:ascii="Times New Roman" w:hAnsi="Times New Roman" w:eastAsia="宋体"/>
                <w:color w:val="auto"/>
                <w:sz w:val="21"/>
                <w:szCs w:val="21"/>
              </w:rPr>
            </w:pPr>
          </w:p>
        </w:tc>
        <w:tc>
          <w:tcPr>
            <w:tcW w:w="900" w:type="dxa"/>
            <w:vMerge w:val="continue"/>
            <w:tcBorders>
              <w:left w:val="single" w:color="auto" w:sz="4" w:space="0"/>
              <w:bottom w:val="single" w:color="auto" w:sz="4" w:space="0"/>
              <w:right w:val="single" w:color="auto" w:sz="4" w:space="0"/>
            </w:tcBorders>
            <w:noWrap w:val="0"/>
            <w:vAlign w:val="center"/>
          </w:tcPr>
          <w:p w14:paraId="27AB2559">
            <w:pPr>
              <w:tabs>
                <w:tab w:val="left" w:pos="18"/>
              </w:tabs>
              <w:snapToGrid w:val="0"/>
              <w:spacing w:line="300" w:lineRule="exact"/>
              <w:ind w:firstLine="420" w:firstLineChars="0"/>
              <w:jc w:val="center"/>
              <w:rPr>
                <w:rFonts w:ascii="Times New Roman" w:hAnsi="Times New Roman" w:eastAsia="宋体"/>
                <w:color w:val="auto"/>
                <w:sz w:val="21"/>
                <w:szCs w:val="21"/>
              </w:rPr>
            </w:pPr>
          </w:p>
        </w:tc>
        <w:tc>
          <w:tcPr>
            <w:tcW w:w="1980" w:type="dxa"/>
            <w:vMerge w:val="continue"/>
            <w:tcBorders>
              <w:left w:val="single" w:color="auto" w:sz="4" w:space="0"/>
              <w:bottom w:val="single" w:color="auto" w:sz="4" w:space="0"/>
              <w:right w:val="single" w:color="auto" w:sz="4" w:space="0"/>
            </w:tcBorders>
            <w:noWrap w:val="0"/>
            <w:vAlign w:val="center"/>
          </w:tcPr>
          <w:p w14:paraId="167BC6D2">
            <w:pPr>
              <w:tabs>
                <w:tab w:val="left" w:pos="18"/>
              </w:tabs>
              <w:snapToGrid w:val="0"/>
              <w:spacing w:line="300" w:lineRule="exact"/>
              <w:ind w:firstLine="420" w:firstLineChars="0"/>
              <w:jc w:val="center"/>
              <w:rPr>
                <w:rFonts w:ascii="Times New Roman" w:hAnsi="Times New Roman" w:eastAsia="宋体"/>
                <w:color w:val="auto"/>
                <w:sz w:val="21"/>
                <w:szCs w:val="21"/>
              </w:rPr>
            </w:pPr>
          </w:p>
        </w:tc>
      </w:tr>
      <w:tr w14:paraId="75C6D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C3F906E">
            <w:pPr>
              <w:tabs>
                <w:tab w:val="left" w:pos="945"/>
                <w:tab w:val="left" w:pos="1155"/>
              </w:tabs>
              <w:snapToGrid w:val="0"/>
              <w:spacing w:line="300" w:lineRule="exact"/>
              <w:ind w:firstLine="0" w:firstLineChars="0"/>
              <w:jc w:val="center"/>
              <w:rPr>
                <w:rFonts w:ascii="Times New Roman" w:hAnsi="Times New Roman" w:eastAsia="宋体"/>
                <w:color w:val="auto"/>
                <w:sz w:val="21"/>
                <w:szCs w:val="21"/>
              </w:rPr>
            </w:pPr>
            <w:r>
              <w:rPr>
                <w:rFonts w:ascii="Times New Roman" w:hAnsi="Times New Roman" w:eastAsia="宋体"/>
                <w:color w:val="auto"/>
                <w:sz w:val="21"/>
                <w:szCs w:val="21"/>
              </w:rPr>
              <w:t>1</w:t>
            </w:r>
          </w:p>
        </w:tc>
        <w:tc>
          <w:tcPr>
            <w:tcW w:w="27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B7D3755">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未设置安全管理机构，未配备安全管理人员</w:t>
            </w:r>
          </w:p>
        </w:tc>
        <w:tc>
          <w:tcPr>
            <w:tcW w:w="73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34ECFA7">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限期整改</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CF66BBC">
            <w:pPr>
              <w:tabs>
                <w:tab w:val="left" w:pos="945"/>
                <w:tab w:val="left" w:pos="1155"/>
              </w:tabs>
              <w:snapToGrid w:val="0"/>
              <w:spacing w:line="300" w:lineRule="exact"/>
              <w:ind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557831D">
            <w:pPr>
              <w:tabs>
                <w:tab w:val="left" w:pos="945"/>
                <w:tab w:val="left" w:pos="1155"/>
              </w:tabs>
              <w:snapToGrid w:val="0"/>
              <w:spacing w:line="300" w:lineRule="exact"/>
              <w:ind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严重</w:t>
            </w:r>
          </w:p>
        </w:tc>
        <w:tc>
          <w:tcPr>
            <w:tcW w:w="720"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167321CE">
            <w:pPr>
              <w:tabs>
                <w:tab w:val="left" w:pos="18"/>
              </w:tabs>
              <w:snapToGrid w:val="0"/>
              <w:spacing w:line="300" w:lineRule="exact"/>
              <w:ind w:firstLine="0" w:firstLineChars="0"/>
              <w:jc w:val="center"/>
              <w:rPr>
                <w:rFonts w:ascii="Times New Roman" w:hAnsi="Times New Roman" w:eastAsia="宋体"/>
                <w:color w:val="auto"/>
                <w:sz w:val="21"/>
                <w:szCs w:val="21"/>
              </w:rPr>
            </w:pPr>
            <w:r>
              <w:rPr>
                <w:rFonts w:hint="eastAsia" w:ascii="宋体" w:hAnsi="宋体" w:eastAsia="宋体" w:cs="宋体"/>
                <w:color w:val="auto"/>
                <w:sz w:val="21"/>
                <w:szCs w:val="21"/>
              </w:rPr>
              <w:t>Ⅱ</w:t>
            </w:r>
            <w:r>
              <w:rPr>
                <w:rFonts w:ascii="Times New Roman" w:hAnsi="Times New Roman" w:eastAsia="宋体"/>
                <w:color w:val="auto"/>
                <w:sz w:val="21"/>
                <w:szCs w:val="21"/>
              </w:rPr>
              <w:t>级</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00D90080">
            <w:pPr>
              <w:spacing w:line="300" w:lineRule="exact"/>
              <w:ind w:firstLine="0" w:firstLineChars="0"/>
              <w:jc w:val="center"/>
              <w:rPr>
                <w:rFonts w:hint="eastAsia" w:ascii="Times New Roman" w:hAnsi="宋体" w:eastAsia="宋体"/>
                <w:bCs/>
                <w:color w:val="auto"/>
                <w:sz w:val="21"/>
                <w:szCs w:val="21"/>
              </w:rPr>
            </w:pPr>
            <w:r>
              <w:rPr>
                <w:rFonts w:hint="eastAsia" w:ascii="Times New Roman" w:hAnsi="宋体" w:eastAsia="宋体"/>
                <w:bCs/>
                <w:color w:val="auto"/>
                <w:sz w:val="21"/>
                <w:szCs w:val="21"/>
              </w:rPr>
              <w:t>高度</w:t>
            </w:r>
          </w:p>
          <w:p w14:paraId="5DE5001B">
            <w:pPr>
              <w:spacing w:line="300" w:lineRule="exact"/>
              <w:ind w:firstLine="0" w:firstLineChars="0"/>
              <w:jc w:val="center"/>
              <w:rPr>
                <w:rFonts w:hint="eastAsia" w:ascii="Times New Roman" w:hAnsi="宋体" w:eastAsia="宋体"/>
                <w:bCs/>
                <w:color w:val="auto"/>
                <w:sz w:val="21"/>
                <w:szCs w:val="21"/>
              </w:rPr>
            </w:pPr>
            <w:r>
              <w:rPr>
                <w:rFonts w:hint="eastAsia" w:ascii="Times New Roman" w:hAnsi="宋体" w:eastAsia="宋体"/>
                <w:bCs/>
                <w:color w:val="auto"/>
                <w:sz w:val="21"/>
                <w:szCs w:val="21"/>
              </w:rPr>
              <w:t>危险</w:t>
            </w:r>
          </w:p>
        </w:tc>
        <w:tc>
          <w:tcPr>
            <w:tcW w:w="1980" w:type="dxa"/>
            <w:tcBorders>
              <w:top w:val="single" w:color="auto" w:sz="4" w:space="0"/>
              <w:left w:val="single" w:color="auto" w:sz="4" w:space="0"/>
              <w:bottom w:val="single" w:color="auto" w:sz="4" w:space="0"/>
              <w:right w:val="single" w:color="auto" w:sz="4" w:space="0"/>
            </w:tcBorders>
            <w:noWrap w:val="0"/>
            <w:vAlign w:val="center"/>
          </w:tcPr>
          <w:p w14:paraId="58B10870">
            <w:pPr>
              <w:spacing w:line="240" w:lineRule="auto"/>
              <w:ind w:firstLine="0" w:firstLineChars="0"/>
              <w:jc w:val="center"/>
              <w:rPr>
                <w:rFonts w:hint="eastAsia" w:ascii="Times New Roman" w:hAnsi="Times New Roman" w:eastAsia="宋体"/>
                <w:color w:val="auto"/>
                <w:sz w:val="21"/>
              </w:rPr>
            </w:pPr>
            <w:r>
              <w:rPr>
                <w:rFonts w:hint="eastAsia" w:ascii="Times New Roman" w:hAnsi="Times New Roman" w:eastAsia="宋体"/>
                <w:color w:val="auto"/>
                <w:sz w:val="21"/>
              </w:rPr>
              <w:t>公司</w:t>
            </w:r>
          </w:p>
        </w:tc>
      </w:tr>
      <w:tr w14:paraId="71CDA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0F26D2D">
            <w:pPr>
              <w:tabs>
                <w:tab w:val="left" w:pos="945"/>
                <w:tab w:val="left" w:pos="1155"/>
              </w:tabs>
              <w:snapToGrid w:val="0"/>
              <w:spacing w:line="300" w:lineRule="exact"/>
              <w:ind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2</w:t>
            </w:r>
          </w:p>
        </w:tc>
        <w:tc>
          <w:tcPr>
            <w:tcW w:w="27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0760D66">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主要负责人、安全管理人员、尾矿工未持证上岗</w:t>
            </w:r>
          </w:p>
        </w:tc>
        <w:tc>
          <w:tcPr>
            <w:tcW w:w="73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AACC554">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限期整改</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C711446">
            <w:pPr>
              <w:tabs>
                <w:tab w:val="left" w:pos="945"/>
                <w:tab w:val="left" w:pos="1155"/>
              </w:tabs>
              <w:snapToGrid w:val="0"/>
              <w:spacing w:line="300" w:lineRule="exact"/>
              <w:ind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F23461B">
            <w:pPr>
              <w:tabs>
                <w:tab w:val="left" w:pos="945"/>
                <w:tab w:val="left" w:pos="1155"/>
              </w:tabs>
              <w:snapToGrid w:val="0"/>
              <w:spacing w:line="300" w:lineRule="exact"/>
              <w:ind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严重</w:t>
            </w:r>
          </w:p>
        </w:tc>
        <w:tc>
          <w:tcPr>
            <w:tcW w:w="720"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0CF2D026">
            <w:pPr>
              <w:spacing w:line="240" w:lineRule="auto"/>
              <w:ind w:firstLine="0" w:firstLineChars="0"/>
              <w:jc w:val="center"/>
              <w:rPr>
                <w:rFonts w:ascii="Times New Roman" w:hAnsi="Times New Roman" w:eastAsia="宋体"/>
                <w:color w:val="auto"/>
                <w:sz w:val="21"/>
              </w:rPr>
            </w:pPr>
            <w:r>
              <w:rPr>
                <w:rFonts w:hint="eastAsia" w:ascii="宋体" w:hAnsi="宋体" w:eastAsia="宋体" w:cs="宋体"/>
                <w:color w:val="auto"/>
                <w:sz w:val="21"/>
                <w:szCs w:val="21"/>
              </w:rPr>
              <w:t>Ⅱ</w:t>
            </w:r>
            <w:r>
              <w:rPr>
                <w:rFonts w:ascii="Times New Roman" w:hAnsi="Times New Roman" w:eastAsia="宋体"/>
                <w:color w:val="auto"/>
                <w:sz w:val="21"/>
                <w:szCs w:val="21"/>
              </w:rPr>
              <w:t>级</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48D62350">
            <w:pPr>
              <w:spacing w:line="300" w:lineRule="exact"/>
              <w:ind w:firstLine="0" w:firstLineChars="0"/>
              <w:jc w:val="center"/>
              <w:rPr>
                <w:rFonts w:hint="eastAsia" w:ascii="Times New Roman" w:hAnsi="宋体" w:eastAsia="宋体"/>
                <w:bCs/>
                <w:color w:val="auto"/>
                <w:sz w:val="21"/>
                <w:szCs w:val="21"/>
              </w:rPr>
            </w:pPr>
            <w:r>
              <w:rPr>
                <w:rFonts w:hint="eastAsia" w:ascii="Times New Roman" w:hAnsi="宋体" w:eastAsia="宋体"/>
                <w:bCs/>
                <w:color w:val="auto"/>
                <w:sz w:val="21"/>
                <w:szCs w:val="21"/>
              </w:rPr>
              <w:t>高度</w:t>
            </w:r>
          </w:p>
          <w:p w14:paraId="7B2B8442">
            <w:pPr>
              <w:spacing w:line="300" w:lineRule="exact"/>
              <w:ind w:firstLine="0" w:firstLineChars="0"/>
              <w:jc w:val="center"/>
              <w:rPr>
                <w:rFonts w:hint="eastAsia" w:ascii="Times New Roman" w:hAnsi="宋体" w:eastAsia="宋体"/>
                <w:bCs/>
                <w:color w:val="auto"/>
                <w:sz w:val="21"/>
                <w:szCs w:val="21"/>
              </w:rPr>
            </w:pPr>
            <w:r>
              <w:rPr>
                <w:rFonts w:hint="eastAsia" w:ascii="Times New Roman" w:hAnsi="宋体" w:eastAsia="宋体"/>
                <w:bCs/>
                <w:color w:val="auto"/>
                <w:sz w:val="21"/>
                <w:szCs w:val="21"/>
              </w:rPr>
              <w:t>危险</w:t>
            </w:r>
          </w:p>
        </w:tc>
        <w:tc>
          <w:tcPr>
            <w:tcW w:w="1980" w:type="dxa"/>
            <w:tcBorders>
              <w:top w:val="single" w:color="auto" w:sz="4" w:space="0"/>
              <w:left w:val="single" w:color="auto" w:sz="4" w:space="0"/>
              <w:bottom w:val="single" w:color="auto" w:sz="4" w:space="0"/>
              <w:right w:val="single" w:color="auto" w:sz="4" w:space="0"/>
            </w:tcBorders>
            <w:noWrap w:val="0"/>
            <w:vAlign w:val="center"/>
          </w:tcPr>
          <w:p w14:paraId="7931AD95">
            <w:pPr>
              <w:spacing w:line="240" w:lineRule="auto"/>
              <w:ind w:firstLine="0" w:firstLineChars="0"/>
              <w:jc w:val="center"/>
              <w:rPr>
                <w:rFonts w:ascii="Times New Roman" w:hAnsi="Times New Roman" w:eastAsia="宋体"/>
                <w:color w:val="auto"/>
                <w:sz w:val="21"/>
              </w:rPr>
            </w:pPr>
            <w:r>
              <w:rPr>
                <w:rFonts w:hint="eastAsia" w:ascii="Times New Roman" w:hAnsi="Times New Roman" w:eastAsia="宋体"/>
                <w:color w:val="auto"/>
                <w:sz w:val="21"/>
              </w:rPr>
              <w:t>公司、人力资源部、</w:t>
            </w:r>
            <w:r>
              <w:rPr>
                <w:rFonts w:ascii="Times New Roman" w:hAnsi="宋体" w:eastAsia="宋体"/>
                <w:color w:val="auto"/>
                <w:sz w:val="21"/>
                <w:szCs w:val="21"/>
              </w:rPr>
              <w:t>安全环保部</w:t>
            </w:r>
          </w:p>
        </w:tc>
      </w:tr>
      <w:tr w14:paraId="17199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2C50095">
            <w:pPr>
              <w:tabs>
                <w:tab w:val="left" w:pos="945"/>
                <w:tab w:val="left" w:pos="1155"/>
              </w:tabs>
              <w:snapToGrid w:val="0"/>
              <w:spacing w:line="300" w:lineRule="exact"/>
              <w:ind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3</w:t>
            </w:r>
          </w:p>
        </w:tc>
        <w:tc>
          <w:tcPr>
            <w:tcW w:w="27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3589A5C">
            <w:pPr>
              <w:widowControl/>
              <w:spacing w:line="300" w:lineRule="exact"/>
              <w:ind w:firstLine="0" w:firstLineChars="0"/>
              <w:jc w:val="center"/>
              <w:rPr>
                <w:rFonts w:hint="eastAsia" w:ascii="Times New Roman" w:hAnsi="Times New Roman" w:eastAsia="宋体" w:cs="Times New Roman"/>
                <w:b w:val="0"/>
                <w:bCs/>
                <w:color w:val="auto"/>
                <w:kern w:val="0"/>
                <w:sz w:val="21"/>
                <w:szCs w:val="21"/>
                <w:lang w:val="zh-CN" w:eastAsia="zh-CN" w:bidi="ar-SA"/>
              </w:rPr>
            </w:pPr>
            <w:r>
              <w:rPr>
                <w:rFonts w:hint="eastAsia" w:ascii="Times New Roman" w:hAnsi="Times New Roman" w:eastAsia="宋体" w:cs="Times New Roman"/>
                <w:b w:val="0"/>
                <w:bCs/>
                <w:color w:val="auto"/>
                <w:kern w:val="0"/>
                <w:sz w:val="21"/>
                <w:szCs w:val="21"/>
                <w:lang w:val="zh-CN" w:eastAsia="zh-CN" w:bidi="ar-SA"/>
              </w:rPr>
              <w:t>无安全设施设计或未审查批复；或重大设计变更未审查批复</w:t>
            </w:r>
          </w:p>
        </w:tc>
        <w:tc>
          <w:tcPr>
            <w:tcW w:w="73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7B4E401">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停产整改</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91D0ED3">
            <w:pPr>
              <w:tabs>
                <w:tab w:val="left" w:pos="945"/>
                <w:tab w:val="left" w:pos="1155"/>
              </w:tabs>
              <w:snapToGrid w:val="0"/>
              <w:spacing w:line="300" w:lineRule="exact"/>
              <w:ind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DA1C904">
            <w:pPr>
              <w:tabs>
                <w:tab w:val="left" w:pos="945"/>
                <w:tab w:val="left" w:pos="1155"/>
              </w:tabs>
              <w:snapToGrid w:val="0"/>
              <w:spacing w:line="300" w:lineRule="exact"/>
              <w:ind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严重</w:t>
            </w:r>
          </w:p>
        </w:tc>
        <w:tc>
          <w:tcPr>
            <w:tcW w:w="720"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137A9E36">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Ⅱ</w:t>
            </w:r>
            <w:r>
              <w:rPr>
                <w:rFonts w:ascii="Times New Roman" w:hAnsi="Times New Roman" w:eastAsia="宋体"/>
                <w:color w:val="auto"/>
                <w:sz w:val="21"/>
                <w:szCs w:val="21"/>
              </w:rPr>
              <w:t>级</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6ADC1420">
            <w:pPr>
              <w:spacing w:line="300" w:lineRule="exact"/>
              <w:ind w:firstLine="0" w:firstLineChars="0"/>
              <w:jc w:val="center"/>
              <w:rPr>
                <w:rFonts w:hint="eastAsia" w:ascii="Times New Roman" w:hAnsi="宋体" w:eastAsia="宋体"/>
                <w:bCs/>
                <w:color w:val="auto"/>
                <w:sz w:val="21"/>
                <w:szCs w:val="21"/>
              </w:rPr>
            </w:pPr>
            <w:r>
              <w:rPr>
                <w:rFonts w:hint="eastAsia" w:ascii="Times New Roman" w:hAnsi="宋体" w:eastAsia="宋体"/>
                <w:bCs/>
                <w:color w:val="auto"/>
                <w:sz w:val="21"/>
                <w:szCs w:val="21"/>
              </w:rPr>
              <w:t>高度</w:t>
            </w:r>
          </w:p>
          <w:p w14:paraId="47EA765E">
            <w:pPr>
              <w:spacing w:line="300" w:lineRule="exact"/>
              <w:ind w:firstLine="0" w:firstLineChars="0"/>
              <w:jc w:val="center"/>
              <w:rPr>
                <w:rFonts w:hint="eastAsia" w:ascii="Times New Roman" w:hAnsi="宋体" w:eastAsia="宋体"/>
                <w:bCs/>
                <w:color w:val="auto"/>
                <w:sz w:val="21"/>
                <w:szCs w:val="21"/>
              </w:rPr>
            </w:pPr>
            <w:r>
              <w:rPr>
                <w:rFonts w:hint="eastAsia" w:ascii="Times New Roman" w:hAnsi="宋体" w:eastAsia="宋体"/>
                <w:bCs/>
                <w:color w:val="auto"/>
                <w:sz w:val="21"/>
                <w:szCs w:val="21"/>
              </w:rPr>
              <w:t>危险</w:t>
            </w:r>
          </w:p>
        </w:tc>
        <w:tc>
          <w:tcPr>
            <w:tcW w:w="1980" w:type="dxa"/>
            <w:tcBorders>
              <w:top w:val="single" w:color="auto" w:sz="4" w:space="0"/>
              <w:left w:val="single" w:color="auto" w:sz="4" w:space="0"/>
              <w:bottom w:val="single" w:color="auto" w:sz="4" w:space="0"/>
              <w:right w:val="single" w:color="auto" w:sz="4" w:space="0"/>
            </w:tcBorders>
            <w:noWrap w:val="0"/>
            <w:vAlign w:val="center"/>
          </w:tcPr>
          <w:p w14:paraId="6A2DE2E1">
            <w:pPr>
              <w:spacing w:line="240" w:lineRule="auto"/>
              <w:ind w:firstLine="0" w:firstLineChars="0"/>
              <w:jc w:val="center"/>
              <w:rPr>
                <w:rFonts w:ascii="Times New Roman" w:hAnsi="Times New Roman" w:eastAsia="宋体"/>
                <w:color w:val="auto"/>
                <w:sz w:val="21"/>
              </w:rPr>
            </w:pPr>
            <w:r>
              <w:rPr>
                <w:rFonts w:hint="eastAsia" w:ascii="Times New Roman" w:hAnsi="Times New Roman" w:eastAsia="宋体"/>
                <w:color w:val="auto"/>
                <w:sz w:val="21"/>
              </w:rPr>
              <w:t>公司、</w:t>
            </w:r>
            <w:r>
              <w:rPr>
                <w:rFonts w:ascii="Times New Roman" w:hAnsi="宋体" w:eastAsia="宋体"/>
                <w:color w:val="auto"/>
                <w:sz w:val="21"/>
                <w:szCs w:val="21"/>
              </w:rPr>
              <w:t>安全环保部</w:t>
            </w:r>
          </w:p>
        </w:tc>
      </w:tr>
      <w:tr w14:paraId="7B8B3B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8A89F09">
            <w:pPr>
              <w:tabs>
                <w:tab w:val="left" w:pos="945"/>
                <w:tab w:val="left" w:pos="1155"/>
              </w:tabs>
              <w:snapToGrid w:val="0"/>
              <w:spacing w:line="300" w:lineRule="exact"/>
              <w:ind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4</w:t>
            </w:r>
          </w:p>
        </w:tc>
        <w:tc>
          <w:tcPr>
            <w:tcW w:w="27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23FD4A">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尾矿库安全生产许可证、安全生产标准化证书失效</w:t>
            </w:r>
          </w:p>
        </w:tc>
        <w:tc>
          <w:tcPr>
            <w:tcW w:w="73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7449094">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限期</w:t>
            </w:r>
          </w:p>
          <w:p w14:paraId="11848534">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整改</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2491507">
            <w:pPr>
              <w:tabs>
                <w:tab w:val="left" w:pos="945"/>
                <w:tab w:val="left" w:pos="1155"/>
              </w:tabs>
              <w:snapToGrid w:val="0"/>
              <w:spacing w:line="300" w:lineRule="exact"/>
              <w:ind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126A5AA">
            <w:pPr>
              <w:tabs>
                <w:tab w:val="left" w:pos="945"/>
                <w:tab w:val="left" w:pos="1155"/>
              </w:tabs>
              <w:snapToGrid w:val="0"/>
              <w:spacing w:line="300" w:lineRule="exact"/>
              <w:ind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严重</w:t>
            </w:r>
          </w:p>
        </w:tc>
        <w:tc>
          <w:tcPr>
            <w:tcW w:w="720"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55CD165C">
            <w:pPr>
              <w:tabs>
                <w:tab w:val="left" w:pos="18"/>
              </w:tabs>
              <w:snapToGrid w:val="0"/>
              <w:spacing w:line="300" w:lineRule="exact"/>
              <w:ind w:firstLine="0" w:firstLineChars="0"/>
              <w:jc w:val="center"/>
              <w:rPr>
                <w:rFonts w:ascii="Times New Roman" w:hAnsi="Times New Roman" w:eastAsia="宋体"/>
                <w:color w:val="auto"/>
                <w:sz w:val="21"/>
                <w:szCs w:val="21"/>
              </w:rPr>
            </w:pPr>
            <w:r>
              <w:rPr>
                <w:rFonts w:hint="eastAsia" w:ascii="宋体" w:hAnsi="宋体" w:eastAsia="宋体" w:cs="宋体"/>
                <w:color w:val="auto"/>
                <w:sz w:val="21"/>
                <w:szCs w:val="21"/>
              </w:rPr>
              <w:t>Ⅱ</w:t>
            </w:r>
            <w:r>
              <w:rPr>
                <w:rFonts w:ascii="Times New Roman" w:hAnsi="Times New Roman" w:eastAsia="宋体"/>
                <w:color w:val="auto"/>
                <w:sz w:val="21"/>
                <w:szCs w:val="21"/>
              </w:rPr>
              <w:t>级</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339A6773">
            <w:pPr>
              <w:spacing w:line="300" w:lineRule="exact"/>
              <w:ind w:firstLine="0" w:firstLineChars="0"/>
              <w:jc w:val="center"/>
              <w:rPr>
                <w:rFonts w:hint="eastAsia" w:ascii="Times New Roman" w:hAnsi="宋体" w:eastAsia="宋体"/>
                <w:bCs/>
                <w:color w:val="auto"/>
                <w:sz w:val="21"/>
                <w:szCs w:val="21"/>
              </w:rPr>
            </w:pPr>
            <w:r>
              <w:rPr>
                <w:rFonts w:hint="eastAsia" w:ascii="Times New Roman" w:hAnsi="宋体" w:eastAsia="宋体"/>
                <w:bCs/>
                <w:color w:val="auto"/>
                <w:sz w:val="21"/>
                <w:szCs w:val="21"/>
              </w:rPr>
              <w:t>高度</w:t>
            </w:r>
          </w:p>
          <w:p w14:paraId="4FD93497">
            <w:pPr>
              <w:spacing w:line="300" w:lineRule="exact"/>
              <w:ind w:firstLine="0" w:firstLineChars="0"/>
              <w:jc w:val="center"/>
              <w:rPr>
                <w:rFonts w:hint="eastAsia" w:ascii="Times New Roman" w:hAnsi="宋体" w:eastAsia="宋体"/>
                <w:bCs/>
                <w:color w:val="auto"/>
                <w:sz w:val="21"/>
                <w:szCs w:val="21"/>
              </w:rPr>
            </w:pPr>
            <w:r>
              <w:rPr>
                <w:rFonts w:hint="eastAsia" w:ascii="Times New Roman" w:hAnsi="宋体" w:eastAsia="宋体"/>
                <w:bCs/>
                <w:color w:val="auto"/>
                <w:sz w:val="21"/>
                <w:szCs w:val="21"/>
              </w:rPr>
              <w:t>危险</w:t>
            </w:r>
          </w:p>
        </w:tc>
        <w:tc>
          <w:tcPr>
            <w:tcW w:w="1980" w:type="dxa"/>
            <w:tcBorders>
              <w:top w:val="single" w:color="auto" w:sz="4" w:space="0"/>
              <w:left w:val="single" w:color="auto" w:sz="4" w:space="0"/>
              <w:bottom w:val="single" w:color="auto" w:sz="4" w:space="0"/>
              <w:right w:val="single" w:color="auto" w:sz="4" w:space="0"/>
            </w:tcBorders>
            <w:noWrap w:val="0"/>
            <w:vAlign w:val="center"/>
          </w:tcPr>
          <w:p w14:paraId="0333FC51">
            <w:pPr>
              <w:spacing w:line="240" w:lineRule="auto"/>
              <w:ind w:firstLine="0" w:firstLineChars="0"/>
              <w:jc w:val="center"/>
              <w:rPr>
                <w:rFonts w:ascii="Times New Roman" w:hAnsi="Times New Roman" w:eastAsia="宋体"/>
                <w:color w:val="auto"/>
                <w:sz w:val="21"/>
              </w:rPr>
            </w:pPr>
            <w:r>
              <w:rPr>
                <w:rFonts w:hint="eastAsia" w:ascii="Times New Roman" w:hAnsi="Times New Roman" w:eastAsia="宋体"/>
                <w:color w:val="auto"/>
                <w:sz w:val="21"/>
              </w:rPr>
              <w:t>公司、</w:t>
            </w:r>
            <w:r>
              <w:rPr>
                <w:rFonts w:ascii="Times New Roman" w:hAnsi="宋体" w:eastAsia="宋体"/>
                <w:color w:val="auto"/>
                <w:sz w:val="21"/>
                <w:szCs w:val="21"/>
              </w:rPr>
              <w:t>安全环保部</w:t>
            </w:r>
          </w:p>
        </w:tc>
      </w:tr>
      <w:tr w14:paraId="26A1D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C1BC61">
            <w:pPr>
              <w:tabs>
                <w:tab w:val="left" w:pos="945"/>
                <w:tab w:val="left" w:pos="1155"/>
              </w:tabs>
              <w:snapToGrid w:val="0"/>
              <w:spacing w:line="300" w:lineRule="exact"/>
              <w:ind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5</w:t>
            </w:r>
          </w:p>
        </w:tc>
        <w:tc>
          <w:tcPr>
            <w:tcW w:w="27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A0E92E9">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未开展安全教育培训</w:t>
            </w:r>
          </w:p>
        </w:tc>
        <w:tc>
          <w:tcPr>
            <w:tcW w:w="73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5015CD">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立即整改</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EE3255D">
            <w:pPr>
              <w:tabs>
                <w:tab w:val="left" w:pos="945"/>
                <w:tab w:val="left" w:pos="1155"/>
              </w:tabs>
              <w:snapToGrid w:val="0"/>
              <w:spacing w:line="300" w:lineRule="exact"/>
              <w:ind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B2BB8E7">
            <w:pPr>
              <w:tabs>
                <w:tab w:val="left" w:pos="945"/>
                <w:tab w:val="left" w:pos="1155"/>
              </w:tabs>
              <w:snapToGrid w:val="0"/>
              <w:spacing w:line="300" w:lineRule="exact"/>
              <w:ind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较严重</w:t>
            </w:r>
          </w:p>
        </w:tc>
        <w:tc>
          <w:tcPr>
            <w:tcW w:w="72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43E152BB">
            <w:pPr>
              <w:tabs>
                <w:tab w:val="left" w:pos="18"/>
              </w:tabs>
              <w:snapToGrid w:val="0"/>
              <w:spacing w:line="300" w:lineRule="exact"/>
              <w:ind w:firstLine="0" w:firstLineChars="0"/>
              <w:jc w:val="center"/>
              <w:rPr>
                <w:rFonts w:ascii="Times New Roman" w:hAnsi="Times New Roman" w:eastAsia="宋体"/>
                <w:color w:val="auto"/>
                <w:sz w:val="21"/>
                <w:szCs w:val="21"/>
              </w:rPr>
            </w:pPr>
            <w:r>
              <w:rPr>
                <w:rFonts w:hint="eastAsia" w:ascii="宋体" w:hAnsi="宋体" w:eastAsia="宋体" w:cs="宋体"/>
                <w:color w:val="auto"/>
                <w:sz w:val="21"/>
                <w:szCs w:val="21"/>
              </w:rPr>
              <w:t>Ⅳ</w:t>
            </w:r>
            <w:r>
              <w:rPr>
                <w:rFonts w:ascii="Times New Roman" w:hAnsi="Times New Roman" w:eastAsia="宋体"/>
                <w:color w:val="auto"/>
                <w:sz w:val="21"/>
                <w:szCs w:val="21"/>
              </w:rPr>
              <w:t>级</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63C8A29D">
            <w:pPr>
              <w:spacing w:line="300" w:lineRule="exact"/>
              <w:ind w:firstLine="0" w:firstLineChars="0"/>
              <w:jc w:val="center"/>
              <w:rPr>
                <w:rFonts w:ascii="Times New Roman" w:hAnsi="Times New Roman" w:eastAsia="宋体"/>
                <w:bCs/>
                <w:color w:val="auto"/>
                <w:sz w:val="21"/>
                <w:szCs w:val="21"/>
              </w:rPr>
            </w:pPr>
            <w:r>
              <w:rPr>
                <w:rFonts w:hint="eastAsia" w:ascii="Times New Roman" w:hAnsi="宋体" w:eastAsia="宋体"/>
                <w:bCs/>
                <w:color w:val="auto"/>
                <w:sz w:val="21"/>
                <w:szCs w:val="21"/>
              </w:rPr>
              <w:t>低</w:t>
            </w:r>
            <w:r>
              <w:rPr>
                <w:rFonts w:ascii="Times New Roman" w:hAnsi="宋体" w:eastAsia="宋体"/>
                <w:bCs/>
                <w:color w:val="auto"/>
                <w:sz w:val="21"/>
                <w:szCs w:val="21"/>
              </w:rPr>
              <w:t>风险</w:t>
            </w:r>
          </w:p>
        </w:tc>
        <w:tc>
          <w:tcPr>
            <w:tcW w:w="1980" w:type="dxa"/>
            <w:tcBorders>
              <w:top w:val="single" w:color="auto" w:sz="4" w:space="0"/>
              <w:left w:val="single" w:color="auto" w:sz="4" w:space="0"/>
              <w:bottom w:val="single" w:color="auto" w:sz="4" w:space="0"/>
              <w:right w:val="single" w:color="auto" w:sz="4" w:space="0"/>
            </w:tcBorders>
            <w:noWrap w:val="0"/>
            <w:vAlign w:val="center"/>
          </w:tcPr>
          <w:p w14:paraId="6BC1A006">
            <w:pPr>
              <w:spacing w:line="240" w:lineRule="auto"/>
              <w:ind w:firstLine="0" w:firstLineChars="0"/>
              <w:jc w:val="center"/>
              <w:rPr>
                <w:rFonts w:ascii="Times New Roman" w:hAnsi="Times New Roman" w:eastAsia="宋体"/>
                <w:color w:val="auto"/>
                <w:sz w:val="21"/>
              </w:rPr>
            </w:pPr>
            <w:r>
              <w:rPr>
                <w:rFonts w:hint="eastAsia" w:ascii="Times New Roman" w:hAnsi="Times New Roman" w:eastAsia="宋体"/>
                <w:color w:val="auto"/>
                <w:sz w:val="21"/>
              </w:rPr>
              <w:t>人力资源部、</w:t>
            </w:r>
            <w:r>
              <w:rPr>
                <w:rFonts w:ascii="Times New Roman" w:hAnsi="宋体" w:eastAsia="宋体"/>
                <w:color w:val="auto"/>
                <w:sz w:val="21"/>
                <w:szCs w:val="21"/>
              </w:rPr>
              <w:t>安全环保部</w:t>
            </w:r>
            <w:r>
              <w:rPr>
                <w:rFonts w:hint="eastAsia" w:ascii="Times New Roman" w:hAnsi="宋体" w:eastAsia="宋体"/>
                <w:color w:val="auto"/>
                <w:sz w:val="21"/>
                <w:szCs w:val="21"/>
              </w:rPr>
              <w:t>、选厂</w:t>
            </w:r>
          </w:p>
        </w:tc>
      </w:tr>
      <w:tr w14:paraId="07DD9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A000991">
            <w:pPr>
              <w:tabs>
                <w:tab w:val="left" w:pos="945"/>
                <w:tab w:val="left" w:pos="1155"/>
              </w:tabs>
              <w:snapToGrid w:val="0"/>
              <w:spacing w:line="300" w:lineRule="exact"/>
              <w:ind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6</w:t>
            </w:r>
          </w:p>
        </w:tc>
        <w:tc>
          <w:tcPr>
            <w:tcW w:w="27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464A47F">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未开展安全检查、隐患排查治理与安全风险管控，并无相关记录</w:t>
            </w:r>
          </w:p>
        </w:tc>
        <w:tc>
          <w:tcPr>
            <w:tcW w:w="73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6A8B103">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限期整改</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96A52E4">
            <w:pPr>
              <w:tabs>
                <w:tab w:val="left" w:pos="945"/>
                <w:tab w:val="left" w:pos="1155"/>
              </w:tabs>
              <w:snapToGrid w:val="0"/>
              <w:spacing w:line="300" w:lineRule="exact"/>
              <w:ind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7F2BDF1">
            <w:pPr>
              <w:tabs>
                <w:tab w:val="left" w:pos="945"/>
                <w:tab w:val="left" w:pos="1155"/>
              </w:tabs>
              <w:snapToGrid w:val="0"/>
              <w:spacing w:line="300" w:lineRule="exact"/>
              <w:ind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较严重</w:t>
            </w:r>
          </w:p>
        </w:tc>
        <w:tc>
          <w:tcPr>
            <w:tcW w:w="72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7D430F7E">
            <w:pPr>
              <w:spacing w:line="240" w:lineRule="auto"/>
              <w:ind w:firstLine="0" w:firstLineChars="0"/>
              <w:jc w:val="center"/>
              <w:rPr>
                <w:rFonts w:ascii="Times New Roman" w:hAnsi="Times New Roman" w:eastAsia="宋体"/>
                <w:color w:val="auto"/>
                <w:sz w:val="21"/>
              </w:rPr>
            </w:pPr>
            <w:r>
              <w:rPr>
                <w:rFonts w:hint="eastAsia" w:ascii="宋体" w:hAnsi="宋体" w:eastAsia="宋体" w:cs="宋体"/>
                <w:color w:val="auto"/>
                <w:sz w:val="21"/>
                <w:szCs w:val="21"/>
              </w:rPr>
              <w:t>Ⅳ</w:t>
            </w:r>
            <w:r>
              <w:rPr>
                <w:rFonts w:ascii="Times New Roman" w:hAnsi="Times New Roman" w:eastAsia="宋体"/>
                <w:color w:val="auto"/>
                <w:sz w:val="21"/>
                <w:szCs w:val="21"/>
              </w:rPr>
              <w:t>级</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5F297DE9">
            <w:pPr>
              <w:spacing w:line="300" w:lineRule="exact"/>
              <w:ind w:firstLine="0" w:firstLineChars="0"/>
              <w:jc w:val="center"/>
              <w:rPr>
                <w:rFonts w:ascii="Times New Roman" w:hAnsi="Times New Roman" w:eastAsia="宋体"/>
                <w:bCs/>
                <w:color w:val="auto"/>
                <w:sz w:val="21"/>
                <w:szCs w:val="21"/>
              </w:rPr>
            </w:pPr>
            <w:r>
              <w:rPr>
                <w:rFonts w:hint="eastAsia" w:ascii="Times New Roman" w:hAnsi="宋体" w:eastAsia="宋体"/>
                <w:bCs/>
                <w:color w:val="auto"/>
                <w:sz w:val="21"/>
                <w:szCs w:val="21"/>
              </w:rPr>
              <w:t>低</w:t>
            </w:r>
            <w:r>
              <w:rPr>
                <w:rFonts w:ascii="Times New Roman" w:hAnsi="宋体" w:eastAsia="宋体"/>
                <w:bCs/>
                <w:color w:val="auto"/>
                <w:sz w:val="21"/>
                <w:szCs w:val="21"/>
              </w:rPr>
              <w:t>风险</w:t>
            </w:r>
          </w:p>
        </w:tc>
        <w:tc>
          <w:tcPr>
            <w:tcW w:w="1980" w:type="dxa"/>
            <w:tcBorders>
              <w:top w:val="single" w:color="auto" w:sz="4" w:space="0"/>
              <w:left w:val="single" w:color="auto" w:sz="4" w:space="0"/>
              <w:bottom w:val="single" w:color="auto" w:sz="4" w:space="0"/>
              <w:right w:val="single" w:color="auto" w:sz="4" w:space="0"/>
            </w:tcBorders>
            <w:noWrap w:val="0"/>
            <w:vAlign w:val="center"/>
          </w:tcPr>
          <w:p w14:paraId="4FB79D8F">
            <w:pPr>
              <w:spacing w:line="240" w:lineRule="auto"/>
              <w:ind w:firstLine="0" w:firstLineChars="0"/>
              <w:jc w:val="center"/>
              <w:rPr>
                <w:rFonts w:ascii="Times New Roman" w:hAnsi="Times New Roman" w:eastAsia="宋体"/>
                <w:color w:val="auto"/>
                <w:sz w:val="21"/>
              </w:rPr>
            </w:pPr>
            <w:r>
              <w:rPr>
                <w:rFonts w:ascii="Times New Roman" w:hAnsi="宋体" w:eastAsia="宋体"/>
                <w:color w:val="auto"/>
                <w:sz w:val="21"/>
                <w:szCs w:val="21"/>
              </w:rPr>
              <w:t>健康安全环保部</w:t>
            </w:r>
            <w:r>
              <w:rPr>
                <w:rFonts w:hint="eastAsia" w:ascii="Times New Roman" w:hAnsi="宋体" w:eastAsia="宋体"/>
                <w:color w:val="auto"/>
                <w:sz w:val="21"/>
                <w:szCs w:val="21"/>
              </w:rPr>
              <w:t>、生产技术部、选厂</w:t>
            </w:r>
          </w:p>
        </w:tc>
      </w:tr>
      <w:tr w14:paraId="1AC1B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21EA026">
            <w:pPr>
              <w:tabs>
                <w:tab w:val="left" w:pos="945"/>
                <w:tab w:val="left" w:pos="1155"/>
              </w:tabs>
              <w:snapToGrid w:val="0"/>
              <w:spacing w:line="300" w:lineRule="exact"/>
              <w:ind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7</w:t>
            </w:r>
          </w:p>
        </w:tc>
        <w:tc>
          <w:tcPr>
            <w:tcW w:w="27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612D000">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未制定应急预案，预案未备案；未配备应急物资，未建立应急救援队伍，未开展应急演练活动</w:t>
            </w:r>
          </w:p>
        </w:tc>
        <w:tc>
          <w:tcPr>
            <w:tcW w:w="73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5C4A1B0">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限期整改</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3B8DD4B">
            <w:pPr>
              <w:tabs>
                <w:tab w:val="left" w:pos="945"/>
                <w:tab w:val="left" w:pos="1155"/>
              </w:tabs>
              <w:snapToGrid w:val="0"/>
              <w:spacing w:line="300" w:lineRule="exact"/>
              <w:ind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D2DE8CA">
            <w:pPr>
              <w:tabs>
                <w:tab w:val="left" w:pos="945"/>
                <w:tab w:val="left" w:pos="1155"/>
              </w:tabs>
              <w:snapToGrid w:val="0"/>
              <w:spacing w:line="300" w:lineRule="exact"/>
              <w:ind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较严重</w:t>
            </w:r>
          </w:p>
        </w:tc>
        <w:tc>
          <w:tcPr>
            <w:tcW w:w="72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0568050C">
            <w:pPr>
              <w:spacing w:line="240" w:lineRule="auto"/>
              <w:ind w:firstLine="0" w:firstLineChars="0"/>
              <w:jc w:val="center"/>
              <w:rPr>
                <w:rFonts w:ascii="Times New Roman" w:hAnsi="Times New Roman" w:eastAsia="宋体"/>
                <w:color w:val="auto"/>
                <w:sz w:val="21"/>
              </w:rPr>
            </w:pPr>
            <w:r>
              <w:rPr>
                <w:rFonts w:hint="eastAsia" w:ascii="宋体" w:hAnsi="宋体" w:eastAsia="宋体" w:cs="宋体"/>
                <w:color w:val="auto"/>
                <w:sz w:val="21"/>
                <w:szCs w:val="21"/>
              </w:rPr>
              <w:t>Ⅳ</w:t>
            </w:r>
            <w:r>
              <w:rPr>
                <w:rFonts w:ascii="Times New Roman" w:hAnsi="Times New Roman" w:eastAsia="宋体"/>
                <w:color w:val="auto"/>
                <w:sz w:val="21"/>
                <w:szCs w:val="21"/>
              </w:rPr>
              <w:t>级</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5819844F">
            <w:pPr>
              <w:spacing w:line="300" w:lineRule="exact"/>
              <w:ind w:firstLine="0" w:firstLineChars="0"/>
              <w:jc w:val="center"/>
              <w:rPr>
                <w:rFonts w:ascii="Times New Roman" w:hAnsi="Times New Roman" w:eastAsia="宋体"/>
                <w:bCs/>
                <w:color w:val="auto"/>
                <w:sz w:val="21"/>
                <w:szCs w:val="21"/>
              </w:rPr>
            </w:pPr>
            <w:r>
              <w:rPr>
                <w:rFonts w:hint="eastAsia" w:ascii="Times New Roman" w:hAnsi="宋体" w:eastAsia="宋体"/>
                <w:bCs/>
                <w:color w:val="auto"/>
                <w:sz w:val="21"/>
                <w:szCs w:val="21"/>
              </w:rPr>
              <w:t>低</w:t>
            </w:r>
            <w:r>
              <w:rPr>
                <w:rFonts w:ascii="Times New Roman" w:hAnsi="宋体" w:eastAsia="宋体"/>
                <w:bCs/>
                <w:color w:val="auto"/>
                <w:sz w:val="21"/>
                <w:szCs w:val="21"/>
              </w:rPr>
              <w:t>风险</w:t>
            </w:r>
          </w:p>
        </w:tc>
        <w:tc>
          <w:tcPr>
            <w:tcW w:w="1980" w:type="dxa"/>
            <w:tcBorders>
              <w:top w:val="single" w:color="auto" w:sz="4" w:space="0"/>
              <w:left w:val="single" w:color="auto" w:sz="4" w:space="0"/>
              <w:bottom w:val="single" w:color="auto" w:sz="4" w:space="0"/>
              <w:right w:val="single" w:color="auto" w:sz="4" w:space="0"/>
            </w:tcBorders>
            <w:noWrap w:val="0"/>
            <w:vAlign w:val="center"/>
          </w:tcPr>
          <w:p w14:paraId="4E702FFE">
            <w:pPr>
              <w:spacing w:line="300" w:lineRule="exact"/>
              <w:ind w:firstLine="0" w:firstLineChars="0"/>
              <w:jc w:val="center"/>
              <w:rPr>
                <w:rFonts w:ascii="Times New Roman" w:hAnsi="Times New Roman" w:eastAsia="宋体"/>
                <w:color w:val="auto"/>
                <w:sz w:val="21"/>
              </w:rPr>
            </w:pPr>
            <w:r>
              <w:rPr>
                <w:rFonts w:ascii="Times New Roman" w:hAnsi="宋体" w:eastAsia="宋体"/>
                <w:color w:val="auto"/>
                <w:sz w:val="21"/>
                <w:szCs w:val="21"/>
              </w:rPr>
              <w:t>安全环保部</w:t>
            </w:r>
          </w:p>
        </w:tc>
      </w:tr>
      <w:tr w14:paraId="3189A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CEF8BC7">
            <w:pPr>
              <w:tabs>
                <w:tab w:val="left" w:pos="945"/>
                <w:tab w:val="left" w:pos="1155"/>
              </w:tabs>
              <w:snapToGrid w:val="0"/>
              <w:spacing w:line="300" w:lineRule="exact"/>
              <w:ind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8</w:t>
            </w:r>
          </w:p>
        </w:tc>
        <w:tc>
          <w:tcPr>
            <w:tcW w:w="27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CED880B">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未按规定提取和使用安全费用；未缴纳工伤保险和安全生产责任险</w:t>
            </w:r>
          </w:p>
        </w:tc>
        <w:tc>
          <w:tcPr>
            <w:tcW w:w="73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E08FA98">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限期整改</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152FF34">
            <w:pPr>
              <w:tabs>
                <w:tab w:val="left" w:pos="945"/>
                <w:tab w:val="left" w:pos="1155"/>
              </w:tabs>
              <w:snapToGrid w:val="0"/>
              <w:spacing w:line="300" w:lineRule="exact"/>
              <w:ind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19408C">
            <w:pPr>
              <w:tabs>
                <w:tab w:val="left" w:pos="945"/>
                <w:tab w:val="left" w:pos="1155"/>
              </w:tabs>
              <w:snapToGrid w:val="0"/>
              <w:spacing w:line="300" w:lineRule="exact"/>
              <w:ind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较严重</w:t>
            </w:r>
          </w:p>
        </w:tc>
        <w:tc>
          <w:tcPr>
            <w:tcW w:w="72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5A948A43">
            <w:pPr>
              <w:spacing w:line="240" w:lineRule="auto"/>
              <w:ind w:firstLine="0" w:firstLineChars="0"/>
              <w:jc w:val="center"/>
              <w:rPr>
                <w:rFonts w:ascii="Times New Roman" w:hAnsi="Times New Roman" w:eastAsia="宋体"/>
                <w:color w:val="auto"/>
                <w:sz w:val="21"/>
              </w:rPr>
            </w:pPr>
            <w:r>
              <w:rPr>
                <w:rFonts w:hint="eastAsia" w:ascii="宋体" w:hAnsi="宋体" w:eastAsia="宋体" w:cs="宋体"/>
                <w:color w:val="auto"/>
                <w:sz w:val="21"/>
                <w:szCs w:val="21"/>
              </w:rPr>
              <w:t>Ⅳ</w:t>
            </w:r>
            <w:r>
              <w:rPr>
                <w:rFonts w:ascii="Times New Roman" w:hAnsi="Times New Roman" w:eastAsia="宋体"/>
                <w:color w:val="auto"/>
                <w:sz w:val="21"/>
                <w:szCs w:val="21"/>
              </w:rPr>
              <w:t>级</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2DE0FDA7">
            <w:pPr>
              <w:spacing w:line="300" w:lineRule="exact"/>
              <w:ind w:firstLine="0" w:firstLineChars="0"/>
              <w:jc w:val="center"/>
              <w:rPr>
                <w:rFonts w:ascii="Times New Roman" w:hAnsi="Times New Roman" w:eastAsia="宋体"/>
                <w:bCs/>
                <w:color w:val="auto"/>
                <w:sz w:val="21"/>
                <w:szCs w:val="21"/>
              </w:rPr>
            </w:pPr>
            <w:r>
              <w:rPr>
                <w:rFonts w:hint="eastAsia" w:ascii="Times New Roman" w:hAnsi="宋体" w:eastAsia="宋体"/>
                <w:bCs/>
                <w:color w:val="auto"/>
                <w:sz w:val="21"/>
                <w:szCs w:val="21"/>
              </w:rPr>
              <w:t>低</w:t>
            </w:r>
            <w:r>
              <w:rPr>
                <w:rFonts w:ascii="Times New Roman" w:hAnsi="宋体" w:eastAsia="宋体"/>
                <w:bCs/>
                <w:color w:val="auto"/>
                <w:sz w:val="21"/>
                <w:szCs w:val="21"/>
              </w:rPr>
              <w:t>风险</w:t>
            </w:r>
          </w:p>
        </w:tc>
        <w:tc>
          <w:tcPr>
            <w:tcW w:w="1980" w:type="dxa"/>
            <w:tcBorders>
              <w:top w:val="single" w:color="auto" w:sz="4" w:space="0"/>
              <w:left w:val="single" w:color="auto" w:sz="4" w:space="0"/>
              <w:bottom w:val="single" w:color="auto" w:sz="4" w:space="0"/>
              <w:right w:val="single" w:color="auto" w:sz="4" w:space="0"/>
            </w:tcBorders>
            <w:noWrap w:val="0"/>
            <w:vAlign w:val="center"/>
          </w:tcPr>
          <w:p w14:paraId="13979EB3">
            <w:pPr>
              <w:spacing w:line="300" w:lineRule="exact"/>
              <w:ind w:firstLine="0" w:firstLineChars="0"/>
              <w:jc w:val="center"/>
              <w:rPr>
                <w:rFonts w:hint="eastAsia" w:ascii="Times New Roman" w:hAnsi="Times New Roman" w:eastAsia="宋体"/>
                <w:color w:val="auto"/>
                <w:sz w:val="21"/>
              </w:rPr>
            </w:pPr>
            <w:r>
              <w:rPr>
                <w:rFonts w:hint="eastAsia" w:ascii="Times New Roman" w:hAnsi="Times New Roman" w:eastAsia="宋体"/>
                <w:color w:val="auto"/>
                <w:sz w:val="21"/>
              </w:rPr>
              <w:t>公司、财务部</w:t>
            </w:r>
          </w:p>
        </w:tc>
      </w:tr>
      <w:tr w14:paraId="749C4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8BD852A">
            <w:pPr>
              <w:tabs>
                <w:tab w:val="left" w:pos="945"/>
                <w:tab w:val="left" w:pos="1155"/>
              </w:tabs>
              <w:snapToGrid w:val="0"/>
              <w:spacing w:line="300" w:lineRule="exact"/>
              <w:ind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9</w:t>
            </w:r>
          </w:p>
        </w:tc>
        <w:tc>
          <w:tcPr>
            <w:tcW w:w="27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E2B868E">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0"/>
                <w:sz w:val="21"/>
                <w:szCs w:val="21"/>
                <w:lang w:val="zh-CN" w:eastAsia="zh-CN" w:bidi="ar-SA"/>
              </w:rPr>
              <w:t>未购置、发放</w:t>
            </w:r>
            <w:r>
              <w:rPr>
                <w:rFonts w:ascii="Times New Roman" w:hAnsi="Times New Roman" w:eastAsia="宋体" w:cs="Times New Roman"/>
                <w:b w:val="0"/>
                <w:bCs/>
                <w:color w:val="auto"/>
                <w:kern w:val="0"/>
                <w:sz w:val="21"/>
                <w:szCs w:val="21"/>
                <w:lang w:val="zh-CN" w:eastAsia="zh-CN" w:bidi="ar-SA"/>
              </w:rPr>
              <w:t>劳动保护用品与用具</w:t>
            </w:r>
            <w:r>
              <w:rPr>
                <w:rFonts w:hint="eastAsia" w:ascii="Times New Roman" w:hAnsi="Times New Roman" w:eastAsia="宋体" w:cs="Times New Roman"/>
                <w:b w:val="0"/>
                <w:bCs/>
                <w:color w:val="auto"/>
                <w:kern w:val="0"/>
                <w:sz w:val="21"/>
                <w:szCs w:val="21"/>
                <w:lang w:val="zh-CN" w:eastAsia="zh-CN" w:bidi="ar-SA"/>
              </w:rPr>
              <w:t>，或未督促教育</w:t>
            </w:r>
            <w:r>
              <w:rPr>
                <w:rFonts w:ascii="Times New Roman" w:hAnsi="Times New Roman" w:eastAsia="宋体" w:cs="Times New Roman"/>
                <w:b w:val="0"/>
                <w:bCs/>
                <w:color w:val="auto"/>
                <w:kern w:val="0"/>
                <w:sz w:val="21"/>
                <w:szCs w:val="21"/>
                <w:lang w:val="zh-CN" w:eastAsia="zh-CN" w:bidi="ar-SA"/>
              </w:rPr>
              <w:t>从业人员按规定</w:t>
            </w:r>
            <w:r>
              <w:rPr>
                <w:rFonts w:hint="eastAsia" w:ascii="Times New Roman" w:hAnsi="Times New Roman" w:eastAsia="宋体" w:cs="Times New Roman"/>
                <w:b w:val="0"/>
                <w:bCs/>
                <w:color w:val="auto"/>
                <w:kern w:val="0"/>
                <w:sz w:val="21"/>
                <w:szCs w:val="21"/>
                <w:lang w:val="zh-CN" w:eastAsia="zh-CN" w:bidi="ar-SA"/>
              </w:rPr>
              <w:t>正确</w:t>
            </w:r>
            <w:r>
              <w:rPr>
                <w:rFonts w:ascii="Times New Roman" w:hAnsi="Times New Roman" w:eastAsia="宋体" w:cs="Times New Roman"/>
                <w:b w:val="0"/>
                <w:bCs/>
                <w:color w:val="auto"/>
                <w:kern w:val="0"/>
                <w:sz w:val="21"/>
                <w:szCs w:val="21"/>
                <w:lang w:val="zh-CN" w:eastAsia="zh-CN" w:bidi="ar-SA"/>
              </w:rPr>
              <w:t>穿戴和使用劳动保护用品与用具</w:t>
            </w:r>
          </w:p>
        </w:tc>
        <w:tc>
          <w:tcPr>
            <w:tcW w:w="73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B0284ED">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限期整改</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3ADB920">
            <w:pPr>
              <w:tabs>
                <w:tab w:val="left" w:pos="945"/>
                <w:tab w:val="left" w:pos="1155"/>
              </w:tabs>
              <w:snapToGrid w:val="0"/>
              <w:spacing w:line="300" w:lineRule="exact"/>
              <w:ind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FF8744C">
            <w:pPr>
              <w:tabs>
                <w:tab w:val="left" w:pos="945"/>
                <w:tab w:val="left" w:pos="1155"/>
              </w:tabs>
              <w:snapToGrid w:val="0"/>
              <w:spacing w:line="300" w:lineRule="exact"/>
              <w:ind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较严重</w:t>
            </w:r>
          </w:p>
        </w:tc>
        <w:tc>
          <w:tcPr>
            <w:tcW w:w="72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308AEB42">
            <w:pPr>
              <w:tabs>
                <w:tab w:val="left" w:pos="18"/>
              </w:tabs>
              <w:snapToGrid w:val="0"/>
              <w:spacing w:line="300" w:lineRule="exact"/>
              <w:ind w:firstLine="0" w:firstLineChars="0"/>
              <w:jc w:val="center"/>
              <w:rPr>
                <w:rFonts w:ascii="Times New Roman" w:hAnsi="Times New Roman" w:eastAsia="宋体"/>
                <w:color w:val="auto"/>
                <w:sz w:val="21"/>
                <w:szCs w:val="21"/>
              </w:rPr>
            </w:pPr>
            <w:r>
              <w:rPr>
                <w:rFonts w:hint="eastAsia" w:ascii="宋体" w:hAnsi="宋体" w:eastAsia="宋体" w:cs="宋体"/>
                <w:color w:val="auto"/>
                <w:sz w:val="21"/>
                <w:szCs w:val="21"/>
              </w:rPr>
              <w:t>Ⅳ</w:t>
            </w:r>
            <w:r>
              <w:rPr>
                <w:rFonts w:ascii="Times New Roman" w:hAnsi="Times New Roman" w:eastAsia="宋体"/>
                <w:color w:val="auto"/>
                <w:sz w:val="21"/>
                <w:szCs w:val="21"/>
              </w:rPr>
              <w:t>级</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3E966D4D">
            <w:pPr>
              <w:spacing w:line="300" w:lineRule="exact"/>
              <w:ind w:firstLine="0" w:firstLineChars="0"/>
              <w:jc w:val="center"/>
              <w:rPr>
                <w:rFonts w:ascii="Times New Roman" w:hAnsi="Times New Roman" w:eastAsia="宋体"/>
                <w:bCs/>
                <w:color w:val="auto"/>
                <w:sz w:val="21"/>
                <w:szCs w:val="21"/>
              </w:rPr>
            </w:pPr>
            <w:r>
              <w:rPr>
                <w:rFonts w:hint="eastAsia" w:ascii="Times New Roman" w:hAnsi="宋体" w:eastAsia="宋体"/>
                <w:bCs/>
                <w:color w:val="auto"/>
                <w:sz w:val="21"/>
                <w:szCs w:val="21"/>
              </w:rPr>
              <w:t>低</w:t>
            </w:r>
            <w:r>
              <w:rPr>
                <w:rFonts w:ascii="Times New Roman" w:hAnsi="宋体" w:eastAsia="宋体"/>
                <w:bCs/>
                <w:color w:val="auto"/>
                <w:sz w:val="21"/>
                <w:szCs w:val="21"/>
              </w:rPr>
              <w:t>风险</w:t>
            </w:r>
          </w:p>
        </w:tc>
        <w:tc>
          <w:tcPr>
            <w:tcW w:w="1980" w:type="dxa"/>
            <w:tcBorders>
              <w:top w:val="single" w:color="auto" w:sz="4" w:space="0"/>
              <w:left w:val="single" w:color="auto" w:sz="4" w:space="0"/>
              <w:bottom w:val="single" w:color="auto" w:sz="4" w:space="0"/>
              <w:right w:val="single" w:color="auto" w:sz="4" w:space="0"/>
            </w:tcBorders>
            <w:noWrap w:val="0"/>
            <w:vAlign w:val="center"/>
          </w:tcPr>
          <w:p w14:paraId="142E906F">
            <w:pPr>
              <w:spacing w:line="300" w:lineRule="exact"/>
              <w:ind w:firstLine="0" w:firstLineChars="0"/>
              <w:jc w:val="center"/>
              <w:rPr>
                <w:rFonts w:hint="eastAsia" w:ascii="Times New Roman" w:hAnsi="宋体" w:eastAsia="宋体"/>
                <w:color w:val="auto"/>
                <w:sz w:val="21"/>
                <w:szCs w:val="21"/>
              </w:rPr>
            </w:pPr>
            <w:r>
              <w:rPr>
                <w:rFonts w:hint="eastAsia" w:ascii="Times New Roman" w:hAnsi="宋体" w:eastAsia="宋体"/>
                <w:color w:val="auto"/>
                <w:sz w:val="21"/>
                <w:szCs w:val="21"/>
              </w:rPr>
              <w:t>供销部、</w:t>
            </w:r>
            <w:r>
              <w:rPr>
                <w:rFonts w:ascii="Times New Roman" w:hAnsi="宋体" w:eastAsia="宋体"/>
                <w:color w:val="auto"/>
                <w:sz w:val="21"/>
                <w:szCs w:val="21"/>
              </w:rPr>
              <w:t>安全环保部</w:t>
            </w:r>
            <w:r>
              <w:rPr>
                <w:rFonts w:hint="eastAsia" w:ascii="Times New Roman" w:hAnsi="宋体" w:eastAsia="宋体"/>
                <w:color w:val="auto"/>
                <w:sz w:val="21"/>
                <w:szCs w:val="21"/>
              </w:rPr>
              <w:t>、生产技术部、选厂</w:t>
            </w:r>
          </w:p>
        </w:tc>
      </w:tr>
      <w:tr w14:paraId="40B218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4A59A02">
            <w:pPr>
              <w:tabs>
                <w:tab w:val="left" w:pos="945"/>
                <w:tab w:val="left" w:pos="1155"/>
              </w:tabs>
              <w:snapToGrid w:val="0"/>
              <w:spacing w:line="300" w:lineRule="exact"/>
              <w:ind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10</w:t>
            </w:r>
          </w:p>
        </w:tc>
        <w:tc>
          <w:tcPr>
            <w:tcW w:w="27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823330">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未制定尾矿库安全生产管理规章制度、安全生产责任制、操作规程</w:t>
            </w:r>
          </w:p>
        </w:tc>
        <w:tc>
          <w:tcPr>
            <w:tcW w:w="73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1BAA7A">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限期</w:t>
            </w:r>
          </w:p>
          <w:p w14:paraId="4F612973">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整改</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C107376">
            <w:pPr>
              <w:tabs>
                <w:tab w:val="left" w:pos="945"/>
                <w:tab w:val="left" w:pos="1155"/>
              </w:tabs>
              <w:snapToGrid w:val="0"/>
              <w:spacing w:line="300" w:lineRule="exact"/>
              <w:ind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偶然</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400449">
            <w:pPr>
              <w:tabs>
                <w:tab w:val="left" w:pos="945"/>
                <w:tab w:val="left" w:pos="1155"/>
              </w:tabs>
              <w:snapToGrid w:val="0"/>
              <w:spacing w:line="300" w:lineRule="exact"/>
              <w:ind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较严重</w:t>
            </w:r>
          </w:p>
        </w:tc>
        <w:tc>
          <w:tcPr>
            <w:tcW w:w="72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6AABE35D">
            <w:pPr>
              <w:spacing w:line="240" w:lineRule="auto"/>
              <w:ind w:firstLine="0" w:firstLineChars="0"/>
              <w:jc w:val="center"/>
              <w:rPr>
                <w:rFonts w:ascii="Times New Roman" w:hAnsi="Times New Roman" w:eastAsia="宋体"/>
                <w:color w:val="auto"/>
                <w:sz w:val="21"/>
              </w:rPr>
            </w:pPr>
            <w:r>
              <w:rPr>
                <w:rFonts w:hint="eastAsia" w:ascii="宋体" w:hAnsi="宋体" w:eastAsia="宋体" w:cs="宋体"/>
                <w:color w:val="auto"/>
                <w:sz w:val="21"/>
                <w:szCs w:val="21"/>
              </w:rPr>
              <w:t>Ⅳ</w:t>
            </w:r>
            <w:r>
              <w:rPr>
                <w:rFonts w:ascii="Times New Roman" w:hAnsi="Times New Roman" w:eastAsia="宋体"/>
                <w:color w:val="auto"/>
                <w:sz w:val="21"/>
                <w:szCs w:val="21"/>
              </w:rPr>
              <w:t>级</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67A551EA">
            <w:pPr>
              <w:spacing w:line="300" w:lineRule="exact"/>
              <w:ind w:firstLine="0" w:firstLineChars="0"/>
              <w:jc w:val="center"/>
              <w:rPr>
                <w:rFonts w:ascii="Times New Roman" w:hAnsi="Times New Roman" w:eastAsia="宋体"/>
                <w:bCs/>
                <w:color w:val="auto"/>
                <w:sz w:val="21"/>
                <w:szCs w:val="21"/>
              </w:rPr>
            </w:pPr>
            <w:r>
              <w:rPr>
                <w:rFonts w:hint="eastAsia" w:ascii="Times New Roman" w:hAnsi="宋体" w:eastAsia="宋体"/>
                <w:bCs/>
                <w:color w:val="auto"/>
                <w:sz w:val="21"/>
                <w:szCs w:val="21"/>
              </w:rPr>
              <w:t>低</w:t>
            </w:r>
            <w:r>
              <w:rPr>
                <w:rFonts w:ascii="Times New Roman" w:hAnsi="宋体" w:eastAsia="宋体"/>
                <w:bCs/>
                <w:color w:val="auto"/>
                <w:sz w:val="21"/>
                <w:szCs w:val="21"/>
              </w:rPr>
              <w:t>风险</w:t>
            </w:r>
          </w:p>
        </w:tc>
        <w:tc>
          <w:tcPr>
            <w:tcW w:w="1980" w:type="dxa"/>
            <w:tcBorders>
              <w:top w:val="single" w:color="auto" w:sz="4" w:space="0"/>
              <w:left w:val="single" w:color="auto" w:sz="4" w:space="0"/>
              <w:bottom w:val="single" w:color="auto" w:sz="4" w:space="0"/>
              <w:right w:val="single" w:color="auto" w:sz="4" w:space="0"/>
            </w:tcBorders>
            <w:noWrap w:val="0"/>
            <w:vAlign w:val="center"/>
          </w:tcPr>
          <w:p w14:paraId="75AADE18">
            <w:pPr>
              <w:spacing w:line="300" w:lineRule="exact"/>
              <w:ind w:firstLine="0" w:firstLineChars="0"/>
              <w:jc w:val="center"/>
              <w:rPr>
                <w:rFonts w:hint="eastAsia" w:ascii="Times New Roman" w:hAnsi="Times New Roman" w:eastAsia="宋体"/>
                <w:color w:val="auto"/>
                <w:sz w:val="21"/>
              </w:rPr>
            </w:pPr>
            <w:r>
              <w:rPr>
                <w:rFonts w:ascii="Times New Roman" w:hAnsi="宋体" w:eastAsia="宋体"/>
                <w:color w:val="auto"/>
                <w:sz w:val="21"/>
                <w:szCs w:val="21"/>
              </w:rPr>
              <w:t>安全环保部</w:t>
            </w:r>
          </w:p>
        </w:tc>
      </w:tr>
      <w:tr w14:paraId="38664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47489AB">
            <w:pPr>
              <w:tabs>
                <w:tab w:val="left" w:pos="945"/>
                <w:tab w:val="left" w:pos="1155"/>
              </w:tabs>
              <w:snapToGrid w:val="0"/>
              <w:spacing w:line="300" w:lineRule="exact"/>
              <w:ind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11</w:t>
            </w:r>
          </w:p>
        </w:tc>
        <w:tc>
          <w:tcPr>
            <w:tcW w:w="27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ABF882E">
            <w:pPr>
              <w:widowControl/>
              <w:spacing w:line="300" w:lineRule="exact"/>
              <w:ind w:firstLine="0" w:firstLineChars="0"/>
              <w:jc w:val="center"/>
              <w:rPr>
                <w:rFonts w:hint="eastAsia" w:ascii="Times New Roman" w:hAnsi="Times New Roman" w:eastAsia="宋体" w:cs="Times New Roman"/>
                <w:b w:val="0"/>
                <w:bCs/>
                <w:color w:val="auto"/>
                <w:kern w:val="0"/>
                <w:sz w:val="21"/>
                <w:szCs w:val="21"/>
                <w:lang w:val="zh-CN" w:eastAsia="zh-CN" w:bidi="ar-SA"/>
              </w:rPr>
            </w:pPr>
            <w:r>
              <w:rPr>
                <w:rFonts w:hint="eastAsia" w:ascii="Times New Roman" w:hAnsi="Times New Roman" w:eastAsia="宋体" w:cs="Times New Roman"/>
                <w:b w:val="0"/>
                <w:bCs/>
                <w:color w:val="auto"/>
                <w:kern w:val="0"/>
                <w:sz w:val="21"/>
                <w:szCs w:val="21"/>
                <w:lang w:val="zh-CN" w:eastAsia="zh-CN" w:bidi="ar-SA"/>
              </w:rPr>
              <w:t>无近期</w:t>
            </w:r>
            <w:r>
              <w:rPr>
                <w:rFonts w:ascii="Times New Roman" w:hAnsi="Times New Roman" w:eastAsia="宋体" w:cs="Times New Roman"/>
                <w:b w:val="0"/>
                <w:bCs/>
                <w:color w:val="auto"/>
                <w:kern w:val="0"/>
                <w:sz w:val="21"/>
                <w:szCs w:val="21"/>
                <w:lang w:val="zh-CN" w:eastAsia="zh-CN" w:bidi="ar-SA"/>
              </w:rPr>
              <w:t>实测的尾矿库现状图及尾矿年排放计划</w:t>
            </w:r>
          </w:p>
        </w:tc>
        <w:tc>
          <w:tcPr>
            <w:tcW w:w="73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DF3FCAD">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限期整改</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4C914DF">
            <w:pPr>
              <w:tabs>
                <w:tab w:val="left" w:pos="945"/>
                <w:tab w:val="left" w:pos="1155"/>
              </w:tabs>
              <w:snapToGrid w:val="0"/>
              <w:spacing w:line="300" w:lineRule="exact"/>
              <w:ind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239077">
            <w:pPr>
              <w:tabs>
                <w:tab w:val="left" w:pos="945"/>
                <w:tab w:val="left" w:pos="1155"/>
              </w:tabs>
              <w:snapToGrid w:val="0"/>
              <w:spacing w:line="300" w:lineRule="exact"/>
              <w:ind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一般</w:t>
            </w:r>
          </w:p>
        </w:tc>
        <w:tc>
          <w:tcPr>
            <w:tcW w:w="72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7DA2A782">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Ⅳ级</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2158AB38">
            <w:pPr>
              <w:spacing w:line="300" w:lineRule="exact"/>
              <w:ind w:firstLine="0" w:firstLineChars="0"/>
              <w:jc w:val="center"/>
              <w:rPr>
                <w:rFonts w:ascii="Times New Roman" w:hAnsi="Times New Roman" w:eastAsia="宋体"/>
                <w:bCs/>
                <w:color w:val="auto"/>
                <w:sz w:val="21"/>
                <w:szCs w:val="21"/>
              </w:rPr>
            </w:pPr>
            <w:r>
              <w:rPr>
                <w:rFonts w:hint="eastAsia" w:ascii="Times New Roman" w:hAnsi="宋体" w:eastAsia="宋体"/>
                <w:bCs/>
                <w:color w:val="auto"/>
                <w:sz w:val="21"/>
                <w:szCs w:val="21"/>
              </w:rPr>
              <w:t>低</w:t>
            </w:r>
            <w:r>
              <w:rPr>
                <w:rFonts w:ascii="Times New Roman" w:hAnsi="宋体" w:eastAsia="宋体"/>
                <w:bCs/>
                <w:color w:val="auto"/>
                <w:sz w:val="21"/>
                <w:szCs w:val="21"/>
              </w:rPr>
              <w:t>风险</w:t>
            </w:r>
          </w:p>
        </w:tc>
        <w:tc>
          <w:tcPr>
            <w:tcW w:w="1980" w:type="dxa"/>
            <w:tcBorders>
              <w:top w:val="single" w:color="auto" w:sz="4" w:space="0"/>
              <w:left w:val="single" w:color="auto" w:sz="4" w:space="0"/>
              <w:bottom w:val="single" w:color="auto" w:sz="4" w:space="0"/>
              <w:right w:val="single" w:color="auto" w:sz="4" w:space="0"/>
            </w:tcBorders>
            <w:noWrap w:val="0"/>
            <w:vAlign w:val="center"/>
          </w:tcPr>
          <w:p w14:paraId="48C9836E">
            <w:pPr>
              <w:spacing w:line="300" w:lineRule="exact"/>
              <w:ind w:firstLine="0" w:firstLineChars="0"/>
              <w:jc w:val="center"/>
              <w:rPr>
                <w:rFonts w:ascii="Times New Roman" w:hAnsi="Times New Roman" w:eastAsia="宋体"/>
                <w:color w:val="auto"/>
                <w:sz w:val="21"/>
              </w:rPr>
            </w:pPr>
            <w:r>
              <w:rPr>
                <w:rFonts w:ascii="Times New Roman" w:hAnsi="宋体" w:eastAsia="宋体"/>
                <w:color w:val="auto"/>
                <w:sz w:val="21"/>
                <w:szCs w:val="21"/>
              </w:rPr>
              <w:t>安全环保部</w:t>
            </w:r>
            <w:r>
              <w:rPr>
                <w:rFonts w:hint="eastAsia" w:ascii="Times New Roman" w:hAnsi="宋体" w:eastAsia="宋体"/>
                <w:color w:val="auto"/>
                <w:sz w:val="21"/>
                <w:szCs w:val="21"/>
              </w:rPr>
              <w:t>、生产技术部、选厂</w:t>
            </w:r>
          </w:p>
        </w:tc>
      </w:tr>
      <w:tr w14:paraId="2AE26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B8F57A2">
            <w:pPr>
              <w:tabs>
                <w:tab w:val="left" w:pos="945"/>
                <w:tab w:val="left" w:pos="1155"/>
              </w:tabs>
              <w:snapToGrid w:val="0"/>
              <w:spacing w:line="300" w:lineRule="exact"/>
              <w:ind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12</w:t>
            </w:r>
          </w:p>
        </w:tc>
        <w:tc>
          <w:tcPr>
            <w:tcW w:w="27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DD34C4E">
            <w:pPr>
              <w:widowControl/>
              <w:spacing w:line="300" w:lineRule="exact"/>
              <w:ind w:firstLine="0" w:firstLineChars="0"/>
              <w:jc w:val="center"/>
              <w:rPr>
                <w:rFonts w:hint="eastAsia" w:ascii="Times New Roman" w:hAnsi="Times New Roman" w:eastAsia="宋体" w:cs="Times New Roman"/>
                <w:b w:val="0"/>
                <w:bCs/>
                <w:color w:val="auto"/>
                <w:kern w:val="0"/>
                <w:sz w:val="21"/>
                <w:szCs w:val="21"/>
                <w:lang w:val="zh-CN" w:eastAsia="zh-CN" w:bidi="ar-SA"/>
              </w:rPr>
            </w:pPr>
            <w:r>
              <w:rPr>
                <w:rFonts w:hint="eastAsia" w:ascii="Times New Roman" w:hAnsi="Times New Roman" w:eastAsia="宋体" w:cs="Times New Roman"/>
                <w:b w:val="0"/>
                <w:bCs/>
                <w:color w:val="auto"/>
                <w:kern w:val="0"/>
                <w:sz w:val="21"/>
                <w:szCs w:val="21"/>
                <w:lang w:val="zh-CN" w:eastAsia="zh-CN" w:bidi="ar-SA"/>
              </w:rPr>
              <w:t>未</w:t>
            </w:r>
            <w:r>
              <w:rPr>
                <w:rFonts w:ascii="Times New Roman" w:hAnsi="Times New Roman" w:eastAsia="宋体" w:cs="Times New Roman"/>
                <w:b w:val="0"/>
                <w:bCs/>
                <w:color w:val="auto"/>
                <w:kern w:val="0"/>
                <w:sz w:val="21"/>
                <w:szCs w:val="21"/>
                <w:lang w:val="zh-CN" w:eastAsia="zh-CN" w:bidi="ar-SA"/>
              </w:rPr>
              <w:t>进行</w:t>
            </w:r>
            <w:r>
              <w:rPr>
                <w:rFonts w:hint="eastAsia" w:ascii="Times New Roman" w:hAnsi="Times New Roman" w:eastAsia="宋体" w:cs="Times New Roman"/>
                <w:b w:val="0"/>
                <w:bCs/>
                <w:color w:val="auto"/>
                <w:kern w:val="0"/>
                <w:sz w:val="21"/>
                <w:szCs w:val="21"/>
                <w:lang w:val="zh-CN" w:eastAsia="zh-CN" w:bidi="ar-SA"/>
              </w:rPr>
              <w:t>尾矿库地质工程勘察</w:t>
            </w:r>
            <w:r>
              <w:rPr>
                <w:rFonts w:ascii="Times New Roman" w:hAnsi="Times New Roman" w:eastAsia="宋体" w:cs="Times New Roman"/>
                <w:b w:val="0"/>
                <w:bCs/>
                <w:color w:val="auto"/>
                <w:kern w:val="0"/>
                <w:sz w:val="21"/>
                <w:szCs w:val="21"/>
                <w:lang w:val="zh-CN" w:eastAsia="zh-CN" w:bidi="ar-SA"/>
              </w:rPr>
              <w:t>和稳定性分析</w:t>
            </w:r>
          </w:p>
        </w:tc>
        <w:tc>
          <w:tcPr>
            <w:tcW w:w="73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041CDAC">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限期整改</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EE0BB4C">
            <w:pPr>
              <w:tabs>
                <w:tab w:val="left" w:pos="945"/>
                <w:tab w:val="left" w:pos="1155"/>
              </w:tabs>
              <w:snapToGrid w:val="0"/>
              <w:spacing w:line="300" w:lineRule="exact"/>
              <w:ind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451E2A7">
            <w:pPr>
              <w:tabs>
                <w:tab w:val="left" w:pos="945"/>
                <w:tab w:val="left" w:pos="1155"/>
              </w:tabs>
              <w:snapToGrid w:val="0"/>
              <w:spacing w:line="300" w:lineRule="exact"/>
              <w:ind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较严重</w:t>
            </w:r>
          </w:p>
        </w:tc>
        <w:tc>
          <w:tcPr>
            <w:tcW w:w="72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4033BBB2">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Ⅳ</w:t>
            </w:r>
            <w:r>
              <w:rPr>
                <w:rFonts w:ascii="Times New Roman" w:hAnsi="Times New Roman" w:eastAsia="宋体"/>
                <w:color w:val="auto"/>
                <w:sz w:val="21"/>
                <w:szCs w:val="21"/>
              </w:rPr>
              <w:t>级</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2DB3EA65">
            <w:pPr>
              <w:spacing w:line="300" w:lineRule="exact"/>
              <w:ind w:firstLine="0" w:firstLineChars="0"/>
              <w:jc w:val="center"/>
              <w:rPr>
                <w:rFonts w:ascii="Times New Roman" w:hAnsi="Times New Roman" w:eastAsia="宋体"/>
                <w:bCs/>
                <w:color w:val="auto"/>
                <w:sz w:val="21"/>
                <w:szCs w:val="21"/>
              </w:rPr>
            </w:pPr>
            <w:r>
              <w:rPr>
                <w:rFonts w:hint="eastAsia" w:ascii="Times New Roman" w:hAnsi="宋体" w:eastAsia="宋体"/>
                <w:bCs/>
                <w:color w:val="auto"/>
                <w:sz w:val="21"/>
                <w:szCs w:val="21"/>
              </w:rPr>
              <w:t>低</w:t>
            </w:r>
            <w:r>
              <w:rPr>
                <w:rFonts w:ascii="Times New Roman" w:hAnsi="宋体" w:eastAsia="宋体"/>
                <w:bCs/>
                <w:color w:val="auto"/>
                <w:sz w:val="21"/>
                <w:szCs w:val="21"/>
              </w:rPr>
              <w:t>风险</w:t>
            </w:r>
          </w:p>
        </w:tc>
        <w:tc>
          <w:tcPr>
            <w:tcW w:w="1980" w:type="dxa"/>
            <w:tcBorders>
              <w:top w:val="single" w:color="auto" w:sz="4" w:space="0"/>
              <w:left w:val="single" w:color="auto" w:sz="4" w:space="0"/>
              <w:bottom w:val="single" w:color="auto" w:sz="4" w:space="0"/>
              <w:right w:val="single" w:color="auto" w:sz="4" w:space="0"/>
            </w:tcBorders>
            <w:noWrap w:val="0"/>
            <w:vAlign w:val="center"/>
          </w:tcPr>
          <w:p w14:paraId="75218825">
            <w:pPr>
              <w:spacing w:line="300" w:lineRule="exact"/>
              <w:ind w:firstLine="0" w:firstLineChars="0"/>
              <w:jc w:val="center"/>
              <w:rPr>
                <w:rFonts w:hint="eastAsia" w:ascii="Times New Roman" w:hAnsi="宋体" w:eastAsia="宋体"/>
                <w:color w:val="auto"/>
                <w:sz w:val="21"/>
                <w:szCs w:val="21"/>
              </w:rPr>
            </w:pPr>
            <w:r>
              <w:rPr>
                <w:rFonts w:ascii="Times New Roman" w:hAnsi="宋体" w:eastAsia="宋体"/>
                <w:color w:val="auto"/>
                <w:sz w:val="21"/>
                <w:szCs w:val="21"/>
              </w:rPr>
              <w:t>安全环保部</w:t>
            </w:r>
          </w:p>
        </w:tc>
      </w:tr>
      <w:tr w14:paraId="643FB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159853">
            <w:pPr>
              <w:tabs>
                <w:tab w:val="left" w:pos="945"/>
                <w:tab w:val="left" w:pos="1155"/>
              </w:tabs>
              <w:snapToGrid w:val="0"/>
              <w:spacing w:line="300" w:lineRule="exact"/>
              <w:ind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13</w:t>
            </w:r>
          </w:p>
        </w:tc>
        <w:tc>
          <w:tcPr>
            <w:tcW w:w="27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758648">
            <w:pPr>
              <w:widowControl/>
              <w:spacing w:line="300" w:lineRule="exact"/>
              <w:ind w:firstLine="0" w:firstLineChars="0"/>
              <w:jc w:val="center"/>
              <w:rPr>
                <w:rFonts w:hint="eastAsia" w:ascii="Times New Roman" w:hAnsi="Times New Roman" w:eastAsia="宋体" w:cs="Times New Roman"/>
                <w:b w:val="0"/>
                <w:bCs/>
                <w:color w:val="auto"/>
                <w:kern w:val="0"/>
                <w:sz w:val="21"/>
                <w:szCs w:val="21"/>
                <w:lang w:val="zh-CN" w:eastAsia="zh-CN" w:bidi="ar-SA"/>
              </w:rPr>
            </w:pPr>
            <w:r>
              <w:rPr>
                <w:rFonts w:hint="eastAsia" w:ascii="Times New Roman" w:hAnsi="Times New Roman" w:eastAsia="宋体" w:cs="Times New Roman"/>
                <w:b w:val="0"/>
                <w:bCs/>
                <w:color w:val="auto"/>
                <w:kern w:val="0"/>
                <w:sz w:val="21"/>
                <w:szCs w:val="21"/>
                <w:lang w:val="zh-CN" w:eastAsia="zh-CN" w:bidi="ar-SA"/>
              </w:rPr>
              <w:t>未进行安全风险评估和安全评价及调洪演算</w:t>
            </w:r>
          </w:p>
        </w:tc>
        <w:tc>
          <w:tcPr>
            <w:tcW w:w="73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BD8714C">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限期整改</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81F31B6">
            <w:pPr>
              <w:tabs>
                <w:tab w:val="left" w:pos="945"/>
                <w:tab w:val="left" w:pos="1155"/>
              </w:tabs>
              <w:snapToGrid w:val="0"/>
              <w:spacing w:line="300" w:lineRule="exact"/>
              <w:ind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026142">
            <w:pPr>
              <w:tabs>
                <w:tab w:val="left" w:pos="945"/>
                <w:tab w:val="left" w:pos="1155"/>
              </w:tabs>
              <w:snapToGrid w:val="0"/>
              <w:spacing w:line="300" w:lineRule="exact"/>
              <w:ind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较严重</w:t>
            </w:r>
          </w:p>
        </w:tc>
        <w:tc>
          <w:tcPr>
            <w:tcW w:w="72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1E51664D">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Ⅳ</w:t>
            </w:r>
            <w:r>
              <w:rPr>
                <w:rFonts w:ascii="Times New Roman" w:hAnsi="Times New Roman" w:eastAsia="宋体"/>
                <w:color w:val="auto"/>
                <w:sz w:val="21"/>
                <w:szCs w:val="21"/>
              </w:rPr>
              <w:t>级</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08148A78">
            <w:pPr>
              <w:spacing w:line="300" w:lineRule="exact"/>
              <w:ind w:firstLine="0" w:firstLineChars="0"/>
              <w:jc w:val="center"/>
              <w:rPr>
                <w:rFonts w:ascii="Times New Roman" w:hAnsi="Times New Roman" w:eastAsia="宋体"/>
                <w:bCs/>
                <w:color w:val="auto"/>
                <w:sz w:val="21"/>
                <w:szCs w:val="21"/>
              </w:rPr>
            </w:pPr>
            <w:r>
              <w:rPr>
                <w:rFonts w:hint="eastAsia" w:ascii="Times New Roman" w:hAnsi="宋体" w:eastAsia="宋体"/>
                <w:bCs/>
                <w:color w:val="auto"/>
                <w:sz w:val="21"/>
                <w:szCs w:val="21"/>
              </w:rPr>
              <w:t>低</w:t>
            </w:r>
            <w:r>
              <w:rPr>
                <w:rFonts w:ascii="Times New Roman" w:hAnsi="宋体" w:eastAsia="宋体"/>
                <w:bCs/>
                <w:color w:val="auto"/>
                <w:sz w:val="21"/>
                <w:szCs w:val="21"/>
              </w:rPr>
              <w:t>风险</w:t>
            </w:r>
          </w:p>
        </w:tc>
        <w:tc>
          <w:tcPr>
            <w:tcW w:w="1980" w:type="dxa"/>
            <w:tcBorders>
              <w:top w:val="single" w:color="auto" w:sz="4" w:space="0"/>
              <w:left w:val="single" w:color="auto" w:sz="4" w:space="0"/>
              <w:bottom w:val="single" w:color="auto" w:sz="4" w:space="0"/>
              <w:right w:val="single" w:color="auto" w:sz="4" w:space="0"/>
            </w:tcBorders>
            <w:noWrap w:val="0"/>
            <w:vAlign w:val="center"/>
          </w:tcPr>
          <w:p w14:paraId="780BEA32">
            <w:pPr>
              <w:spacing w:line="300" w:lineRule="exact"/>
              <w:ind w:firstLine="0" w:firstLineChars="0"/>
              <w:jc w:val="center"/>
              <w:rPr>
                <w:rFonts w:ascii="Times New Roman" w:hAnsi="Times New Roman" w:eastAsia="宋体"/>
                <w:color w:val="auto"/>
                <w:sz w:val="21"/>
              </w:rPr>
            </w:pPr>
            <w:r>
              <w:rPr>
                <w:rFonts w:ascii="Times New Roman" w:hAnsi="宋体" w:eastAsia="宋体"/>
                <w:color w:val="auto"/>
                <w:sz w:val="21"/>
                <w:szCs w:val="21"/>
              </w:rPr>
              <w:t>安全环保部</w:t>
            </w:r>
          </w:p>
        </w:tc>
      </w:tr>
      <w:tr w14:paraId="66CA7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A2F9D2E">
            <w:pPr>
              <w:tabs>
                <w:tab w:val="left" w:pos="945"/>
                <w:tab w:val="left" w:pos="1155"/>
              </w:tabs>
              <w:snapToGrid w:val="0"/>
              <w:spacing w:line="300" w:lineRule="exact"/>
              <w:ind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14</w:t>
            </w:r>
          </w:p>
        </w:tc>
        <w:tc>
          <w:tcPr>
            <w:tcW w:w="27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4D047D7">
            <w:pPr>
              <w:widowControl/>
              <w:spacing w:line="300" w:lineRule="exact"/>
              <w:ind w:firstLine="0" w:firstLineChars="0"/>
              <w:jc w:val="center"/>
              <w:rPr>
                <w:rFonts w:hint="eastAsia" w:ascii="Times New Roman" w:hAnsi="Times New Roman" w:eastAsia="宋体" w:cs="Times New Roman"/>
                <w:b w:val="0"/>
                <w:bCs/>
                <w:color w:val="auto"/>
                <w:kern w:val="0"/>
                <w:sz w:val="21"/>
                <w:szCs w:val="21"/>
                <w:lang w:val="zh-CN" w:eastAsia="zh-CN" w:bidi="ar-SA"/>
              </w:rPr>
            </w:pPr>
            <w:r>
              <w:rPr>
                <w:rFonts w:hint="eastAsia" w:ascii="Times New Roman" w:hAnsi="Times New Roman" w:eastAsia="宋体" w:cs="Times New Roman"/>
                <w:b w:val="0"/>
                <w:bCs/>
                <w:color w:val="auto"/>
                <w:kern w:val="0"/>
                <w:sz w:val="21"/>
                <w:szCs w:val="21"/>
                <w:lang w:val="zh-CN" w:eastAsia="zh-CN" w:bidi="ar-SA"/>
              </w:rPr>
              <w:t>未进行入库尾矿指标检测；未定期开展尾矿库测绘；未进行安全监测数据分析</w:t>
            </w:r>
          </w:p>
        </w:tc>
        <w:tc>
          <w:tcPr>
            <w:tcW w:w="73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E6D4D4">
            <w:pPr>
              <w:widowControl/>
              <w:spacing w:line="300" w:lineRule="exact"/>
              <w:ind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限期整改</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173E645">
            <w:pPr>
              <w:tabs>
                <w:tab w:val="left" w:pos="945"/>
                <w:tab w:val="left" w:pos="1155"/>
              </w:tabs>
              <w:snapToGrid w:val="0"/>
              <w:spacing w:line="300" w:lineRule="exact"/>
              <w:ind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可能</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298CE4F">
            <w:pPr>
              <w:tabs>
                <w:tab w:val="left" w:pos="945"/>
                <w:tab w:val="left" w:pos="1155"/>
              </w:tabs>
              <w:snapToGrid w:val="0"/>
              <w:spacing w:line="300" w:lineRule="exact"/>
              <w:ind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一般</w:t>
            </w:r>
          </w:p>
        </w:tc>
        <w:tc>
          <w:tcPr>
            <w:tcW w:w="720" w:type="dxa"/>
            <w:tcBorders>
              <w:top w:val="single" w:color="auto" w:sz="4" w:space="0"/>
              <w:left w:val="single" w:color="auto" w:sz="4" w:space="0"/>
              <w:bottom w:val="single" w:color="auto" w:sz="4" w:space="0"/>
              <w:right w:val="single" w:color="auto" w:sz="4" w:space="0"/>
            </w:tcBorders>
            <w:shd w:val="clear" w:color="auto" w:fill="0000FF"/>
            <w:noWrap w:val="0"/>
            <w:vAlign w:val="center"/>
          </w:tcPr>
          <w:p w14:paraId="48E41D8C">
            <w:pPr>
              <w:tabs>
                <w:tab w:val="left" w:pos="18"/>
              </w:tabs>
              <w:snapToGrid w:val="0"/>
              <w:spacing w:line="30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Ⅳ</w:t>
            </w:r>
            <w:r>
              <w:rPr>
                <w:rFonts w:ascii="Times New Roman" w:hAnsi="Times New Roman" w:eastAsia="宋体"/>
                <w:color w:val="auto"/>
                <w:sz w:val="21"/>
                <w:szCs w:val="21"/>
              </w:rPr>
              <w:t>级</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5600E080">
            <w:pPr>
              <w:spacing w:line="300" w:lineRule="exact"/>
              <w:ind w:firstLine="0" w:firstLineChars="0"/>
              <w:jc w:val="center"/>
              <w:rPr>
                <w:rFonts w:ascii="Times New Roman" w:hAnsi="Times New Roman" w:eastAsia="宋体"/>
                <w:bCs/>
                <w:color w:val="auto"/>
                <w:sz w:val="21"/>
                <w:szCs w:val="21"/>
              </w:rPr>
            </w:pPr>
            <w:r>
              <w:rPr>
                <w:rFonts w:hint="eastAsia" w:ascii="Times New Roman" w:hAnsi="宋体" w:eastAsia="宋体"/>
                <w:bCs/>
                <w:color w:val="auto"/>
                <w:sz w:val="21"/>
                <w:szCs w:val="21"/>
              </w:rPr>
              <w:t>低</w:t>
            </w:r>
            <w:r>
              <w:rPr>
                <w:rFonts w:ascii="Times New Roman" w:hAnsi="宋体" w:eastAsia="宋体"/>
                <w:bCs/>
                <w:color w:val="auto"/>
                <w:sz w:val="21"/>
                <w:szCs w:val="21"/>
              </w:rPr>
              <w:t>风险</w:t>
            </w:r>
          </w:p>
        </w:tc>
        <w:tc>
          <w:tcPr>
            <w:tcW w:w="1980" w:type="dxa"/>
            <w:tcBorders>
              <w:top w:val="single" w:color="auto" w:sz="4" w:space="0"/>
              <w:left w:val="single" w:color="auto" w:sz="4" w:space="0"/>
              <w:bottom w:val="single" w:color="auto" w:sz="4" w:space="0"/>
              <w:right w:val="single" w:color="auto" w:sz="4" w:space="0"/>
            </w:tcBorders>
            <w:noWrap w:val="0"/>
            <w:vAlign w:val="center"/>
          </w:tcPr>
          <w:p w14:paraId="0D407CBA">
            <w:pPr>
              <w:spacing w:line="300" w:lineRule="exact"/>
              <w:ind w:firstLine="0" w:firstLineChars="0"/>
              <w:jc w:val="center"/>
              <w:rPr>
                <w:rFonts w:ascii="Times New Roman" w:hAnsi="Times New Roman" w:eastAsia="宋体"/>
                <w:color w:val="auto"/>
                <w:sz w:val="21"/>
              </w:rPr>
            </w:pPr>
            <w:r>
              <w:rPr>
                <w:rFonts w:ascii="Times New Roman" w:hAnsi="宋体" w:eastAsia="宋体"/>
                <w:color w:val="auto"/>
                <w:sz w:val="21"/>
                <w:szCs w:val="21"/>
              </w:rPr>
              <w:t>安全环保部</w:t>
            </w:r>
            <w:r>
              <w:rPr>
                <w:rFonts w:hint="eastAsia" w:ascii="Times New Roman" w:hAnsi="宋体" w:eastAsia="宋体"/>
                <w:color w:val="auto"/>
                <w:sz w:val="21"/>
                <w:szCs w:val="21"/>
              </w:rPr>
              <w:t>、生产技术部、选厂</w:t>
            </w:r>
          </w:p>
        </w:tc>
      </w:tr>
    </w:tbl>
    <w:p w14:paraId="39E16DF3">
      <w:pPr>
        <w:pStyle w:val="4"/>
        <w:bidi w:val="0"/>
        <w:rPr>
          <w:rFonts w:hint="eastAsia"/>
          <w:color w:val="auto"/>
          <w:lang w:val="en-US" w:eastAsia="zh-CN"/>
        </w:rPr>
      </w:pPr>
      <w:bookmarkStart w:id="144" w:name="_Toc24113"/>
      <w:r>
        <w:rPr>
          <w:rFonts w:hint="eastAsia"/>
          <w:color w:val="auto"/>
          <w:lang w:val="en-US" w:eastAsia="zh-CN"/>
        </w:rPr>
        <w:t>5.6.6 安全风险评估小结</w:t>
      </w:r>
      <w:bookmarkEnd w:id="144"/>
    </w:p>
    <w:p w14:paraId="7321874C">
      <w:pPr>
        <w:bidi w:val="0"/>
        <w:rPr>
          <w:rFonts w:hint="eastAsia"/>
          <w:color w:val="auto"/>
          <w:lang w:val="en-US" w:eastAsia="zh-CN"/>
        </w:rPr>
      </w:pPr>
      <w:r>
        <w:rPr>
          <w:rFonts w:hint="eastAsia"/>
          <w:color w:val="auto"/>
          <w:lang w:val="en-US" w:eastAsia="zh-CN"/>
        </w:rPr>
        <w:t>由表5.6-7可知，杨家店尾矿库系统性风险中的山体大面积滑坡、溃坝，坝体大面积管涌、流土，坝体出现贯穿性裂缝，洪水漫顶，排洪系统堵塞、垮塌和破坏等六项危害因素为不可接受风险，必须停产整改，制定和采取有效、得力措施予以及时、尽早防范和避免，如在山体坡脚处砌筑挡土墙，或采用喷锚方式加固山坡体；均匀分散放矿、同步抬升堆积坝，碾压稳固尾矿坝、放缓尾矿坝外坡比，坝体埋设排渗设施，降低浸润线、库水位；严格按设计要求构建排水构筑物，加强排洪系统检查，及时清理淤堵物，疏通排洪系统等措施。</w:t>
      </w:r>
    </w:p>
    <w:p w14:paraId="053F7F8F">
      <w:pPr>
        <w:bidi w:val="0"/>
        <w:rPr>
          <w:rFonts w:hint="eastAsia"/>
          <w:color w:val="auto"/>
          <w:lang w:val="en-US" w:eastAsia="zh-CN"/>
        </w:rPr>
      </w:pPr>
      <w:r>
        <w:rPr>
          <w:rFonts w:hint="eastAsia"/>
          <w:color w:val="auto"/>
          <w:lang w:val="en-US" w:eastAsia="zh-CN"/>
        </w:rPr>
        <w:t>（2）由表5.6-7可知，杨家店尾矿库系统性风险中的子坝挡水、坝体外坡比陡于设计值、坝体上升速率大于设计值、安全超高和干滩长度不足，排水构筑物断面尺寸不符合设计值、排水构筑物局部损坏、排水构筑物封堵不严、未清除进水口漂浮物，未埋设排渗设施、浸润线埋深不足和应急物资缺失或不齐等八项危害因素为高度风险，同样应采取相应措施降低风险，如按设计要求堆筑堆积坝、维持选厂正常处理能力、加强放矿管理、均匀抬升堆积坝，按设计要求构建和封堵排水构筑物、及时修复排水构筑物受损部位、清除进水口周围的漂浮物，按设计要求埋设排渗设施、降低库水位，以及配足备齐应急物资等。</w:t>
      </w:r>
    </w:p>
    <w:p w14:paraId="2D6D319A">
      <w:pPr>
        <w:bidi w:val="0"/>
        <w:rPr>
          <w:rFonts w:hint="eastAsia"/>
          <w:color w:val="auto"/>
          <w:lang w:val="en-US" w:eastAsia="zh-CN"/>
        </w:rPr>
      </w:pPr>
      <w:r>
        <w:rPr>
          <w:rFonts w:hint="eastAsia"/>
          <w:color w:val="auto"/>
          <w:lang w:val="en-US" w:eastAsia="zh-CN"/>
        </w:rPr>
        <w:t>（3）由表5.6-7可知，杨家店尾矿库系统性风险中的坝体堆筑参数不符合设计要求、坝轴线与水边线不平行、坝坡失稳、坝体局部开裂、不均匀放矿、筑坝前未进行岸坡清理，坝面局部出渗水、排渗设施损坏、渗水浑浊、坝肩集中渗流，排水构筑物跑浑、漏砂，井架、拱板施工质量影响结构安全，尾矿库安全监测设施不齐全、未覆盖整个库区、测量误差大，山体滑坡塌方，雷击、上坝道路技术参数不符合要求、危险地段安全标志缺失等二十一项危害因素为中度风险，要引起重视，采取防范、处理措施予以处理，避免危害继续扩大，如按设计要求堆筑堆积坝、放矿、修复排渗设施，处理渗流，按设计要求浇筑排水井拱板、井架，按设计要求设置安全监测设施等。</w:t>
      </w:r>
    </w:p>
    <w:p w14:paraId="0811FBD0">
      <w:pPr>
        <w:bidi w:val="0"/>
        <w:rPr>
          <w:rFonts w:hint="eastAsia"/>
          <w:color w:val="auto"/>
          <w:lang w:val="en-US" w:eastAsia="zh-CN"/>
        </w:rPr>
      </w:pPr>
      <w:r>
        <w:rPr>
          <w:rFonts w:hint="eastAsia"/>
          <w:color w:val="auto"/>
          <w:lang w:val="en-US" w:eastAsia="zh-CN"/>
        </w:rPr>
        <w:t>（4）由表5.6-7可知，杨家店尾矿库系统性风险中的坝坡面积水坑、拉沟、未覆土植被筑沟、超高超库容堆存尾矿、多种尾矿混排、尾矿粒径变细，无库水位标尺，监测设施出故障、被破坏，放牧、采矿、废料入库，淹溺、车辆伤害、触电、安全标志缺失、照明缺失、通讯设备缺失等二十六项危害因素为低风险，但仍需加以防范。</w:t>
      </w:r>
    </w:p>
    <w:p w14:paraId="2AC3AA98">
      <w:pPr>
        <w:bidi w:val="0"/>
        <w:rPr>
          <w:rFonts w:hint="eastAsia"/>
          <w:color w:val="auto"/>
          <w:lang w:val="en-US" w:eastAsia="zh-CN"/>
        </w:rPr>
      </w:pPr>
      <w:r>
        <w:rPr>
          <w:rFonts w:hint="eastAsia"/>
          <w:color w:val="auto"/>
          <w:lang w:val="en-US" w:eastAsia="zh-CN"/>
        </w:rPr>
        <w:t>（5）由表5.6-7可知，杨家店尾矿库系统性风险中的摔伤、中暑、冻伤、地震等六项危害因素为可忽略风险。</w:t>
      </w:r>
    </w:p>
    <w:p w14:paraId="7DBF56A9">
      <w:pPr>
        <w:bidi w:val="0"/>
        <w:rPr>
          <w:rFonts w:hint="eastAsia"/>
          <w:color w:val="auto"/>
          <w:lang w:val="en-US" w:eastAsia="zh-CN"/>
        </w:rPr>
      </w:pPr>
      <w:r>
        <w:rPr>
          <w:rFonts w:hint="eastAsia"/>
          <w:color w:val="auto"/>
          <w:lang w:val="en-US" w:eastAsia="zh-CN"/>
        </w:rPr>
        <w:t>（6）由表5.6-7可知，杨家店尾矿库安全管理中的未设置安全管理机构，未配备安全管理人员，主要负责人、安全管理人员、尾矿工未持证上岗，无安全设施设计或未审查批复，或重大设计变更未审查批复，尾矿库安全生产许可证、安全生产标准化证书失效等四项为高度风险，应严格执行相关法律法规、规章规定，及时处理或提前办理相关手续；杨家店尾矿库安全管理中的未开展安全教育培训，未开展安全检查、隐患排查治理与安全风险管控，无相关记录，未制定应急预案，预案未备案，未配备应急物资，未建立应急救援队伍，未开展应急演练活动，未按规定提取和使用安全费用，未缴纳工伤保险和安全生产责任险等十项为低风险，但仍需引起高度重视，积极组织落实整改。</w:t>
      </w:r>
    </w:p>
    <w:p w14:paraId="5EEDBB4F">
      <w:pPr>
        <w:bidi w:val="0"/>
        <w:rPr>
          <w:rFonts w:hint="eastAsia"/>
          <w:color w:val="auto"/>
          <w:lang w:val="en-US" w:eastAsia="zh-CN"/>
        </w:rPr>
      </w:pPr>
      <w:r>
        <w:rPr>
          <w:rFonts w:hint="eastAsia"/>
          <w:color w:val="auto"/>
          <w:lang w:val="en-US" w:eastAsia="zh-CN"/>
        </w:rPr>
        <w:t>（7）经重大危险源辨识，杨家店尾矿库不属于重大危险源范畴，但江西浒坑钨业有限责任公司仍应登记建档、定期检测、评估、监控，并制定应急预案及评审、备案，告知相关人员现场应急处置措施。</w:t>
      </w:r>
    </w:p>
    <w:p w14:paraId="05CBFE86">
      <w:pPr>
        <w:bidi w:val="0"/>
        <w:rPr>
          <w:rFonts w:hint="eastAsia"/>
          <w:color w:val="auto"/>
          <w:lang w:val="en-US" w:eastAsia="zh-CN"/>
        </w:rPr>
      </w:pPr>
      <w:r>
        <w:rPr>
          <w:rFonts w:hint="eastAsia"/>
          <w:color w:val="auto"/>
          <w:lang w:val="en-US" w:eastAsia="zh-CN"/>
        </w:rPr>
        <w:t>（8）杨家店尾矿库主坝下游1000m范围内有101户居民，属于“头顶库”，尾矿坝的安全对环境、社会公众影响巨大。依《江西省金属非金属矿尾矿库安全监管风险分级评定表》，杨家店尾矿库的风险等级为一级风险。江西浒坑钨业有限责任公司已实施了杨家店尾矿库升级改造工程，采取在线监测系统及增设其它设施（警报器、警示标识牌）等工程措施，提升尾矿库本质安全程度。并编制了《杨家店尾矿库“一库一策”实施方案》，加强了杨家店尾矿库尾矿坝、排洪系统、安全监测设施、辅助设施等安全设施的日常检查、维护工作，积极改善库区周边环境（如修建应急通道、砌筑护坡堡坎、构建排水沟等），防范山体意外滑坡造成杨家店尾矿库次生危害。</w:t>
      </w:r>
    </w:p>
    <w:p w14:paraId="246D92D7">
      <w:pPr>
        <w:bidi w:val="0"/>
        <w:rPr>
          <w:rFonts w:hint="eastAsia"/>
          <w:color w:val="auto"/>
          <w:lang w:val="en-US" w:eastAsia="zh-CN"/>
        </w:rPr>
      </w:pPr>
      <w:r>
        <w:rPr>
          <w:rFonts w:hint="eastAsia"/>
          <w:color w:val="auto"/>
          <w:lang w:val="en-US" w:eastAsia="zh-CN"/>
        </w:rPr>
        <w:t>通过上述工程、管理和个体防护及应急救援等措施的良好、有效落实，杨家店尾矿库的安全风险可控。</w:t>
      </w:r>
    </w:p>
    <w:p w14:paraId="3C3131DA">
      <w:pPr>
        <w:rPr>
          <w:rFonts w:hint="eastAsia"/>
          <w:color w:val="auto"/>
          <w:lang w:val="en-US" w:eastAsia="zh-CN"/>
        </w:rPr>
      </w:pPr>
      <w:r>
        <w:rPr>
          <w:rFonts w:hint="eastAsia"/>
          <w:color w:val="auto"/>
          <w:lang w:val="en-US" w:eastAsia="zh-CN"/>
        </w:rPr>
        <w:br w:type="page"/>
      </w:r>
    </w:p>
    <w:p w14:paraId="2D30E404">
      <w:pPr>
        <w:pStyle w:val="2"/>
        <w:numPr>
          <w:ilvl w:val="0"/>
          <w:numId w:val="2"/>
        </w:numPr>
        <w:bidi w:val="0"/>
        <w:ind w:left="0" w:leftChars="0" w:firstLine="0" w:firstLineChars="0"/>
        <w:rPr>
          <w:rFonts w:hint="eastAsia" w:ascii="Times New Roman" w:hAnsi="Times New Roman" w:cs="Times New Roman"/>
          <w:color w:val="auto"/>
          <w:lang w:val="en-US" w:eastAsia="zh-CN"/>
        </w:rPr>
      </w:pPr>
      <w:bookmarkStart w:id="145" w:name="_Toc22109"/>
      <w:r>
        <w:rPr>
          <w:rFonts w:hint="eastAsia" w:ascii="Times New Roman" w:hAnsi="Times New Roman" w:cs="Times New Roman"/>
          <w:color w:val="auto"/>
          <w:lang w:val="en-US" w:eastAsia="zh-CN"/>
        </w:rPr>
        <w:t>安全对策措施建议</w:t>
      </w:r>
      <w:bookmarkEnd w:id="145"/>
    </w:p>
    <w:p w14:paraId="1F8A8F5F">
      <w:pPr>
        <w:pStyle w:val="3"/>
        <w:bidi w:val="0"/>
        <w:rPr>
          <w:rFonts w:hint="eastAsia"/>
          <w:color w:val="auto"/>
          <w:lang w:val="en-US" w:eastAsia="zh-CN"/>
        </w:rPr>
      </w:pPr>
      <w:bookmarkStart w:id="146" w:name="_Toc5599"/>
      <w:r>
        <w:rPr>
          <w:rFonts w:hint="eastAsia"/>
          <w:color w:val="auto"/>
          <w:lang w:val="en-US" w:eastAsia="zh-CN"/>
        </w:rPr>
        <w:t>6.1 安全管理对策措施建议</w:t>
      </w:r>
      <w:bookmarkEnd w:id="146"/>
    </w:p>
    <w:p w14:paraId="61E41D4F">
      <w:pPr>
        <w:bidi w:val="0"/>
        <w:rPr>
          <w:rFonts w:hint="eastAsia"/>
          <w:color w:val="auto"/>
          <w:lang w:val="en-US" w:eastAsia="zh-CN"/>
        </w:rPr>
      </w:pPr>
      <w:r>
        <w:rPr>
          <w:rFonts w:hint="eastAsia"/>
          <w:color w:val="auto"/>
          <w:lang w:val="en-US" w:eastAsia="zh-CN"/>
        </w:rPr>
        <w:t>1. 企业应编制年、季作业计划和详细运行图表，严格按照《尾矿库安全规程》《尾矿库安全监督管理规定》和设计文件的要求，统筹安排和实施尾矿输送、排放、筑坝和防洪度汛、排洪的管理工作。</w:t>
      </w:r>
    </w:p>
    <w:p w14:paraId="3D9FB5CB">
      <w:pPr>
        <w:bidi w:val="0"/>
        <w:rPr>
          <w:rFonts w:hint="eastAsia"/>
          <w:color w:val="auto"/>
          <w:lang w:val="en-US" w:eastAsia="zh-CN"/>
        </w:rPr>
      </w:pPr>
      <w:r>
        <w:rPr>
          <w:rFonts w:hint="eastAsia"/>
          <w:color w:val="auto"/>
          <w:lang w:val="en-US" w:eastAsia="zh-CN"/>
        </w:rPr>
        <w:t>2. 企业应督促并检查尾矿工日常巡坝、检查尾矿库安全设施的执行情况，指导尾矿工认真填写好日常尾矿库交接班、巡查记录及尾矿库安全运行牌记录。</w:t>
      </w:r>
    </w:p>
    <w:p w14:paraId="135794D4">
      <w:pPr>
        <w:bidi w:val="0"/>
        <w:rPr>
          <w:rFonts w:hint="eastAsia"/>
          <w:color w:val="auto"/>
          <w:lang w:val="en-US" w:eastAsia="zh-CN"/>
        </w:rPr>
      </w:pPr>
      <w:r>
        <w:rPr>
          <w:rFonts w:hint="eastAsia"/>
          <w:color w:val="auto"/>
          <w:lang w:val="en-US" w:eastAsia="zh-CN"/>
        </w:rPr>
        <w:t>3. 企业应根据杨家店尾矿库的现状，修定切实可行的尾矿库生产安全事故应急预案，并及时对预案进行演练，分析评估演练效果，不断修订完善，使之具有针对性、有效性和及时性。</w:t>
      </w:r>
    </w:p>
    <w:p w14:paraId="43B27AB3">
      <w:pPr>
        <w:bidi w:val="0"/>
        <w:rPr>
          <w:rFonts w:hint="eastAsia"/>
          <w:color w:val="auto"/>
          <w:lang w:val="en-US" w:eastAsia="zh-CN"/>
        </w:rPr>
      </w:pPr>
      <w:r>
        <w:rPr>
          <w:rFonts w:hint="eastAsia"/>
          <w:color w:val="auto"/>
          <w:lang w:val="en-US" w:eastAsia="zh-CN"/>
        </w:rPr>
        <w:t>4. 企业应加强尾矿工的安全教育培训工作，并落实到位、做到持证上岗。</w:t>
      </w:r>
    </w:p>
    <w:p w14:paraId="3B99A247">
      <w:pPr>
        <w:bidi w:val="0"/>
        <w:rPr>
          <w:rFonts w:hint="eastAsia"/>
          <w:color w:val="auto"/>
          <w:lang w:val="en-US" w:eastAsia="zh-CN"/>
        </w:rPr>
      </w:pPr>
      <w:r>
        <w:rPr>
          <w:rFonts w:hint="eastAsia"/>
          <w:color w:val="auto"/>
          <w:lang w:val="en-US" w:eastAsia="zh-CN"/>
        </w:rPr>
        <w:t>5. 企业应重视和加强尾矿库的建设和管理资料的归档和保管工作。</w:t>
      </w:r>
    </w:p>
    <w:p w14:paraId="689610EB">
      <w:pPr>
        <w:bidi w:val="0"/>
        <w:rPr>
          <w:rFonts w:hint="eastAsia"/>
          <w:color w:val="auto"/>
          <w:lang w:val="en-US" w:eastAsia="zh-CN"/>
        </w:rPr>
      </w:pPr>
      <w:r>
        <w:rPr>
          <w:rFonts w:hint="eastAsia"/>
          <w:color w:val="auto"/>
          <w:lang w:val="en-US" w:eastAsia="zh-CN"/>
        </w:rPr>
        <w:t>（1）文件和图纸：①如设计图纸和说明，施工、竣工图纸和文字材料，包括初期坝、堆积坝、排水系统等；②立项报告、批复，竣工验收报告及工程的相关文件等。</w:t>
      </w:r>
    </w:p>
    <w:p w14:paraId="3430842B">
      <w:pPr>
        <w:bidi w:val="0"/>
        <w:rPr>
          <w:rFonts w:hint="eastAsia"/>
          <w:color w:val="auto"/>
          <w:lang w:val="en-US" w:eastAsia="zh-CN"/>
        </w:rPr>
      </w:pPr>
      <w:r>
        <w:rPr>
          <w:rFonts w:hint="eastAsia"/>
          <w:color w:val="auto"/>
          <w:lang w:val="en-US" w:eastAsia="zh-CN"/>
        </w:rPr>
        <w:t>（2）应制定观测设施管理制度，加强观测和保护，形成观测、分析记录，并备档存查。</w:t>
      </w:r>
    </w:p>
    <w:p w14:paraId="2F6A8710">
      <w:pPr>
        <w:bidi w:val="0"/>
        <w:rPr>
          <w:rFonts w:hint="eastAsia"/>
          <w:color w:val="auto"/>
          <w:lang w:val="en-US" w:eastAsia="zh-CN"/>
        </w:rPr>
      </w:pPr>
      <w:r>
        <w:rPr>
          <w:rFonts w:hint="eastAsia"/>
          <w:color w:val="auto"/>
          <w:lang w:val="en-US" w:eastAsia="zh-CN"/>
        </w:rPr>
        <w:t>6. 企业应确保安全措施费用专款专用并得到落实。</w:t>
      </w:r>
    </w:p>
    <w:p w14:paraId="188F6762">
      <w:pPr>
        <w:bidi w:val="0"/>
        <w:rPr>
          <w:rFonts w:hint="eastAsia"/>
          <w:color w:val="auto"/>
          <w:lang w:val="en-US" w:eastAsia="zh-CN"/>
        </w:rPr>
      </w:pPr>
      <w:r>
        <w:rPr>
          <w:rFonts w:hint="eastAsia"/>
          <w:color w:val="auto"/>
          <w:lang w:val="en-US" w:eastAsia="zh-CN"/>
        </w:rPr>
        <w:t>7. 企业应密切关注当地气象信息，在出入库区公路上设置安全警示牌，或配备锣鼓、喊话器，以便将险情信息及时传达和提醒出入库区人员。一旦发生险情，操作人员不得往下游奔跑，应往上游或山坡上避险。在雷雨天气，一般不暴露在野外，不得在大树下躲避。</w:t>
      </w:r>
    </w:p>
    <w:p w14:paraId="455634A8">
      <w:pPr>
        <w:bidi w:val="0"/>
        <w:rPr>
          <w:rFonts w:hint="eastAsia"/>
          <w:color w:val="auto"/>
          <w:lang w:val="en-US" w:eastAsia="zh-CN"/>
        </w:rPr>
      </w:pPr>
      <w:r>
        <w:rPr>
          <w:rFonts w:hint="eastAsia"/>
          <w:color w:val="auto"/>
          <w:lang w:val="en-US" w:eastAsia="zh-CN"/>
        </w:rPr>
        <w:t>8. 杨家店尾矿库的下游不宜再建住宅和其它设施，一旦发现有动工迹象即向有关部门反映予以制止。</w:t>
      </w:r>
    </w:p>
    <w:p w14:paraId="739730ED">
      <w:pPr>
        <w:bidi w:val="0"/>
        <w:rPr>
          <w:rFonts w:hint="eastAsia"/>
          <w:color w:val="auto"/>
          <w:lang w:val="en-US" w:eastAsia="zh-CN"/>
        </w:rPr>
      </w:pPr>
      <w:r>
        <w:rPr>
          <w:rFonts w:hint="eastAsia"/>
          <w:color w:val="auto"/>
          <w:lang w:val="en-US" w:eastAsia="zh-CN"/>
        </w:rPr>
        <w:t>9. 应加强库区山体巡查，详细观察周边山体有无异常和急变，有无滑坡、塌方和泥石流以及放牧、开垦、砍伐等情况。分析周边山体发生滑坡可能性，尤其是修建上坝道路时开挖山体后遗留陡坡的稳定性，防止山体滑塌伤人。</w:t>
      </w:r>
    </w:p>
    <w:p w14:paraId="1B13C50C">
      <w:pPr>
        <w:pStyle w:val="3"/>
        <w:bidi w:val="0"/>
        <w:rPr>
          <w:rFonts w:hint="eastAsia"/>
          <w:color w:val="auto"/>
          <w:lang w:val="en-US" w:eastAsia="zh-CN"/>
        </w:rPr>
      </w:pPr>
      <w:bookmarkStart w:id="147" w:name="_Toc5756"/>
      <w:r>
        <w:rPr>
          <w:rFonts w:hint="eastAsia"/>
          <w:color w:val="auto"/>
          <w:lang w:val="en-US" w:eastAsia="zh-CN"/>
        </w:rPr>
        <w:t>6.2 安全技术对策措施建议</w:t>
      </w:r>
      <w:bookmarkEnd w:id="147"/>
    </w:p>
    <w:p w14:paraId="436E1D9B">
      <w:pPr>
        <w:bidi w:val="0"/>
        <w:rPr>
          <w:rFonts w:hint="eastAsia"/>
          <w:color w:val="auto"/>
          <w:lang w:val="en-US" w:eastAsia="zh-CN"/>
        </w:rPr>
      </w:pPr>
      <w:r>
        <w:rPr>
          <w:rFonts w:hint="eastAsia"/>
          <w:color w:val="auto"/>
          <w:lang w:val="en-US" w:eastAsia="zh-CN"/>
        </w:rPr>
        <w:t>（一）加强尾矿坝检查</w:t>
      </w:r>
    </w:p>
    <w:p w14:paraId="22BBB7DD">
      <w:pPr>
        <w:bidi w:val="0"/>
        <w:rPr>
          <w:rFonts w:hint="eastAsia"/>
          <w:color w:val="auto"/>
          <w:lang w:val="en-US" w:eastAsia="zh-CN"/>
        </w:rPr>
      </w:pPr>
      <w:r>
        <w:rPr>
          <w:rFonts w:hint="eastAsia"/>
          <w:color w:val="auto"/>
          <w:lang w:val="en-US" w:eastAsia="zh-CN"/>
        </w:rPr>
        <w:t>（1）检查坝体位移。要求坝的位移量变化应均衡，无突变现象，且应逐年减小。当位移量变化出现突变或有增大趋势时，应查明原因，妥善处理；</w:t>
      </w:r>
    </w:p>
    <w:p w14:paraId="71661C96">
      <w:pPr>
        <w:bidi w:val="0"/>
        <w:rPr>
          <w:rFonts w:hint="eastAsia"/>
          <w:color w:val="auto"/>
          <w:lang w:val="en-US" w:eastAsia="zh-CN"/>
        </w:rPr>
      </w:pPr>
      <w:r>
        <w:rPr>
          <w:rFonts w:hint="eastAsia"/>
          <w:color w:val="auto"/>
          <w:lang w:val="en-US" w:eastAsia="zh-CN"/>
        </w:rPr>
        <w:t>（2）检查坝体有无纵、横向裂缝。坝体出现裂缝时．应查明裂缝的长度、宽度、深度、走向、形态和成因，判定危害程度，妥善处理；</w:t>
      </w:r>
    </w:p>
    <w:p w14:paraId="22A0788F">
      <w:pPr>
        <w:bidi w:val="0"/>
        <w:rPr>
          <w:rFonts w:hint="eastAsia"/>
          <w:color w:val="auto"/>
          <w:lang w:val="en-US" w:eastAsia="zh-CN"/>
        </w:rPr>
      </w:pPr>
      <w:r>
        <w:rPr>
          <w:rFonts w:hint="eastAsia"/>
          <w:color w:val="auto"/>
          <w:lang w:val="en-US" w:eastAsia="zh-CN"/>
        </w:rPr>
        <w:t>（3）检查坝体滑坡。坝体出现滑坡时，应查明滑坡位置、范围和形态以及滑坡的动态趋势；</w:t>
      </w:r>
    </w:p>
    <w:p w14:paraId="56F073E3">
      <w:pPr>
        <w:bidi w:val="0"/>
        <w:rPr>
          <w:rFonts w:hint="eastAsia"/>
          <w:color w:val="auto"/>
          <w:lang w:val="en-US" w:eastAsia="zh-CN"/>
        </w:rPr>
      </w:pPr>
      <w:r>
        <w:rPr>
          <w:rFonts w:hint="eastAsia"/>
          <w:color w:val="auto"/>
          <w:lang w:val="en-US" w:eastAsia="zh-CN"/>
        </w:rPr>
        <w:t>（4）检查坝体浸润线的深浅。</w:t>
      </w:r>
    </w:p>
    <w:p w14:paraId="6B1F72A3">
      <w:pPr>
        <w:bidi w:val="0"/>
        <w:rPr>
          <w:rFonts w:hint="eastAsia"/>
          <w:color w:val="auto"/>
          <w:lang w:val="en-US" w:eastAsia="zh-CN"/>
        </w:rPr>
      </w:pPr>
      <w:r>
        <w:rPr>
          <w:rFonts w:hint="eastAsia"/>
          <w:color w:val="auto"/>
          <w:lang w:val="en-US" w:eastAsia="zh-CN"/>
        </w:rPr>
        <w:t>（5）检查坝体及坝肩山体渗漏。应查明有无渗漏出逸点，出连点的位置、形态、流量及含沙量等；</w:t>
      </w:r>
    </w:p>
    <w:p w14:paraId="17F4AF5A">
      <w:pPr>
        <w:bidi w:val="0"/>
        <w:rPr>
          <w:rFonts w:hint="eastAsia"/>
          <w:color w:val="auto"/>
          <w:lang w:val="en-US" w:eastAsia="zh-CN"/>
        </w:rPr>
      </w:pPr>
      <w:r>
        <w:rPr>
          <w:rFonts w:hint="eastAsia"/>
          <w:color w:val="auto"/>
          <w:lang w:val="en-US" w:eastAsia="zh-CN"/>
        </w:rPr>
        <w:t>（6）检查坝肩沟沿线山坡稳定性、沟内淤堵等。</w:t>
      </w:r>
    </w:p>
    <w:p w14:paraId="163585BD">
      <w:pPr>
        <w:bidi w:val="0"/>
        <w:rPr>
          <w:rFonts w:hint="eastAsia"/>
          <w:color w:val="auto"/>
          <w:lang w:val="en-US" w:eastAsia="zh-CN"/>
        </w:rPr>
      </w:pPr>
      <w:r>
        <w:rPr>
          <w:rFonts w:hint="eastAsia"/>
          <w:color w:val="auto"/>
          <w:lang w:val="en-US" w:eastAsia="zh-CN"/>
        </w:rPr>
        <w:t>（7）加强放矿管理，实施库尾放矿。</w:t>
      </w:r>
    </w:p>
    <w:p w14:paraId="7CE060EA">
      <w:pPr>
        <w:bidi w:val="0"/>
        <w:rPr>
          <w:rFonts w:hint="eastAsia"/>
          <w:color w:val="auto"/>
          <w:lang w:val="en-US" w:eastAsia="zh-CN"/>
        </w:rPr>
      </w:pPr>
      <w:r>
        <w:rPr>
          <w:rFonts w:hint="eastAsia"/>
          <w:color w:val="auto"/>
          <w:lang w:val="en-US" w:eastAsia="zh-CN"/>
        </w:rPr>
        <w:t>（二）加强尾矿库的防洪度汛安全管理工作</w:t>
      </w:r>
    </w:p>
    <w:p w14:paraId="314C8AE3">
      <w:pPr>
        <w:bidi w:val="0"/>
        <w:rPr>
          <w:rFonts w:hint="eastAsia"/>
          <w:color w:val="auto"/>
          <w:lang w:val="en-US" w:eastAsia="zh-CN"/>
        </w:rPr>
      </w:pPr>
      <w:r>
        <w:rPr>
          <w:rFonts w:hint="eastAsia"/>
          <w:color w:val="auto"/>
          <w:lang w:val="en-US" w:eastAsia="zh-CN"/>
        </w:rPr>
        <w:t>（1）汛前应按下列要求制定度汛方案：</w:t>
      </w:r>
    </w:p>
    <w:p w14:paraId="475CE93F">
      <w:pPr>
        <w:bidi w:val="0"/>
        <w:rPr>
          <w:rFonts w:hint="eastAsia"/>
          <w:color w:val="auto"/>
          <w:lang w:val="en-US" w:eastAsia="zh-CN"/>
        </w:rPr>
      </w:pPr>
      <w:r>
        <w:rPr>
          <w:rFonts w:hint="eastAsia"/>
          <w:color w:val="auto"/>
          <w:lang w:val="en-US" w:eastAsia="zh-CN"/>
        </w:rPr>
        <w:t>①及时清除库区排洪设施、块石和树木杂草，尤其要做好排水设施的清堵除堵工作，避免汛期因排水井淤堵而出现洪水漫顶现象；</w:t>
      </w:r>
    </w:p>
    <w:p w14:paraId="0F232DDC">
      <w:pPr>
        <w:bidi w:val="0"/>
        <w:rPr>
          <w:rFonts w:hint="eastAsia"/>
          <w:color w:val="auto"/>
          <w:lang w:val="en-US" w:eastAsia="zh-CN"/>
        </w:rPr>
      </w:pPr>
      <w:r>
        <w:rPr>
          <w:rFonts w:hint="eastAsia"/>
          <w:color w:val="auto"/>
          <w:lang w:val="en-US" w:eastAsia="zh-CN"/>
        </w:rPr>
        <w:t>②应准备好必要的抢险、交通、通讯、供电及照明器材或设施，维护整修上坝道路，并确保安全畅通；</w:t>
      </w:r>
    </w:p>
    <w:p w14:paraId="6118539C">
      <w:pPr>
        <w:bidi w:val="0"/>
        <w:rPr>
          <w:rFonts w:hint="eastAsia"/>
          <w:color w:val="auto"/>
          <w:lang w:val="en-US" w:eastAsia="zh-CN"/>
        </w:rPr>
      </w:pPr>
      <w:r>
        <w:rPr>
          <w:rFonts w:hint="eastAsia"/>
          <w:color w:val="auto"/>
          <w:lang w:val="en-US" w:eastAsia="zh-CN"/>
        </w:rPr>
        <w:t>③应加强值班和巡逻，设警报信号和组织抢险队伍，根据当地具体情况与地方政府一起制定下游居民撤离险区方案及实施办法；</w:t>
      </w:r>
    </w:p>
    <w:p w14:paraId="177AAC17">
      <w:pPr>
        <w:bidi w:val="0"/>
        <w:rPr>
          <w:rFonts w:hint="eastAsia"/>
          <w:color w:val="auto"/>
          <w:lang w:val="en-US" w:eastAsia="zh-CN"/>
        </w:rPr>
      </w:pPr>
      <w:r>
        <w:rPr>
          <w:rFonts w:hint="eastAsia"/>
          <w:color w:val="auto"/>
          <w:lang w:val="en-US" w:eastAsia="zh-CN"/>
        </w:rPr>
        <w:t>④及时了解掌握汛期水情和气象预报。</w:t>
      </w:r>
    </w:p>
    <w:p w14:paraId="3F14D777">
      <w:pPr>
        <w:bidi w:val="0"/>
        <w:rPr>
          <w:rFonts w:hint="eastAsia"/>
          <w:color w:val="auto"/>
          <w:lang w:val="en-US" w:eastAsia="zh-CN"/>
        </w:rPr>
      </w:pPr>
      <w:r>
        <w:rPr>
          <w:rFonts w:hint="eastAsia"/>
          <w:color w:val="auto"/>
          <w:lang w:val="en-US" w:eastAsia="zh-CN"/>
        </w:rPr>
        <w:t>（2）暴雨过后应对排水井进行全面认真的检查与清理。若发现问题应及时修复。</w:t>
      </w:r>
    </w:p>
    <w:p w14:paraId="1D287D1E">
      <w:pPr>
        <w:bidi w:val="0"/>
        <w:rPr>
          <w:rFonts w:hint="eastAsia"/>
          <w:color w:val="auto"/>
          <w:lang w:val="en-US" w:eastAsia="zh-CN"/>
        </w:rPr>
      </w:pPr>
      <w:r>
        <w:rPr>
          <w:rFonts w:hint="eastAsia"/>
          <w:color w:val="auto"/>
          <w:lang w:val="en-US" w:eastAsia="zh-CN"/>
        </w:rPr>
        <w:t>（3）并不定期清除进水口附近水面的漂浮物。</w:t>
      </w:r>
    </w:p>
    <w:p w14:paraId="4F4D2FC8">
      <w:pPr>
        <w:bidi w:val="0"/>
        <w:rPr>
          <w:rFonts w:hint="eastAsia"/>
          <w:color w:val="auto"/>
          <w:lang w:val="en-US" w:eastAsia="zh-CN"/>
        </w:rPr>
      </w:pPr>
      <w:r>
        <w:rPr>
          <w:rFonts w:hint="eastAsia"/>
          <w:color w:val="auto"/>
          <w:lang w:val="en-US" w:eastAsia="zh-CN"/>
        </w:rPr>
        <w:t>（4）密切关注库内水位高程变化以及水域澄清面积，以尾矿水不跑浑为标准，适时添加或拆除排水井拱板。封堵作业人员应小心抬放拱板，并系好安全带或穿好救生衣，确保封堵质量。</w:t>
      </w:r>
    </w:p>
    <w:p w14:paraId="73FAB046">
      <w:pPr>
        <w:bidi w:val="0"/>
        <w:rPr>
          <w:rFonts w:hint="eastAsia"/>
          <w:color w:val="auto"/>
          <w:lang w:val="en-US" w:eastAsia="zh-CN"/>
        </w:rPr>
      </w:pPr>
      <w:r>
        <w:rPr>
          <w:rFonts w:hint="eastAsia"/>
          <w:color w:val="auto"/>
          <w:lang w:val="en-US" w:eastAsia="zh-CN"/>
        </w:rPr>
        <w:t>（5）库水位观测标尺应标明正常运行水位和警戒水位，并及时刷新排水井的水位标尺。</w:t>
      </w:r>
    </w:p>
    <w:p w14:paraId="56469CF1">
      <w:pPr>
        <w:bidi w:val="0"/>
        <w:rPr>
          <w:rFonts w:hint="eastAsia"/>
          <w:color w:val="auto"/>
          <w:lang w:val="en-US" w:eastAsia="zh-CN"/>
        </w:rPr>
      </w:pPr>
      <w:r>
        <w:rPr>
          <w:rFonts w:hint="eastAsia"/>
          <w:color w:val="auto"/>
          <w:lang w:val="en-US" w:eastAsia="zh-CN"/>
        </w:rPr>
        <w:t>（6）下游1000m范围内有居民点，建议矿方应做好以下几点要求：</w:t>
      </w:r>
    </w:p>
    <w:p w14:paraId="368FB14C">
      <w:pPr>
        <w:bidi w:val="0"/>
        <w:rPr>
          <w:rFonts w:hint="eastAsia"/>
          <w:color w:val="auto"/>
          <w:lang w:val="en-US" w:eastAsia="zh-CN"/>
        </w:rPr>
      </w:pPr>
      <w:r>
        <w:rPr>
          <w:rFonts w:hint="eastAsia"/>
          <w:color w:val="auto"/>
          <w:lang w:val="en-US" w:eastAsia="zh-CN"/>
        </w:rPr>
        <w:t>①矿方应与当地政府建立应急联动机制，按相关规范要求定期进行尾矿库事故应急演练，树立杨家店尾矿库紧急避险图，指导下游居民当尾矿库发生事故时如何安全的撤离至安全地点，矿方应在尾矿库事故应急预案中写明撤离时指定线路、方向、地点，并把紧急避险图及时发放到下游居民手中。</w:t>
      </w:r>
    </w:p>
    <w:p w14:paraId="0B7DDBB9">
      <w:pPr>
        <w:bidi w:val="0"/>
        <w:rPr>
          <w:rFonts w:hint="eastAsia"/>
          <w:color w:val="auto"/>
          <w:lang w:val="en-US" w:eastAsia="zh-CN"/>
        </w:rPr>
      </w:pPr>
      <w:r>
        <w:rPr>
          <w:rFonts w:hint="eastAsia"/>
          <w:color w:val="auto"/>
          <w:lang w:val="en-US" w:eastAsia="zh-CN"/>
        </w:rPr>
        <w:t>②建议矿方按相关要求配备齐全相关应急救援物资（土石、铁锹、布袋、大功率排水泵等）。</w:t>
      </w:r>
    </w:p>
    <w:p w14:paraId="7EE67469">
      <w:pPr>
        <w:rPr>
          <w:rFonts w:hint="default"/>
          <w:color w:val="auto"/>
          <w:lang w:val="en-US" w:eastAsia="zh-CN"/>
        </w:rPr>
      </w:pPr>
      <w:r>
        <w:rPr>
          <w:rFonts w:hint="default"/>
          <w:color w:val="auto"/>
          <w:lang w:val="en-US" w:eastAsia="zh-CN"/>
        </w:rPr>
        <w:br w:type="page"/>
      </w:r>
    </w:p>
    <w:p w14:paraId="587B3F85">
      <w:pPr>
        <w:pStyle w:val="2"/>
        <w:numPr>
          <w:ilvl w:val="0"/>
          <w:numId w:val="2"/>
        </w:numPr>
        <w:bidi w:val="0"/>
        <w:ind w:left="0" w:leftChars="0" w:firstLine="0" w:firstLineChars="0"/>
        <w:rPr>
          <w:rFonts w:hint="default" w:ascii="Times New Roman" w:hAnsi="Times New Roman" w:cs="Times New Roman"/>
          <w:color w:val="auto"/>
          <w:lang w:val="en-US" w:eastAsia="zh-CN"/>
        </w:rPr>
      </w:pPr>
      <w:bookmarkStart w:id="148" w:name="_Toc29098"/>
      <w:r>
        <w:rPr>
          <w:rFonts w:hint="default" w:ascii="Times New Roman" w:hAnsi="Times New Roman" w:cs="Times New Roman"/>
          <w:color w:val="auto"/>
          <w:lang w:val="en-US" w:eastAsia="zh-CN"/>
        </w:rPr>
        <w:t>安全评估结论</w:t>
      </w:r>
      <w:bookmarkEnd w:id="148"/>
    </w:p>
    <w:p w14:paraId="33BB0BEA">
      <w:pPr>
        <w:keepNext w:val="0"/>
        <w:keepLines w:val="0"/>
        <w:pageBreakBefore w:val="0"/>
        <w:widowControl w:val="0"/>
        <w:kinsoku/>
        <w:wordWrap/>
        <w:overflowPunct/>
        <w:topLinePunct w:val="0"/>
        <w:autoSpaceDE/>
        <w:autoSpaceDN/>
        <w:bidi w:val="0"/>
        <w:adjustRightInd/>
        <w:snapToGrid/>
        <w:spacing w:line="420" w:lineRule="auto"/>
        <w:textAlignment w:val="auto"/>
        <w:rPr>
          <w:rFonts w:hint="default"/>
          <w:color w:val="auto"/>
          <w:lang w:val="en-US" w:eastAsia="zh-CN"/>
        </w:rPr>
      </w:pPr>
      <w:r>
        <w:rPr>
          <w:rFonts w:hint="default"/>
          <w:color w:val="auto"/>
          <w:lang w:val="en-US" w:eastAsia="zh-CN"/>
        </w:rPr>
        <w:t>本次评估根据国家已颁布的有关安全生产法律、法规及相关文件精神，本着科学、公正、合法、自主的原则，对江西浒坑钨业有限公司杨家店尾矿库的安全管理状况、安全设施、运行状况及周边环境进行了检查、分析，对其与安全设施设计及有关安全生产法律法规、规章和标准的符合性进行了安全评估，得出如下结论：</w:t>
      </w:r>
    </w:p>
    <w:p w14:paraId="331F9D0A">
      <w:pPr>
        <w:keepNext w:val="0"/>
        <w:keepLines w:val="0"/>
        <w:pageBreakBefore w:val="0"/>
        <w:widowControl w:val="0"/>
        <w:kinsoku/>
        <w:wordWrap/>
        <w:overflowPunct/>
        <w:topLinePunct w:val="0"/>
        <w:autoSpaceDE/>
        <w:autoSpaceDN/>
        <w:bidi w:val="0"/>
        <w:adjustRightInd/>
        <w:snapToGrid/>
        <w:spacing w:line="420" w:lineRule="auto"/>
        <w:textAlignment w:val="auto"/>
        <w:rPr>
          <w:rFonts w:hint="default"/>
          <w:color w:val="auto"/>
          <w:lang w:val="en-US" w:eastAsia="zh-CN"/>
        </w:rPr>
      </w:pPr>
      <w:r>
        <w:rPr>
          <w:rFonts w:hint="default"/>
          <w:color w:val="auto"/>
          <w:lang w:val="en-US" w:eastAsia="zh-CN"/>
        </w:rPr>
        <w:t>（1）库区工程地质条件、水文地质条件适宜杨家店尾矿库建设，不影响杨家店尾矿库正常运行；杨家店尾矿库对下游村庄、道路和小溪对杨家店尾矿库的影响，应引起高度重视，加以防范。</w:t>
      </w:r>
    </w:p>
    <w:p w14:paraId="39F4E833">
      <w:pPr>
        <w:keepNext w:val="0"/>
        <w:keepLines w:val="0"/>
        <w:pageBreakBefore w:val="0"/>
        <w:widowControl w:val="0"/>
        <w:kinsoku/>
        <w:wordWrap/>
        <w:overflowPunct/>
        <w:topLinePunct w:val="0"/>
        <w:autoSpaceDE/>
        <w:autoSpaceDN/>
        <w:bidi w:val="0"/>
        <w:adjustRightInd/>
        <w:snapToGrid/>
        <w:spacing w:line="420" w:lineRule="auto"/>
        <w:textAlignment w:val="auto"/>
        <w:rPr>
          <w:rFonts w:hint="default"/>
          <w:color w:val="auto"/>
          <w:lang w:val="en-US" w:eastAsia="zh-CN"/>
        </w:rPr>
      </w:pPr>
      <w:r>
        <w:rPr>
          <w:rFonts w:hint="default"/>
          <w:color w:val="auto"/>
          <w:lang w:val="en-US" w:eastAsia="zh-CN"/>
        </w:rPr>
        <w:t>（2）江西浒坑钨业有限公司杨家店尾矿库的尾矿坝、排水排洪设施、观测设施均符合设计要求，尾矿坝、排水排洪设施无损毁现象，运行工况均正常。经尾矿坝稳定性分析和洪水复核，江西浒坑钨业有限公司杨家店尾矿库尾矿坝坝体稳定、排水排洪设施泄洪能力满足设计要求。</w:t>
      </w:r>
    </w:p>
    <w:p w14:paraId="7065D9AB">
      <w:pPr>
        <w:keepNext w:val="0"/>
        <w:keepLines w:val="0"/>
        <w:pageBreakBefore w:val="0"/>
        <w:widowControl w:val="0"/>
        <w:kinsoku/>
        <w:wordWrap/>
        <w:overflowPunct/>
        <w:topLinePunct w:val="0"/>
        <w:autoSpaceDE/>
        <w:autoSpaceDN/>
        <w:bidi w:val="0"/>
        <w:adjustRightInd/>
        <w:snapToGrid/>
        <w:spacing w:line="420" w:lineRule="auto"/>
        <w:textAlignment w:val="auto"/>
        <w:rPr>
          <w:rFonts w:hint="default"/>
          <w:color w:val="auto"/>
          <w:lang w:val="en-US" w:eastAsia="zh-CN"/>
        </w:rPr>
      </w:pPr>
      <w:r>
        <w:rPr>
          <w:rFonts w:hint="default"/>
          <w:color w:val="auto"/>
          <w:lang w:val="en-US" w:eastAsia="zh-CN"/>
        </w:rPr>
        <w:t>（3）江西浒坑钨业有限公司杨家店尾矿库现实施库内尾矿湿排工艺，符合设计要求，作业现场秩序井然、管理规范。</w:t>
      </w:r>
    </w:p>
    <w:p w14:paraId="69A2E4F4">
      <w:pPr>
        <w:keepNext w:val="0"/>
        <w:keepLines w:val="0"/>
        <w:pageBreakBefore w:val="0"/>
        <w:widowControl w:val="0"/>
        <w:kinsoku/>
        <w:wordWrap/>
        <w:overflowPunct/>
        <w:topLinePunct w:val="0"/>
        <w:autoSpaceDE/>
        <w:autoSpaceDN/>
        <w:bidi w:val="0"/>
        <w:adjustRightInd/>
        <w:snapToGrid/>
        <w:spacing w:line="420" w:lineRule="auto"/>
        <w:textAlignment w:val="auto"/>
        <w:rPr>
          <w:rFonts w:hint="default"/>
          <w:color w:val="auto"/>
          <w:lang w:val="en-US" w:eastAsia="zh-CN"/>
        </w:rPr>
      </w:pPr>
      <w:r>
        <w:rPr>
          <w:rFonts w:hint="default"/>
          <w:color w:val="auto"/>
          <w:lang w:val="en-US" w:eastAsia="zh-CN"/>
        </w:rPr>
        <w:t>（4）通过对江西浒坑钨业有限公司杨家店尾矿库各单元安全检查表分析评估，江西浒坑钨业有限公司杨家店尾矿库安全生产基本条件和技术保障条件符合安全生产法律法规的要求。</w:t>
      </w:r>
    </w:p>
    <w:p w14:paraId="37EFF042">
      <w:pPr>
        <w:keepNext w:val="0"/>
        <w:keepLines w:val="0"/>
        <w:pageBreakBefore w:val="0"/>
        <w:widowControl w:val="0"/>
        <w:kinsoku/>
        <w:wordWrap/>
        <w:overflowPunct/>
        <w:topLinePunct w:val="0"/>
        <w:autoSpaceDE/>
        <w:autoSpaceDN/>
        <w:bidi w:val="0"/>
        <w:adjustRightInd/>
        <w:snapToGrid/>
        <w:spacing w:line="420" w:lineRule="auto"/>
        <w:textAlignment w:val="auto"/>
        <w:rPr>
          <w:rFonts w:hint="default"/>
          <w:color w:val="auto"/>
          <w:lang w:val="en-US" w:eastAsia="zh-CN"/>
        </w:rPr>
      </w:pPr>
      <w:r>
        <w:rPr>
          <w:rFonts w:hint="default"/>
          <w:color w:val="auto"/>
          <w:lang w:val="en-US" w:eastAsia="zh-CN"/>
        </w:rPr>
        <w:t>（5）江西浒坑钨业有限公司应认真考虑本报告中分析的危险、有害因素，积极落实所提出的各项安全对策措施和建议，按照国家安全生产法律、法规、行业规程要求进行改进、完善，全面推行并巩固安全生产标准化成果，提高尾矿库的本质安全程度，实现安全生产。</w:t>
      </w:r>
    </w:p>
    <w:p w14:paraId="3D0527B5">
      <w:pPr>
        <w:bidi w:val="0"/>
        <w:rPr>
          <w:rFonts w:hint="default"/>
          <w:b/>
          <w:bCs/>
          <w:color w:val="auto"/>
          <w:lang w:val="en-US" w:eastAsia="zh-CN"/>
        </w:rPr>
      </w:pPr>
      <w:r>
        <w:rPr>
          <w:rFonts w:hint="default"/>
          <w:b/>
          <w:bCs/>
          <w:color w:val="auto"/>
          <w:lang w:val="en-US" w:eastAsia="zh-CN"/>
        </w:rPr>
        <w:t>综上所述：江西浒坑钨业有限公司杨家店尾矿库按照国家有关安全生产法律法规和有关标准、规范，以及安全设施设计进行了建设，构建了隐患排查与风险管控双重预防机制，并实实在在的开展了相关工作；江西浒坑钨业有限公司杨家店尾矿库尾矿坝处于安全稳定状态，排洪、排水构筑物的防洪能力满足泄洪要求，现场安全管理规范，符合安全生产条件，安全风险可控。</w:t>
      </w:r>
    </w:p>
    <w:p w14:paraId="01FD79BB">
      <w:pPr>
        <w:rPr>
          <w:rFonts w:hint="default"/>
          <w:color w:val="auto"/>
          <w:lang w:val="en-US" w:eastAsia="zh-CN"/>
        </w:rPr>
      </w:pPr>
      <w:r>
        <w:rPr>
          <w:rFonts w:hint="default"/>
          <w:color w:val="auto"/>
          <w:lang w:val="en-US" w:eastAsia="zh-CN"/>
        </w:rPr>
        <w:br w:type="page"/>
      </w:r>
    </w:p>
    <w:p w14:paraId="7A8DA256">
      <w:pPr>
        <w:pStyle w:val="2"/>
        <w:numPr>
          <w:ilvl w:val="0"/>
          <w:numId w:val="2"/>
        </w:numPr>
        <w:bidi w:val="0"/>
        <w:ind w:left="0" w:leftChars="0" w:firstLine="0" w:firstLineChars="0"/>
        <w:rPr>
          <w:rFonts w:hint="default" w:ascii="Times New Roman" w:hAnsi="Times New Roman" w:cs="Times New Roman"/>
          <w:color w:val="auto"/>
          <w:lang w:val="en-US" w:eastAsia="zh-CN"/>
        </w:rPr>
      </w:pPr>
      <w:bookmarkStart w:id="149" w:name="_Toc14786"/>
      <w:r>
        <w:rPr>
          <w:rFonts w:hint="default" w:ascii="Times New Roman" w:hAnsi="Times New Roman" w:cs="Times New Roman"/>
          <w:color w:val="auto"/>
          <w:lang w:val="en-US" w:eastAsia="zh-CN"/>
        </w:rPr>
        <w:t>附图附件</w:t>
      </w:r>
      <w:bookmarkEnd w:id="149"/>
    </w:p>
    <w:p w14:paraId="041B24E2">
      <w:pPr>
        <w:pStyle w:val="3"/>
        <w:bidi w:val="0"/>
        <w:rPr>
          <w:rFonts w:hint="default"/>
          <w:color w:val="auto"/>
          <w:lang w:val="en-US" w:eastAsia="zh-CN"/>
        </w:rPr>
      </w:pPr>
      <w:bookmarkStart w:id="150" w:name="_Toc17025"/>
      <w:r>
        <w:rPr>
          <w:rFonts w:hint="default"/>
          <w:color w:val="auto"/>
          <w:lang w:val="en-US" w:eastAsia="zh-CN"/>
        </w:rPr>
        <w:t>8.1</w:t>
      </w:r>
      <w:r>
        <w:rPr>
          <w:rFonts w:hint="eastAsia"/>
          <w:color w:val="auto"/>
          <w:lang w:val="en-US" w:eastAsia="zh-CN"/>
        </w:rPr>
        <w:t xml:space="preserve"> </w:t>
      </w:r>
      <w:r>
        <w:rPr>
          <w:rFonts w:hint="default"/>
          <w:color w:val="auto"/>
          <w:lang w:val="en-US" w:eastAsia="zh-CN"/>
        </w:rPr>
        <w:t>附图</w:t>
      </w:r>
      <w:bookmarkEnd w:id="150"/>
    </w:p>
    <w:p w14:paraId="327A6743">
      <w:pPr>
        <w:bidi w:val="0"/>
        <w:rPr>
          <w:rFonts w:hint="default"/>
          <w:color w:val="auto"/>
          <w:lang w:val="en-US" w:eastAsia="zh-CN"/>
        </w:rPr>
      </w:pPr>
      <w:r>
        <w:rPr>
          <w:rFonts w:hint="default"/>
          <w:color w:val="auto"/>
          <w:lang w:val="en-US" w:eastAsia="zh-CN"/>
        </w:rPr>
        <w:t>（1）杨家店尾矿库平面布置图</w:t>
      </w:r>
    </w:p>
    <w:p w14:paraId="4B761F72">
      <w:pPr>
        <w:bidi w:val="0"/>
        <w:rPr>
          <w:rFonts w:hint="default"/>
          <w:color w:val="auto"/>
          <w:lang w:val="en-US" w:eastAsia="zh-CN"/>
        </w:rPr>
      </w:pPr>
      <w:r>
        <w:rPr>
          <w:rFonts w:hint="default"/>
          <w:color w:val="auto"/>
          <w:lang w:val="en-US" w:eastAsia="zh-CN"/>
        </w:rPr>
        <w:t>（2）尾矿坝剖面图</w:t>
      </w:r>
    </w:p>
    <w:p w14:paraId="0CE2B705">
      <w:pPr>
        <w:bidi w:val="0"/>
        <w:rPr>
          <w:rFonts w:hint="eastAsia"/>
          <w:color w:val="auto"/>
          <w:lang w:val="en-US" w:eastAsia="zh-CN"/>
        </w:rPr>
      </w:pPr>
      <w:r>
        <w:rPr>
          <w:rFonts w:hint="eastAsia"/>
          <w:color w:val="auto"/>
          <w:lang w:val="en-US" w:eastAsia="zh-CN"/>
        </w:rPr>
        <w:t>（3）排洪系统剖面图</w:t>
      </w:r>
    </w:p>
    <w:p w14:paraId="75188580">
      <w:pPr>
        <w:pStyle w:val="3"/>
        <w:bidi w:val="0"/>
        <w:rPr>
          <w:rFonts w:hint="default"/>
          <w:color w:val="auto"/>
          <w:lang w:val="en-US" w:eastAsia="zh-CN"/>
        </w:rPr>
      </w:pPr>
      <w:bookmarkStart w:id="151" w:name="_Toc31580"/>
      <w:r>
        <w:rPr>
          <w:rFonts w:hint="default"/>
          <w:color w:val="auto"/>
          <w:lang w:val="en-US" w:eastAsia="zh-CN"/>
        </w:rPr>
        <w:t>8.2</w:t>
      </w:r>
      <w:r>
        <w:rPr>
          <w:rFonts w:hint="eastAsia"/>
          <w:color w:val="auto"/>
          <w:lang w:val="en-US" w:eastAsia="zh-CN"/>
        </w:rPr>
        <w:t xml:space="preserve"> </w:t>
      </w:r>
      <w:r>
        <w:rPr>
          <w:rFonts w:hint="default"/>
          <w:color w:val="auto"/>
          <w:lang w:val="en-US" w:eastAsia="zh-CN"/>
        </w:rPr>
        <w:t>附件</w:t>
      </w:r>
      <w:bookmarkEnd w:id="151"/>
    </w:p>
    <w:p w14:paraId="49A5D14D">
      <w:pPr>
        <w:bidi w:val="0"/>
        <w:rPr>
          <w:rFonts w:hint="default"/>
          <w:color w:val="auto"/>
          <w:lang w:val="en-US" w:eastAsia="zh-CN"/>
        </w:rPr>
      </w:pPr>
      <w:r>
        <w:rPr>
          <w:rFonts w:hint="default"/>
          <w:color w:val="auto"/>
          <w:lang w:val="en-US" w:eastAsia="zh-CN"/>
        </w:rPr>
        <w:t>（1）企业营业执照</w:t>
      </w:r>
    </w:p>
    <w:p w14:paraId="5C6D9CD7">
      <w:pPr>
        <w:bidi w:val="0"/>
        <w:rPr>
          <w:rFonts w:hint="default"/>
          <w:color w:val="auto"/>
          <w:lang w:val="en-US" w:eastAsia="zh-CN"/>
        </w:rPr>
      </w:pPr>
      <w:r>
        <w:rPr>
          <w:rFonts w:hint="default"/>
          <w:color w:val="auto"/>
          <w:lang w:val="en-US" w:eastAsia="zh-CN"/>
        </w:rPr>
        <w:t>（2）尾矿库安全生产许可证</w:t>
      </w:r>
    </w:p>
    <w:p w14:paraId="29224DFC">
      <w:pPr>
        <w:bidi w:val="0"/>
        <w:rPr>
          <w:rFonts w:hint="default"/>
          <w:color w:val="auto"/>
          <w:lang w:val="en-US" w:eastAsia="zh-CN"/>
        </w:rPr>
      </w:pPr>
      <w:r>
        <w:rPr>
          <w:rFonts w:hint="default"/>
          <w:color w:val="auto"/>
          <w:lang w:val="en-US" w:eastAsia="zh-CN"/>
        </w:rPr>
        <w:t>（3）其他证照和佐证材料</w:t>
      </w:r>
    </w:p>
    <w:p w14:paraId="6CC0E760">
      <w:pPr>
        <w:bidi w:val="0"/>
        <w:ind w:left="0" w:leftChars="0" w:firstLine="0" w:firstLineChars="0"/>
        <w:rPr>
          <w:rFonts w:hint="default"/>
          <w:color w:val="auto"/>
          <w:lang w:val="en-US" w:eastAsia="zh-CN"/>
        </w:rPr>
      </w:pPr>
      <w:r>
        <w:rPr>
          <w:rFonts w:hint="default"/>
          <w:color w:val="auto"/>
          <w:lang w:val="en-US" w:eastAsia="zh-CN"/>
        </w:rPr>
        <w:t>附：评</w:t>
      </w:r>
      <w:r>
        <w:rPr>
          <w:rFonts w:hint="eastAsia"/>
          <w:color w:val="auto"/>
          <w:lang w:val="en-US" w:eastAsia="zh-CN"/>
        </w:rPr>
        <w:t>估</w:t>
      </w:r>
      <w:r>
        <w:rPr>
          <w:rFonts w:hint="default"/>
          <w:color w:val="auto"/>
          <w:lang w:val="en-US" w:eastAsia="zh-CN"/>
        </w:rPr>
        <w:t>人员与企业安全管理人员现场合影</w:t>
      </w:r>
    </w:p>
    <w:p w14:paraId="425E692C">
      <w:pPr>
        <w:bidi w:val="0"/>
        <w:ind w:left="0" w:leftChars="0" w:firstLine="0" w:firstLineChars="0"/>
        <w:jc w:val="center"/>
        <w:rPr>
          <w:rFonts w:hint="default"/>
          <w:color w:val="auto"/>
          <w:lang w:val="en-US" w:eastAsia="zh-CN"/>
        </w:rPr>
      </w:pPr>
      <w:r>
        <w:rPr>
          <w:rFonts w:hint="default"/>
          <w:color w:val="auto"/>
          <w:lang w:val="en-US" w:eastAsia="zh-CN"/>
        </w:rPr>
        <w:drawing>
          <wp:inline distT="0" distB="0" distL="114300" distR="114300">
            <wp:extent cx="5039995" cy="3779520"/>
            <wp:effectExtent l="0" t="0" r="8255" b="11430"/>
            <wp:docPr id="9" name="图片 9" descr="IMG_8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IMG_8038"/>
                    <pic:cNvPicPr>
                      <a:picLocks noChangeAspect="1"/>
                    </pic:cNvPicPr>
                  </pic:nvPicPr>
                  <pic:blipFill>
                    <a:blip r:embed="rId80"/>
                    <a:stretch>
                      <a:fillRect/>
                    </a:stretch>
                  </pic:blipFill>
                  <pic:spPr>
                    <a:xfrm>
                      <a:off x="0" y="0"/>
                      <a:ext cx="5039995" cy="3779520"/>
                    </a:xfrm>
                    <a:prstGeom prst="rect">
                      <a:avLst/>
                    </a:prstGeom>
                  </pic:spPr>
                </pic:pic>
              </a:graphicData>
            </a:graphic>
          </wp:inline>
        </w:drawing>
      </w:r>
    </w:p>
    <w:p w14:paraId="4C99C044">
      <w:pPr>
        <w:bidi w:val="0"/>
        <w:rPr>
          <w:rFonts w:hint="default"/>
          <w:color w:val="auto"/>
          <w:lang w:val="en-US" w:eastAsia="zh-CN"/>
        </w:rPr>
      </w:pPr>
    </w:p>
    <w:p w14:paraId="44064259">
      <w:pPr>
        <w:bidi w:val="0"/>
        <w:rPr>
          <w:rFonts w:hint="default"/>
          <w:color w:val="auto"/>
          <w:lang w:val="en-US" w:eastAsia="zh-CN"/>
        </w:rPr>
      </w:pPr>
    </w:p>
    <w:p w14:paraId="6D2BEAD2">
      <w:pPr>
        <w:bidi w:val="0"/>
        <w:rPr>
          <w:rFonts w:hint="default"/>
          <w:color w:val="auto"/>
          <w:lang w:val="en-US" w:eastAsia="zh-CN"/>
        </w:rPr>
      </w:pPr>
    </w:p>
    <w:sectPr>
      <w:headerReference r:id="rId14" w:type="default"/>
      <w:footerReference r:id="rId15" w:type="default"/>
      <w:pgSz w:w="11906" w:h="16839"/>
      <w:pgMar w:top="1417" w:right="1417" w:bottom="1417" w:left="1417" w:header="850" w:footer="992" w:gutter="0"/>
      <w:pgNumType w:fmt="decimal" w:start="119"/>
      <w:cols w:space="425" w:num="1"/>
      <w:rtlGutter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新宋体">
    <w:panose1 w:val="02010609030101010101"/>
    <w:charset w:val="86"/>
    <w:family w:val="modern"/>
    <w:pitch w:val="default"/>
    <w:sig w:usb0="00000203" w:usb1="288F0000" w:usb2="00000006" w:usb3="00000000" w:csb0="00040001" w:csb1="00000000"/>
  </w:font>
  <w:font w:name="Batang">
    <w:altName w:val="Malgun Gothic"/>
    <w:panose1 w:val="02030600000101010101"/>
    <w:charset w:val="81"/>
    <w:family w:val="roman"/>
    <w:pitch w:val="default"/>
    <w:sig w:usb0="00000000" w:usb1="00000000" w:usb2="00000030" w:usb3="00000000" w:csb0="0008009F" w:csb1="00000000"/>
  </w:font>
  <w:font w:name="Malgun Gothic">
    <w:panose1 w:val="020B0503020000020004"/>
    <w:charset w:val="81"/>
    <w:family w:val="auto"/>
    <w:pitch w:val="default"/>
    <w:sig w:usb0="9000002F" w:usb1="29D77CFB" w:usb2="00000012" w:usb3="00000000" w:csb0="00080001" w:csb1="00000000"/>
  </w:font>
  <w:font w:name="MS Gothic">
    <w:panose1 w:val="020B0609070205080204"/>
    <w:charset w:val="80"/>
    <w:family w:val="modern"/>
    <w:pitch w:val="default"/>
    <w:sig w:usb0="E00002FF" w:usb1="6AC7FDFB" w:usb2="08000012" w:usb3="00000000" w:csb0="4002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方正舒体"/>
    <w:panose1 w:val="03000509000000000000"/>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1F2CAD">
    <w:pPr>
      <w:pStyle w:val="12"/>
      <w:pBdr>
        <w:top w:val="single" w:color="auto" w:sz="4" w:space="0"/>
      </w:pBdr>
      <w:ind w:left="0" w:leftChars="0" w:firstLine="0" w:firstLineChars="0"/>
      <w:rPr>
        <w:rFonts w:hint="default" w:eastAsia="宋体"/>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1" name="文本框 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66E53D">
                          <w:pPr>
                            <w:pStyle w:val="12"/>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xhYO8zAgAAYwQAAA4AAAAAAAAAAQAgAAAAHwEAAGRycy9lMm9Eb2MueG1sUEsF&#10;BgAAAAAGAAYAWQEAAMQFAAAAAA==&#10;">
              <v:fill on="f" focussize="0,0"/>
              <v:stroke on="f" weight="0.5pt"/>
              <v:imagedata o:title=""/>
              <o:lock v:ext="edit" aspectratio="f"/>
              <v:textbox inset="0mm,0mm,0mm,0mm" style="mso-fit-shape-to-text:t;">
                <w:txbxContent>
                  <w:p w14:paraId="2766E53D">
                    <w:pPr>
                      <w:pStyle w:val="12"/>
                    </w:pPr>
                    <w:r>
                      <w:fldChar w:fldCharType="begin"/>
                    </w:r>
                    <w:r>
                      <w:instrText xml:space="preserve"> PAGE  \* MERGEFORMAT </w:instrText>
                    </w:r>
                    <w:r>
                      <w:fldChar w:fldCharType="separate"/>
                    </w:r>
                    <w:r>
                      <w:t>7</w:t>
                    </w:r>
                    <w:r>
                      <w:fldChar w:fldCharType="end"/>
                    </w:r>
                  </w:p>
                </w:txbxContent>
              </v:textbox>
            </v:shape>
          </w:pict>
        </mc:Fallback>
      </mc:AlternateContent>
    </w:r>
    <w:r>
      <w:rPr>
        <w:rFonts w:hint="eastAsia"/>
      </w:rPr>
      <w:t>江西赣安安全生产科学技术咨询服务中心</w:t>
    </w:r>
    <w:r>
      <w:rPr>
        <w:rFonts w:hint="eastAsia"/>
        <w:lang w:val="en-US" w:eastAsia="zh-CN"/>
      </w:rPr>
      <w:t xml:space="preserve">                                                   APJ-（赣）-002</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B86D8B">
    <w:pPr>
      <w:pStyle w:val="12"/>
      <w:pBdr>
        <w:top w:val="single" w:color="auto" w:sz="4" w:space="0"/>
      </w:pBdr>
      <w:ind w:left="0" w:leftChars="0" w:firstLine="0" w:firstLineChars="0"/>
      <w:rPr>
        <w:rFonts w:hint="default" w:eastAsia="宋体"/>
        <w:lang w:val="en-US" w:eastAsia="zh-CN"/>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1EE294">
                          <w:pPr>
                            <w:pStyle w:val="12"/>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7C1EE294">
                    <w:pPr>
                      <w:pStyle w:val="12"/>
                    </w:pPr>
                    <w:r>
                      <w:fldChar w:fldCharType="begin"/>
                    </w:r>
                    <w:r>
                      <w:instrText xml:space="preserve"> PAGE  \* MERGEFORMAT </w:instrText>
                    </w:r>
                    <w:r>
                      <w:fldChar w:fldCharType="separate"/>
                    </w:r>
                    <w:r>
                      <w:t>7</w:t>
                    </w:r>
                    <w:r>
                      <w:fldChar w:fldCharType="end"/>
                    </w:r>
                  </w:p>
                </w:txbxContent>
              </v:textbox>
            </v:shape>
          </w:pict>
        </mc:Fallback>
      </mc:AlternateContent>
    </w:r>
    <w:r>
      <w:rPr>
        <w:rFonts w:hint="eastAsia"/>
      </w:rPr>
      <w:t>江西赣安安全生产科学技术咨询服务中心</w:t>
    </w:r>
    <w:r>
      <w:rPr>
        <w:rFonts w:hint="eastAsia"/>
        <w:lang w:val="en-US" w:eastAsia="zh-CN"/>
      </w:rPr>
      <w:t xml:space="preserve">                                                   APJ-（赣）-002</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F23D7C">
    <w:pPr>
      <w:pStyle w:val="12"/>
      <w:pBdr>
        <w:top w:val="single" w:color="auto" w:sz="4" w:space="0"/>
      </w:pBdr>
      <w:ind w:left="0" w:leftChars="0" w:firstLine="0" w:firstLineChars="0"/>
      <w:rPr>
        <w:rFonts w:hint="default" w:eastAsia="宋体"/>
        <w:lang w:val="en-US" w:eastAsia="zh-CN"/>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05A682">
                          <w:pPr>
                            <w:pStyle w:val="12"/>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3405A682">
                    <w:pPr>
                      <w:pStyle w:val="12"/>
                    </w:pPr>
                    <w:r>
                      <w:fldChar w:fldCharType="begin"/>
                    </w:r>
                    <w:r>
                      <w:instrText xml:space="preserve"> PAGE  \* MERGEFORMAT </w:instrText>
                    </w:r>
                    <w:r>
                      <w:fldChar w:fldCharType="separate"/>
                    </w:r>
                    <w:r>
                      <w:t>7</w:t>
                    </w:r>
                    <w:r>
                      <w:fldChar w:fldCharType="end"/>
                    </w:r>
                  </w:p>
                </w:txbxContent>
              </v:textbox>
            </v:shape>
          </w:pict>
        </mc:Fallback>
      </mc:AlternateContent>
    </w:r>
    <w:r>
      <w:rPr>
        <w:rFonts w:hint="eastAsia"/>
      </w:rPr>
      <w:t>江西赣安安全生产科学技术咨询服务中心</w:t>
    </w:r>
    <w:r>
      <w:rPr>
        <w:rFonts w:hint="eastAsia"/>
        <w:lang w:val="en-US" w:eastAsia="zh-CN"/>
      </w:rPr>
      <w:t xml:space="preserve">                                                                                                            APJ-（赣）-002</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CCF38D">
    <w:pPr>
      <w:pStyle w:val="12"/>
      <w:pBdr>
        <w:top w:val="single" w:color="auto" w:sz="4" w:space="0"/>
      </w:pBdr>
      <w:ind w:left="0" w:leftChars="0" w:firstLine="0" w:firstLineChars="0"/>
      <w:rPr>
        <w:rFonts w:hint="default" w:eastAsia="宋体"/>
        <w:lang w:val="en-US" w:eastAsia="zh-CN"/>
      </w:rP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1971E8">
                          <w:pPr>
                            <w:pStyle w:val="12"/>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651971E8">
                    <w:pPr>
                      <w:pStyle w:val="12"/>
                    </w:pPr>
                    <w:r>
                      <w:fldChar w:fldCharType="begin"/>
                    </w:r>
                    <w:r>
                      <w:instrText xml:space="preserve"> PAGE  \* MERGEFORMAT </w:instrText>
                    </w:r>
                    <w:r>
                      <w:fldChar w:fldCharType="separate"/>
                    </w:r>
                    <w:r>
                      <w:t>7</w:t>
                    </w:r>
                    <w:r>
                      <w:fldChar w:fldCharType="end"/>
                    </w:r>
                  </w:p>
                </w:txbxContent>
              </v:textbox>
            </v:shape>
          </w:pict>
        </mc:Fallback>
      </mc:AlternateContent>
    </w:r>
    <w:r>
      <w:rPr>
        <w:rFonts w:hint="eastAsia"/>
      </w:rPr>
      <w:t>江西赣安安全生产科学技术咨询服务中心</w:t>
    </w:r>
    <w:r>
      <w:rPr>
        <w:rFonts w:hint="eastAsia"/>
        <w:lang w:val="en-US" w:eastAsia="zh-CN"/>
      </w:rPr>
      <w:t xml:space="preserve">                                                     APJ-（赣）-002</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8DA879">
    <w:pPr>
      <w:pStyle w:val="12"/>
      <w:pBdr>
        <w:top w:val="single" w:color="auto" w:sz="4" w:space="0"/>
      </w:pBdr>
      <w:ind w:left="0" w:leftChars="0" w:firstLine="0" w:firstLineChars="0"/>
      <w:rPr>
        <w:rFonts w:hint="default" w:eastAsia="宋体"/>
        <w:lang w:val="en-US" w:eastAsia="zh-CN"/>
      </w:rP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3C757F">
                          <w:pPr>
                            <w:pStyle w:val="12"/>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17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543C757F">
                    <w:pPr>
                      <w:pStyle w:val="12"/>
                    </w:pPr>
                    <w:r>
                      <w:fldChar w:fldCharType="begin"/>
                    </w:r>
                    <w:r>
                      <w:instrText xml:space="preserve"> PAGE  \* MERGEFORMAT </w:instrText>
                    </w:r>
                    <w:r>
                      <w:fldChar w:fldCharType="separate"/>
                    </w:r>
                    <w:r>
                      <w:t>7</w:t>
                    </w:r>
                    <w:r>
                      <w:fldChar w:fldCharType="end"/>
                    </w:r>
                  </w:p>
                </w:txbxContent>
              </v:textbox>
            </v:shape>
          </w:pict>
        </mc:Fallback>
      </mc:AlternateContent>
    </w:r>
    <w:r>
      <w:rPr>
        <w:rFonts w:hint="eastAsia"/>
      </w:rPr>
      <w:t>江西赣安安全生产科学技术咨询服务中心</w:t>
    </w:r>
    <w:r>
      <w:rPr>
        <w:rFonts w:hint="eastAsia"/>
        <w:lang w:val="en-US" w:eastAsia="zh-CN"/>
      </w:rPr>
      <w:t xml:space="preserve">                                                                                                            APJ-（赣）-002</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51644D">
    <w:pPr>
      <w:pStyle w:val="12"/>
      <w:pBdr>
        <w:top w:val="single" w:color="auto" w:sz="4" w:space="0"/>
      </w:pBdr>
      <w:ind w:left="0" w:leftChars="0" w:firstLine="0" w:firstLineChars="0"/>
      <w:rPr>
        <w:rFonts w:hint="default" w:eastAsia="宋体"/>
        <w:lang w:val="en-US" w:eastAsia="zh-CN"/>
      </w:rPr>
    </w:pPr>
    <w:r>
      <w:rPr>
        <w:sz w:val="18"/>
      </w:rP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0D4D3B">
                          <w:pPr>
                            <w:pStyle w:val="12"/>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89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650D4D3B">
                    <w:pPr>
                      <w:pStyle w:val="12"/>
                    </w:pPr>
                    <w:r>
                      <w:fldChar w:fldCharType="begin"/>
                    </w:r>
                    <w:r>
                      <w:instrText xml:space="preserve"> PAGE  \* MERGEFORMAT </w:instrText>
                    </w:r>
                    <w:r>
                      <w:fldChar w:fldCharType="separate"/>
                    </w:r>
                    <w:r>
                      <w:t>7</w:t>
                    </w:r>
                    <w:r>
                      <w:fldChar w:fldCharType="end"/>
                    </w:r>
                  </w:p>
                </w:txbxContent>
              </v:textbox>
            </v:shape>
          </w:pict>
        </mc:Fallback>
      </mc:AlternateContent>
    </w:r>
    <w:r>
      <w:rPr>
        <w:rFonts w:hint="eastAsia"/>
      </w:rPr>
      <w:t>江西赣安安全生产科学技术咨询服务中心</w:t>
    </w:r>
    <w:r>
      <w:rPr>
        <w:rFonts w:hint="eastAsia"/>
        <w:lang w:val="en-US" w:eastAsia="zh-CN"/>
      </w:rPr>
      <w:t xml:space="preserve">                                                     APJ-（赣）-002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B90933">
    <w:pPr>
      <w:pStyle w:val="13"/>
      <w:ind w:left="0" w:leftChars="0" w:firstLine="0" w:firstLineChars="0"/>
      <w:jc w:val="both"/>
      <w:rPr>
        <w:rFonts w:hint="eastAsia"/>
      </w:rPr>
    </w:pPr>
    <w:r>
      <w:rPr>
        <w:rFonts w:hint="eastAsia"/>
      </w:rPr>
      <w:t>江西浒坑钨业有限公司杨家店尾矿库安全风险评估报告                                 GAAP〔2025〕0176号</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BE96F3">
    <w:pPr>
      <w:pStyle w:val="13"/>
      <w:ind w:left="0" w:leftChars="0" w:firstLine="0" w:firstLineChars="0"/>
      <w:jc w:val="both"/>
      <w:rPr>
        <w:rFonts w:hint="eastAsia"/>
      </w:rPr>
    </w:pPr>
    <w:r>
      <w:rPr>
        <w:rFonts w:hint="eastAsia"/>
      </w:rPr>
      <w:t xml:space="preserve">江西浒坑钨业有限公司杨家店尾矿库安全风险评估报告                         </w:t>
    </w:r>
    <w:r>
      <w:rPr>
        <w:rFonts w:hint="eastAsia"/>
        <w:lang w:val="en-US" w:eastAsia="zh-CN"/>
      </w:rPr>
      <w:t xml:space="preserve">                                                       </w:t>
    </w:r>
    <w:r>
      <w:rPr>
        <w:rFonts w:hint="eastAsia"/>
      </w:rPr>
      <w:t xml:space="preserve">        GAAP〔2025〕0176号</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881F8C">
    <w:pPr>
      <w:pStyle w:val="13"/>
      <w:ind w:left="0" w:leftChars="0" w:firstLine="0" w:firstLineChars="0"/>
      <w:jc w:val="both"/>
      <w:rPr>
        <w:rFonts w:hint="eastAsia"/>
      </w:rPr>
    </w:pPr>
    <w:r>
      <w:rPr>
        <w:rFonts w:hint="eastAsia"/>
      </w:rPr>
      <w:t xml:space="preserve">江西浒坑钨业有限公司杨家店尾矿库安全风险评估报告   </w:t>
    </w:r>
    <w:r>
      <w:rPr>
        <w:rFonts w:hint="eastAsia"/>
        <w:lang w:val="en-US" w:eastAsia="zh-CN"/>
      </w:rPr>
      <w:t xml:space="preserve">                      </w:t>
    </w:r>
    <w:r>
      <w:rPr>
        <w:rFonts w:hint="eastAsia"/>
      </w:rPr>
      <w:t xml:space="preserve">        GAAP〔2025〕0176号</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7BBC29">
    <w:pPr>
      <w:pStyle w:val="13"/>
      <w:ind w:left="0" w:leftChars="0" w:firstLine="0" w:firstLineChars="0"/>
      <w:jc w:val="both"/>
      <w:rPr>
        <w:rFonts w:hint="eastAsia"/>
      </w:rPr>
    </w:pPr>
    <w:r>
      <w:rPr>
        <w:rFonts w:hint="eastAsia"/>
      </w:rPr>
      <w:t xml:space="preserve">江西浒坑钨业有限公司杨家店尾矿库安全风险评估报告   </w:t>
    </w:r>
    <w:r>
      <w:rPr>
        <w:rFonts w:hint="eastAsia"/>
        <w:lang w:val="en-US" w:eastAsia="zh-CN"/>
      </w:rPr>
      <w:t xml:space="preserve">                                                                             </w:t>
    </w:r>
    <w:r>
      <w:rPr>
        <w:rFonts w:hint="eastAsia"/>
      </w:rPr>
      <w:t xml:space="preserve">        GAAP〔2025〕0176号</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28D18D">
    <w:pPr>
      <w:pStyle w:val="13"/>
      <w:ind w:left="0" w:leftChars="0" w:firstLine="0" w:firstLineChars="0"/>
      <w:jc w:val="both"/>
      <w:rPr>
        <w:rFonts w:hint="eastAsia"/>
      </w:rPr>
    </w:pPr>
    <w:r>
      <w:rPr>
        <w:rFonts w:hint="eastAsia"/>
      </w:rPr>
      <w:t xml:space="preserve">江西浒坑钨业有限公司杨家店尾矿库安全风险评估报告  </w:t>
    </w:r>
    <w:r>
      <w:rPr>
        <w:rFonts w:hint="eastAsia"/>
        <w:lang w:val="en-US" w:eastAsia="zh-CN"/>
      </w:rPr>
      <w:t xml:space="preserve">                         </w:t>
    </w:r>
    <w:r>
      <w:rPr>
        <w:rFonts w:hint="eastAsia"/>
      </w:rPr>
      <w:t xml:space="preserve">      GAAP〔2025〕0176号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F078CD"/>
    <w:multiLevelType w:val="singleLevel"/>
    <w:tmpl w:val="DFF078CD"/>
    <w:lvl w:ilvl="0" w:tentative="0">
      <w:start w:val="1"/>
      <w:numFmt w:val="decimal"/>
      <w:suff w:val="space"/>
      <w:lvlText w:val="%1."/>
      <w:lvlJc w:val="left"/>
    </w:lvl>
  </w:abstractNum>
  <w:abstractNum w:abstractNumId="1">
    <w:nsid w:val="EF7BE1DA"/>
    <w:multiLevelType w:val="singleLevel"/>
    <w:tmpl w:val="EF7BE1DA"/>
    <w:lvl w:ilvl="0" w:tentative="0">
      <w:start w:val="6"/>
      <w:numFmt w:val="chineseCounting"/>
      <w:suff w:val="nothing"/>
      <w:lvlText w:val="%1、"/>
      <w:lvlJc w:val="left"/>
      <w:rPr>
        <w:rFonts w:hint="eastAsia"/>
      </w:rPr>
    </w:lvl>
  </w:abstractNum>
  <w:abstractNum w:abstractNumId="2">
    <w:nsid w:val="151C751B"/>
    <w:multiLevelType w:val="multilevel"/>
    <w:tmpl w:val="151C751B"/>
    <w:lvl w:ilvl="0" w:tentative="0">
      <w:start w:val="1"/>
      <w:numFmt w:val="decimal"/>
      <w:suff w:val="nothing"/>
      <w:lvlText w:val="%1  "/>
      <w:lvlJc w:val="left"/>
      <w:pPr>
        <w:ind w:left="2694" w:firstLine="0"/>
      </w:pPr>
      <w:rPr>
        <w:rFonts w:hint="eastAsia"/>
      </w:rPr>
    </w:lvl>
    <w:lvl w:ilvl="1" w:tentative="0">
      <w:start w:val="1"/>
      <w:numFmt w:val="decimal"/>
      <w:suff w:val="nothing"/>
      <w:lvlText w:val="%1.%2  "/>
      <w:lvlJc w:val="left"/>
      <w:pPr>
        <w:ind w:left="0" w:firstLine="0"/>
      </w:pPr>
      <w:rPr>
        <w:rFonts w:hint="eastAsia"/>
      </w:rPr>
    </w:lvl>
    <w:lvl w:ilvl="2" w:tentative="0">
      <w:start w:val="1"/>
      <w:numFmt w:val="decimal"/>
      <w:suff w:val="nothing"/>
      <w:lvlText w:val="%1.%2.%3  "/>
      <w:lvlJc w:val="left"/>
      <w:pPr>
        <w:ind w:left="0" w:firstLine="0"/>
      </w:pPr>
      <w:rPr>
        <w:rFonts w:hint="eastAsia"/>
      </w:rPr>
    </w:lvl>
    <w:lvl w:ilvl="3" w:tentative="0">
      <w:start w:val="1"/>
      <w:numFmt w:val="decimal"/>
      <w:suff w:val="nothing"/>
      <w:lvlText w:val="%1.%2.%3.%4 "/>
      <w:lvlJc w:val="left"/>
      <w:pPr>
        <w:ind w:left="0" w:firstLine="0"/>
      </w:pPr>
      <w:rPr>
        <w:rFonts w:hint="eastAsia"/>
      </w:rPr>
    </w:lvl>
    <w:lvl w:ilvl="4" w:tentative="0">
      <w:start w:val="1"/>
      <w:numFmt w:val="decimal"/>
      <w:lvlRestart w:val="1"/>
      <w:suff w:val="nothing"/>
      <w:lvlText w:val="表%1-%5  "/>
      <w:lvlJc w:val="left"/>
      <w:pPr>
        <w:ind w:left="0" w:firstLine="0"/>
      </w:pPr>
      <w:rPr>
        <w:rFonts w:hint="eastAsia"/>
      </w:rPr>
    </w:lvl>
    <w:lvl w:ilvl="5" w:tentative="0">
      <w:start w:val="1"/>
      <w:numFmt w:val="decimal"/>
      <w:lvlRestart w:val="1"/>
      <w:suff w:val="nothing"/>
      <w:lvlText w:val="图%1-%6  "/>
      <w:lvlJc w:val="left"/>
      <w:pPr>
        <w:ind w:left="3261"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3">
    <w:nsid w:val="23F05980"/>
    <w:multiLevelType w:val="singleLevel"/>
    <w:tmpl w:val="23F05980"/>
    <w:lvl w:ilvl="0" w:tentative="0">
      <w:start w:val="2"/>
      <w:numFmt w:val="chineseCounting"/>
      <w:suff w:val="nothing"/>
      <w:lvlText w:val="%1、"/>
      <w:lvlJc w:val="left"/>
      <w:rPr>
        <w:rFonts w:hint="eastAsia"/>
      </w:rPr>
    </w:lvl>
  </w:abstractNum>
  <w:num w:numId="1">
    <w:abstractNumId w:val="2"/>
    <w:lvlOverride w:ilvl="0">
      <w:lvl w:ilvl="0" w:tentative="1">
        <w:start w:val="1"/>
        <w:numFmt w:val="decimal"/>
        <w:suff w:val="nothing"/>
        <w:lvlText w:val="%1  "/>
        <w:lvlJc w:val="left"/>
        <w:pPr>
          <w:ind w:left="2694" w:firstLine="0"/>
        </w:pPr>
        <w:rPr>
          <w:rFonts w:hint="eastAsia"/>
        </w:rPr>
      </w:lvl>
    </w:lvlOverride>
    <w:lvlOverride w:ilvl="1">
      <w:lvl w:ilvl="1" w:tentative="1">
        <w:start w:val="1"/>
        <w:numFmt w:val="decimal"/>
        <w:suff w:val="nothing"/>
        <w:lvlText w:val="%1.%2  "/>
        <w:lvlJc w:val="left"/>
        <w:pPr>
          <w:ind w:left="993" w:firstLine="0"/>
        </w:pPr>
        <w:rPr>
          <w:rFonts w:hint="eastAsia"/>
        </w:rPr>
      </w:lvl>
    </w:lvlOverride>
    <w:lvlOverride w:ilvl="2">
      <w:lvl w:ilvl="2" w:tentative="1">
        <w:start w:val="1"/>
        <w:numFmt w:val="decimal"/>
        <w:suff w:val="nothing"/>
        <w:lvlText w:val="%1.%2.%3  "/>
        <w:lvlJc w:val="left"/>
        <w:pPr>
          <w:ind w:left="0" w:firstLine="0"/>
        </w:pPr>
        <w:rPr>
          <w:rFonts w:hint="eastAsia"/>
        </w:rPr>
      </w:lvl>
    </w:lvlOverride>
    <w:lvlOverride w:ilvl="3">
      <w:lvl w:ilvl="3" w:tentative="1">
        <w:start w:val="1"/>
        <w:numFmt w:val="decimal"/>
        <w:suff w:val="nothing"/>
        <w:lvlText w:val="%1.%2.%3.%4 "/>
        <w:lvlJc w:val="left"/>
        <w:pPr>
          <w:ind w:left="0" w:firstLine="0"/>
        </w:pPr>
        <w:rPr>
          <w:rFonts w:hint="eastAsia"/>
        </w:rPr>
      </w:lvl>
    </w:lvlOverride>
    <w:lvlOverride w:ilvl="4">
      <w:lvl w:ilvl="4" w:tentative="1">
        <w:start w:val="1"/>
        <w:numFmt w:val="decimal"/>
        <w:lvlRestart w:val="1"/>
        <w:suff w:val="nothing"/>
        <w:lvlText w:val="表%1-%5  "/>
        <w:lvlJc w:val="left"/>
        <w:pPr>
          <w:ind w:left="0" w:firstLine="0"/>
        </w:pPr>
        <w:rPr>
          <w:rFonts w:hint="eastAsia"/>
          <w:lang w:val="en-US"/>
        </w:rPr>
      </w:lvl>
    </w:lvlOverride>
    <w:lvlOverride w:ilvl="5">
      <w:lvl w:ilvl="5" w:tentative="1">
        <w:start w:val="1"/>
        <w:numFmt w:val="decimal"/>
        <w:lvlRestart w:val="1"/>
        <w:pStyle w:val="41"/>
        <w:suff w:val="nothing"/>
        <w:lvlText w:val="图%1-%6  "/>
        <w:lvlJc w:val="left"/>
        <w:pPr>
          <w:ind w:left="1277" w:firstLine="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Cs w:val="0"/>
          <w:u w:val="none"/>
          <w:vertAlign w:val="baseline"/>
        </w:rPr>
      </w:lvl>
    </w:lvlOverride>
    <w:lvlOverride w:ilvl="6">
      <w:lvl w:ilvl="6" w:tentative="1">
        <w:start w:val="1"/>
        <w:numFmt w:val="decimal"/>
        <w:lvlText w:val="%1.%2.%3.%4.%5.%6.%7"/>
        <w:lvlJc w:val="left"/>
        <w:pPr>
          <w:ind w:left="0" w:firstLine="0"/>
        </w:pPr>
        <w:rPr>
          <w:rFonts w:hint="eastAsia"/>
        </w:rPr>
      </w:lvl>
    </w:lvlOverride>
    <w:lvlOverride w:ilvl="7">
      <w:lvl w:ilvl="7" w:tentative="1">
        <w:start w:val="1"/>
        <w:numFmt w:val="decimal"/>
        <w:lvlText w:val="%1.%2.%3.%4.%5.%6.%7.%8"/>
        <w:lvlJc w:val="left"/>
        <w:pPr>
          <w:ind w:left="0" w:firstLine="0"/>
        </w:pPr>
        <w:rPr>
          <w:rFonts w:hint="eastAsia"/>
        </w:rPr>
      </w:lvl>
    </w:lvlOverride>
    <w:lvlOverride w:ilvl="8">
      <w:lvl w:ilvl="8" w:tentative="1">
        <w:start w:val="1"/>
        <w:numFmt w:val="decimal"/>
        <w:lvlText w:val="%1.%2.%3.%4.%5.%6.%7.%8.%9"/>
        <w:lvlJc w:val="left"/>
        <w:pPr>
          <w:ind w:left="0" w:firstLine="0"/>
        </w:pPr>
        <w:rPr>
          <w:rFonts w:hint="eastAsia"/>
        </w:rPr>
      </w:lvl>
    </w:lvlOverride>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yYWUxNGNmMmUyZTIxY2FmM2YyMWFiMjM3Y2U3MzAifQ=="/>
  </w:docVars>
  <w:rsids>
    <w:rsidRoot w:val="00000000"/>
    <w:rsid w:val="005C6C6E"/>
    <w:rsid w:val="00A94756"/>
    <w:rsid w:val="00DE185F"/>
    <w:rsid w:val="010D7DD7"/>
    <w:rsid w:val="01371F49"/>
    <w:rsid w:val="0155716D"/>
    <w:rsid w:val="01562017"/>
    <w:rsid w:val="01F55C87"/>
    <w:rsid w:val="02106ABC"/>
    <w:rsid w:val="02264514"/>
    <w:rsid w:val="02283016"/>
    <w:rsid w:val="02290253"/>
    <w:rsid w:val="02852286"/>
    <w:rsid w:val="028E0926"/>
    <w:rsid w:val="02967F59"/>
    <w:rsid w:val="02FF7A73"/>
    <w:rsid w:val="03126EE3"/>
    <w:rsid w:val="03435D32"/>
    <w:rsid w:val="03546191"/>
    <w:rsid w:val="0364199E"/>
    <w:rsid w:val="03DE20F3"/>
    <w:rsid w:val="042A6EF2"/>
    <w:rsid w:val="045B71F9"/>
    <w:rsid w:val="047E3532"/>
    <w:rsid w:val="04E70AE2"/>
    <w:rsid w:val="04EC7EF7"/>
    <w:rsid w:val="05366B04"/>
    <w:rsid w:val="053B7F7E"/>
    <w:rsid w:val="05476ED2"/>
    <w:rsid w:val="057B0FFA"/>
    <w:rsid w:val="058830A2"/>
    <w:rsid w:val="05CD5D86"/>
    <w:rsid w:val="063876A4"/>
    <w:rsid w:val="065B7836"/>
    <w:rsid w:val="067D77AC"/>
    <w:rsid w:val="07283BBC"/>
    <w:rsid w:val="075F6EB2"/>
    <w:rsid w:val="07E618D5"/>
    <w:rsid w:val="07E86EA8"/>
    <w:rsid w:val="07FD72FC"/>
    <w:rsid w:val="08836BD0"/>
    <w:rsid w:val="08B70A65"/>
    <w:rsid w:val="08D42ACC"/>
    <w:rsid w:val="08E12697"/>
    <w:rsid w:val="08F32F05"/>
    <w:rsid w:val="09736C45"/>
    <w:rsid w:val="09A27895"/>
    <w:rsid w:val="09F47519"/>
    <w:rsid w:val="0A015732"/>
    <w:rsid w:val="0B224422"/>
    <w:rsid w:val="0B4C7CC6"/>
    <w:rsid w:val="0B4C7FEF"/>
    <w:rsid w:val="0B891F50"/>
    <w:rsid w:val="0C0553E9"/>
    <w:rsid w:val="0C6E1BD7"/>
    <w:rsid w:val="0D36577E"/>
    <w:rsid w:val="0D3F0613"/>
    <w:rsid w:val="0D417485"/>
    <w:rsid w:val="0DCE4EE9"/>
    <w:rsid w:val="0DDE3227"/>
    <w:rsid w:val="0EE4067B"/>
    <w:rsid w:val="0F0D5446"/>
    <w:rsid w:val="0F2C7D97"/>
    <w:rsid w:val="0F317370"/>
    <w:rsid w:val="0F3375A2"/>
    <w:rsid w:val="0F5F0397"/>
    <w:rsid w:val="0F667927"/>
    <w:rsid w:val="0F8876CA"/>
    <w:rsid w:val="0F98675A"/>
    <w:rsid w:val="0FFC1742"/>
    <w:rsid w:val="100106CE"/>
    <w:rsid w:val="100D48FD"/>
    <w:rsid w:val="10480E2B"/>
    <w:rsid w:val="10A404D8"/>
    <w:rsid w:val="11360C84"/>
    <w:rsid w:val="11586E4C"/>
    <w:rsid w:val="115C19F5"/>
    <w:rsid w:val="11651A18"/>
    <w:rsid w:val="11A7392F"/>
    <w:rsid w:val="12303925"/>
    <w:rsid w:val="126258E7"/>
    <w:rsid w:val="12753A2E"/>
    <w:rsid w:val="12AF31DC"/>
    <w:rsid w:val="12C60FED"/>
    <w:rsid w:val="12DA75C2"/>
    <w:rsid w:val="1325541B"/>
    <w:rsid w:val="13350988"/>
    <w:rsid w:val="136647C4"/>
    <w:rsid w:val="142D3A1C"/>
    <w:rsid w:val="145439BE"/>
    <w:rsid w:val="145853B5"/>
    <w:rsid w:val="14596B6E"/>
    <w:rsid w:val="14913DAE"/>
    <w:rsid w:val="14FB646C"/>
    <w:rsid w:val="15234043"/>
    <w:rsid w:val="1533356A"/>
    <w:rsid w:val="15362A79"/>
    <w:rsid w:val="156726E4"/>
    <w:rsid w:val="16DC407B"/>
    <w:rsid w:val="17214184"/>
    <w:rsid w:val="17433367"/>
    <w:rsid w:val="177034A9"/>
    <w:rsid w:val="17D17BE5"/>
    <w:rsid w:val="17E728EB"/>
    <w:rsid w:val="17EF7DDE"/>
    <w:rsid w:val="17F263D6"/>
    <w:rsid w:val="18A22B9C"/>
    <w:rsid w:val="18EA221C"/>
    <w:rsid w:val="19137AFC"/>
    <w:rsid w:val="191F4337"/>
    <w:rsid w:val="196056B2"/>
    <w:rsid w:val="19946E8F"/>
    <w:rsid w:val="199507DB"/>
    <w:rsid w:val="19B16915"/>
    <w:rsid w:val="19E03E83"/>
    <w:rsid w:val="1AFE41A2"/>
    <w:rsid w:val="1B4723FE"/>
    <w:rsid w:val="1B4B17D0"/>
    <w:rsid w:val="1BEC5A46"/>
    <w:rsid w:val="1C2A5889"/>
    <w:rsid w:val="1C312FB0"/>
    <w:rsid w:val="1C6922AF"/>
    <w:rsid w:val="1C7A0F4E"/>
    <w:rsid w:val="1CF914BF"/>
    <w:rsid w:val="1D183933"/>
    <w:rsid w:val="1D3474BE"/>
    <w:rsid w:val="1D64530A"/>
    <w:rsid w:val="1E2223FC"/>
    <w:rsid w:val="1EDF0A76"/>
    <w:rsid w:val="1F260691"/>
    <w:rsid w:val="1F3E55C8"/>
    <w:rsid w:val="1F78690B"/>
    <w:rsid w:val="1FAE738C"/>
    <w:rsid w:val="1FC16504"/>
    <w:rsid w:val="205904EB"/>
    <w:rsid w:val="2077630A"/>
    <w:rsid w:val="20901CE0"/>
    <w:rsid w:val="21140CED"/>
    <w:rsid w:val="211A595D"/>
    <w:rsid w:val="21BA0FE9"/>
    <w:rsid w:val="21BC3427"/>
    <w:rsid w:val="221D3838"/>
    <w:rsid w:val="228A6ABE"/>
    <w:rsid w:val="22A44DAF"/>
    <w:rsid w:val="22C34341"/>
    <w:rsid w:val="22D24D60"/>
    <w:rsid w:val="22D622C7"/>
    <w:rsid w:val="22DB168B"/>
    <w:rsid w:val="23290CD7"/>
    <w:rsid w:val="235853C4"/>
    <w:rsid w:val="23A83C63"/>
    <w:rsid w:val="23E7405F"/>
    <w:rsid w:val="24066BDB"/>
    <w:rsid w:val="24373239"/>
    <w:rsid w:val="247E2C16"/>
    <w:rsid w:val="248F097F"/>
    <w:rsid w:val="24C04FDC"/>
    <w:rsid w:val="25097693"/>
    <w:rsid w:val="25522287"/>
    <w:rsid w:val="25A920F9"/>
    <w:rsid w:val="268D5D4F"/>
    <w:rsid w:val="26991759"/>
    <w:rsid w:val="2712017D"/>
    <w:rsid w:val="272D447F"/>
    <w:rsid w:val="275714EA"/>
    <w:rsid w:val="27D757D3"/>
    <w:rsid w:val="27E2526A"/>
    <w:rsid w:val="27EB05C2"/>
    <w:rsid w:val="280671AA"/>
    <w:rsid w:val="280E42B1"/>
    <w:rsid w:val="282D2989"/>
    <w:rsid w:val="28D01566"/>
    <w:rsid w:val="291353A0"/>
    <w:rsid w:val="29231FDE"/>
    <w:rsid w:val="292D6E86"/>
    <w:rsid w:val="295D34AF"/>
    <w:rsid w:val="29622B06"/>
    <w:rsid w:val="296353E8"/>
    <w:rsid w:val="299936DC"/>
    <w:rsid w:val="29F36060"/>
    <w:rsid w:val="29F70EFE"/>
    <w:rsid w:val="2A3B2255"/>
    <w:rsid w:val="2B0F45C8"/>
    <w:rsid w:val="2B260BDC"/>
    <w:rsid w:val="2B3B360F"/>
    <w:rsid w:val="2BF35C97"/>
    <w:rsid w:val="2CFD1020"/>
    <w:rsid w:val="2D1A7254"/>
    <w:rsid w:val="2D4E798A"/>
    <w:rsid w:val="2D7925F4"/>
    <w:rsid w:val="2D7C1CBC"/>
    <w:rsid w:val="2D853E99"/>
    <w:rsid w:val="2DBA7A28"/>
    <w:rsid w:val="2E664D9E"/>
    <w:rsid w:val="2EB24CE0"/>
    <w:rsid w:val="2EBB2CB1"/>
    <w:rsid w:val="2ED2428A"/>
    <w:rsid w:val="2F206A1F"/>
    <w:rsid w:val="2F2F348A"/>
    <w:rsid w:val="2F3758E4"/>
    <w:rsid w:val="2F9477B0"/>
    <w:rsid w:val="2FA379D4"/>
    <w:rsid w:val="2FC07BC7"/>
    <w:rsid w:val="303A2E5F"/>
    <w:rsid w:val="30466CDD"/>
    <w:rsid w:val="30C94C38"/>
    <w:rsid w:val="310221B1"/>
    <w:rsid w:val="312C75C4"/>
    <w:rsid w:val="314422DD"/>
    <w:rsid w:val="31697D37"/>
    <w:rsid w:val="31AA0C0A"/>
    <w:rsid w:val="31E57E30"/>
    <w:rsid w:val="31F2146B"/>
    <w:rsid w:val="325011E8"/>
    <w:rsid w:val="326055F9"/>
    <w:rsid w:val="32802058"/>
    <w:rsid w:val="328A6C2A"/>
    <w:rsid w:val="32DE21FE"/>
    <w:rsid w:val="32EB35B4"/>
    <w:rsid w:val="33880D03"/>
    <w:rsid w:val="33D22636"/>
    <w:rsid w:val="34435D88"/>
    <w:rsid w:val="349831C4"/>
    <w:rsid w:val="34CB5A03"/>
    <w:rsid w:val="35366BF5"/>
    <w:rsid w:val="353F360F"/>
    <w:rsid w:val="35B73417"/>
    <w:rsid w:val="35E623C9"/>
    <w:rsid w:val="363F7524"/>
    <w:rsid w:val="36A04C6E"/>
    <w:rsid w:val="36BF3D90"/>
    <w:rsid w:val="36D10B7D"/>
    <w:rsid w:val="36F57279"/>
    <w:rsid w:val="371649C0"/>
    <w:rsid w:val="37272C99"/>
    <w:rsid w:val="3787198A"/>
    <w:rsid w:val="37A54D91"/>
    <w:rsid w:val="37DB610F"/>
    <w:rsid w:val="37DE146E"/>
    <w:rsid w:val="384120F7"/>
    <w:rsid w:val="386B37E8"/>
    <w:rsid w:val="38782491"/>
    <w:rsid w:val="38FC4B7C"/>
    <w:rsid w:val="390F1C37"/>
    <w:rsid w:val="393022D9"/>
    <w:rsid w:val="395C3290"/>
    <w:rsid w:val="397D3044"/>
    <w:rsid w:val="39B0341A"/>
    <w:rsid w:val="39C43F44"/>
    <w:rsid w:val="3B0A24EB"/>
    <w:rsid w:val="3B0E11B9"/>
    <w:rsid w:val="3B712735"/>
    <w:rsid w:val="3BA82BFD"/>
    <w:rsid w:val="3BE800C5"/>
    <w:rsid w:val="3C56434A"/>
    <w:rsid w:val="3C791EFD"/>
    <w:rsid w:val="3C8203BB"/>
    <w:rsid w:val="3C9A0A83"/>
    <w:rsid w:val="3CA56E5C"/>
    <w:rsid w:val="3CB4251D"/>
    <w:rsid w:val="3CCD7E3F"/>
    <w:rsid w:val="3D493F35"/>
    <w:rsid w:val="3D6F4035"/>
    <w:rsid w:val="3D9B618F"/>
    <w:rsid w:val="3DAC3EF8"/>
    <w:rsid w:val="3E495BEB"/>
    <w:rsid w:val="3E650AC7"/>
    <w:rsid w:val="3E6850E9"/>
    <w:rsid w:val="3E8417B1"/>
    <w:rsid w:val="3EB76FF8"/>
    <w:rsid w:val="3ECB7706"/>
    <w:rsid w:val="3F481E53"/>
    <w:rsid w:val="3F4D5963"/>
    <w:rsid w:val="3F7603DF"/>
    <w:rsid w:val="3FBC7BEE"/>
    <w:rsid w:val="3FE730FF"/>
    <w:rsid w:val="409F2538"/>
    <w:rsid w:val="40E52248"/>
    <w:rsid w:val="418516F2"/>
    <w:rsid w:val="41A156F1"/>
    <w:rsid w:val="42255D7C"/>
    <w:rsid w:val="423B7D8A"/>
    <w:rsid w:val="42405D96"/>
    <w:rsid w:val="427A1F06"/>
    <w:rsid w:val="4283791D"/>
    <w:rsid w:val="42A37CE2"/>
    <w:rsid w:val="42D00689"/>
    <w:rsid w:val="42E14644"/>
    <w:rsid w:val="42F04887"/>
    <w:rsid w:val="433125CD"/>
    <w:rsid w:val="433C007A"/>
    <w:rsid w:val="43BE2D2D"/>
    <w:rsid w:val="43C2293A"/>
    <w:rsid w:val="43C92044"/>
    <w:rsid w:val="43E87689"/>
    <w:rsid w:val="440B6BE2"/>
    <w:rsid w:val="445B38A4"/>
    <w:rsid w:val="4475478D"/>
    <w:rsid w:val="44BC28D1"/>
    <w:rsid w:val="44BF6C07"/>
    <w:rsid w:val="44E4666D"/>
    <w:rsid w:val="44F435FD"/>
    <w:rsid w:val="450B2EEB"/>
    <w:rsid w:val="45357D20"/>
    <w:rsid w:val="45AE3109"/>
    <w:rsid w:val="45B74BFB"/>
    <w:rsid w:val="45C45BA1"/>
    <w:rsid w:val="45D32409"/>
    <w:rsid w:val="4629258A"/>
    <w:rsid w:val="463B050F"/>
    <w:rsid w:val="46A41C10"/>
    <w:rsid w:val="474A5F7A"/>
    <w:rsid w:val="47586573"/>
    <w:rsid w:val="482F7405"/>
    <w:rsid w:val="483B143E"/>
    <w:rsid w:val="483E2E8C"/>
    <w:rsid w:val="48484E0B"/>
    <w:rsid w:val="48594C7C"/>
    <w:rsid w:val="486378A9"/>
    <w:rsid w:val="48B3355A"/>
    <w:rsid w:val="48EF0574"/>
    <w:rsid w:val="49003905"/>
    <w:rsid w:val="49B17A19"/>
    <w:rsid w:val="4A176B9D"/>
    <w:rsid w:val="4A3C1AFC"/>
    <w:rsid w:val="4A425D44"/>
    <w:rsid w:val="4AB935C3"/>
    <w:rsid w:val="4B313C8F"/>
    <w:rsid w:val="4BE74CD7"/>
    <w:rsid w:val="4C636ED9"/>
    <w:rsid w:val="4CD751A0"/>
    <w:rsid w:val="4D7C3730"/>
    <w:rsid w:val="4DD54DA5"/>
    <w:rsid w:val="4E013DEC"/>
    <w:rsid w:val="4E173AED"/>
    <w:rsid w:val="4E920EE8"/>
    <w:rsid w:val="4F2C4E99"/>
    <w:rsid w:val="50993895"/>
    <w:rsid w:val="51120B54"/>
    <w:rsid w:val="51917235"/>
    <w:rsid w:val="51AB38AE"/>
    <w:rsid w:val="51DA56D9"/>
    <w:rsid w:val="521479BD"/>
    <w:rsid w:val="523572D3"/>
    <w:rsid w:val="52416EAD"/>
    <w:rsid w:val="52C27FEE"/>
    <w:rsid w:val="52E52E06"/>
    <w:rsid w:val="5313248B"/>
    <w:rsid w:val="533E519B"/>
    <w:rsid w:val="534F73A8"/>
    <w:rsid w:val="53C102A5"/>
    <w:rsid w:val="54501629"/>
    <w:rsid w:val="54717115"/>
    <w:rsid w:val="549E05E7"/>
    <w:rsid w:val="54D933CD"/>
    <w:rsid w:val="551A2274"/>
    <w:rsid w:val="552079AD"/>
    <w:rsid w:val="55485398"/>
    <w:rsid w:val="5571253B"/>
    <w:rsid w:val="55865E7A"/>
    <w:rsid w:val="55AD03B6"/>
    <w:rsid w:val="565926F8"/>
    <w:rsid w:val="56947B58"/>
    <w:rsid w:val="569A4893"/>
    <w:rsid w:val="56DE4CCA"/>
    <w:rsid w:val="56E2246F"/>
    <w:rsid w:val="570F0CE3"/>
    <w:rsid w:val="57640800"/>
    <w:rsid w:val="58405511"/>
    <w:rsid w:val="58491124"/>
    <w:rsid w:val="585C4CA2"/>
    <w:rsid w:val="586F0E25"/>
    <w:rsid w:val="589870FB"/>
    <w:rsid w:val="58FA06F3"/>
    <w:rsid w:val="593257A1"/>
    <w:rsid w:val="59716137"/>
    <w:rsid w:val="597C6A1D"/>
    <w:rsid w:val="5993186A"/>
    <w:rsid w:val="599A323A"/>
    <w:rsid w:val="59FD5D36"/>
    <w:rsid w:val="5A0507C0"/>
    <w:rsid w:val="5A106D9C"/>
    <w:rsid w:val="5A1153B7"/>
    <w:rsid w:val="5A5055AA"/>
    <w:rsid w:val="5A645887"/>
    <w:rsid w:val="5B953DC6"/>
    <w:rsid w:val="5B9C6F02"/>
    <w:rsid w:val="5BA31F6D"/>
    <w:rsid w:val="5C245875"/>
    <w:rsid w:val="5CBC2E8A"/>
    <w:rsid w:val="5D984E39"/>
    <w:rsid w:val="5E194C14"/>
    <w:rsid w:val="5E256920"/>
    <w:rsid w:val="5E951201"/>
    <w:rsid w:val="5ECC3F6D"/>
    <w:rsid w:val="5EF977B3"/>
    <w:rsid w:val="5F492A07"/>
    <w:rsid w:val="5F7E172D"/>
    <w:rsid w:val="5FD01870"/>
    <w:rsid w:val="60465003"/>
    <w:rsid w:val="60C63C94"/>
    <w:rsid w:val="6142054C"/>
    <w:rsid w:val="615B5096"/>
    <w:rsid w:val="617565F6"/>
    <w:rsid w:val="617A7C83"/>
    <w:rsid w:val="626C2311"/>
    <w:rsid w:val="628F5D29"/>
    <w:rsid w:val="6298462A"/>
    <w:rsid w:val="62A414BE"/>
    <w:rsid w:val="62CD2097"/>
    <w:rsid w:val="633A21A0"/>
    <w:rsid w:val="634632A4"/>
    <w:rsid w:val="635F2630"/>
    <w:rsid w:val="64532812"/>
    <w:rsid w:val="64695636"/>
    <w:rsid w:val="64780290"/>
    <w:rsid w:val="647C5B23"/>
    <w:rsid w:val="64B17EC2"/>
    <w:rsid w:val="654A3ABB"/>
    <w:rsid w:val="65613696"/>
    <w:rsid w:val="6589396E"/>
    <w:rsid w:val="667C005C"/>
    <w:rsid w:val="66ED0F5A"/>
    <w:rsid w:val="67177D85"/>
    <w:rsid w:val="67191D4F"/>
    <w:rsid w:val="671B39FF"/>
    <w:rsid w:val="671C049D"/>
    <w:rsid w:val="678E44EB"/>
    <w:rsid w:val="68324E76"/>
    <w:rsid w:val="6841330B"/>
    <w:rsid w:val="68560FB0"/>
    <w:rsid w:val="6875755D"/>
    <w:rsid w:val="68AF01B6"/>
    <w:rsid w:val="68DD5B96"/>
    <w:rsid w:val="68E777AA"/>
    <w:rsid w:val="69126A56"/>
    <w:rsid w:val="693D7F76"/>
    <w:rsid w:val="69643755"/>
    <w:rsid w:val="697033BC"/>
    <w:rsid w:val="698E432E"/>
    <w:rsid w:val="69981651"/>
    <w:rsid w:val="69DA57C5"/>
    <w:rsid w:val="6A2716C9"/>
    <w:rsid w:val="6A610B11"/>
    <w:rsid w:val="6A6A173C"/>
    <w:rsid w:val="6AAB0F10"/>
    <w:rsid w:val="6AE84A72"/>
    <w:rsid w:val="6B1B3F84"/>
    <w:rsid w:val="6B4E7EEE"/>
    <w:rsid w:val="6BD858FE"/>
    <w:rsid w:val="6C1322AD"/>
    <w:rsid w:val="6C703149"/>
    <w:rsid w:val="6C846764"/>
    <w:rsid w:val="6CA200F0"/>
    <w:rsid w:val="6CFE3B02"/>
    <w:rsid w:val="6D88670D"/>
    <w:rsid w:val="6DE309C1"/>
    <w:rsid w:val="6E4C0C5C"/>
    <w:rsid w:val="6EA405A9"/>
    <w:rsid w:val="6EC16F54"/>
    <w:rsid w:val="6F265009"/>
    <w:rsid w:val="6F834209"/>
    <w:rsid w:val="6F9E3748"/>
    <w:rsid w:val="70A11939"/>
    <w:rsid w:val="70E15ED5"/>
    <w:rsid w:val="7116481E"/>
    <w:rsid w:val="712D3620"/>
    <w:rsid w:val="71421785"/>
    <w:rsid w:val="7158574F"/>
    <w:rsid w:val="7180259E"/>
    <w:rsid w:val="721253F9"/>
    <w:rsid w:val="722578E9"/>
    <w:rsid w:val="727C74CC"/>
    <w:rsid w:val="72B54101"/>
    <w:rsid w:val="72CC5EC7"/>
    <w:rsid w:val="7313528F"/>
    <w:rsid w:val="7314591F"/>
    <w:rsid w:val="733C509D"/>
    <w:rsid w:val="73972979"/>
    <w:rsid w:val="739A6724"/>
    <w:rsid w:val="74237D69"/>
    <w:rsid w:val="74A626EA"/>
    <w:rsid w:val="74FD20DE"/>
    <w:rsid w:val="751B4EE4"/>
    <w:rsid w:val="756747A2"/>
    <w:rsid w:val="75734190"/>
    <w:rsid w:val="75A7382D"/>
    <w:rsid w:val="75D57006"/>
    <w:rsid w:val="7625426C"/>
    <w:rsid w:val="7641097A"/>
    <w:rsid w:val="77843214"/>
    <w:rsid w:val="77B5517C"/>
    <w:rsid w:val="77C47A53"/>
    <w:rsid w:val="77D74F78"/>
    <w:rsid w:val="77EA5801"/>
    <w:rsid w:val="780A2D32"/>
    <w:rsid w:val="7856695F"/>
    <w:rsid w:val="785962C1"/>
    <w:rsid w:val="78832BF4"/>
    <w:rsid w:val="78B00F4C"/>
    <w:rsid w:val="79155E76"/>
    <w:rsid w:val="791F1447"/>
    <w:rsid w:val="795959DD"/>
    <w:rsid w:val="79A656C4"/>
    <w:rsid w:val="7A3507F6"/>
    <w:rsid w:val="7A4822D7"/>
    <w:rsid w:val="7A707A80"/>
    <w:rsid w:val="7A925C48"/>
    <w:rsid w:val="7ABA6A60"/>
    <w:rsid w:val="7B1440DE"/>
    <w:rsid w:val="7B3343CE"/>
    <w:rsid w:val="7B3B2338"/>
    <w:rsid w:val="7B4968BF"/>
    <w:rsid w:val="7BA93985"/>
    <w:rsid w:val="7BDD225D"/>
    <w:rsid w:val="7C4B484E"/>
    <w:rsid w:val="7C914A80"/>
    <w:rsid w:val="7CDE33C7"/>
    <w:rsid w:val="7D7132D5"/>
    <w:rsid w:val="7D8F021D"/>
    <w:rsid w:val="7DCC0D4A"/>
    <w:rsid w:val="7E05426C"/>
    <w:rsid w:val="7E296640"/>
    <w:rsid w:val="7E3A287F"/>
    <w:rsid w:val="7E696CC0"/>
    <w:rsid w:val="7ED97EFB"/>
    <w:rsid w:val="7EF85C16"/>
    <w:rsid w:val="7F0240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883" w:firstLineChars="200"/>
      <w:jc w:val="both"/>
    </w:pPr>
    <w:rPr>
      <w:rFonts w:ascii="Times New Roman" w:hAnsi="Times New Roman" w:eastAsia="宋体" w:cs="Times New Roman"/>
      <w:kern w:val="2"/>
      <w:sz w:val="28"/>
      <w:szCs w:val="24"/>
      <w:lang w:val="en-US" w:eastAsia="zh-CN" w:bidi="ar-SA"/>
    </w:rPr>
  </w:style>
  <w:style w:type="paragraph" w:styleId="2">
    <w:name w:val="heading 1"/>
    <w:basedOn w:val="1"/>
    <w:next w:val="1"/>
    <w:link w:val="27"/>
    <w:autoRedefine/>
    <w:qFormat/>
    <w:uiPriority w:val="0"/>
    <w:pPr>
      <w:keepNext/>
      <w:keepLines/>
      <w:spacing w:beforeLines="0" w:beforeAutospacing="0" w:afterLines="0" w:afterAutospacing="0" w:line="360" w:lineRule="auto"/>
      <w:ind w:left="0" w:leftChars="0" w:firstLine="0" w:firstLineChars="0"/>
      <w:jc w:val="center"/>
      <w:outlineLvl w:val="0"/>
    </w:pPr>
    <w:rPr>
      <w:rFonts w:ascii="Times New Roman" w:hAnsi="Times New Roman" w:eastAsia="黑体"/>
      <w:b/>
      <w:kern w:val="44"/>
      <w:sz w:val="32"/>
    </w:rPr>
  </w:style>
  <w:style w:type="paragraph" w:styleId="3">
    <w:name w:val="heading 2"/>
    <w:basedOn w:val="1"/>
    <w:next w:val="1"/>
    <w:unhideWhenUsed/>
    <w:qFormat/>
    <w:uiPriority w:val="0"/>
    <w:pPr>
      <w:keepNext/>
      <w:keepLines/>
      <w:spacing w:beforeLines="0" w:beforeAutospacing="0" w:afterLines="0" w:afterAutospacing="0" w:line="360" w:lineRule="auto"/>
      <w:ind w:left="280" w:leftChars="100" w:firstLine="0" w:firstLineChars="0"/>
      <w:outlineLvl w:val="1"/>
    </w:pPr>
    <w:rPr>
      <w:rFonts w:eastAsia="黑体"/>
      <w:b/>
      <w:sz w:val="30"/>
    </w:rPr>
  </w:style>
  <w:style w:type="paragraph" w:styleId="4">
    <w:name w:val="heading 3"/>
    <w:basedOn w:val="1"/>
    <w:next w:val="1"/>
    <w:link w:val="36"/>
    <w:autoRedefine/>
    <w:unhideWhenUsed/>
    <w:qFormat/>
    <w:uiPriority w:val="0"/>
    <w:pPr>
      <w:keepNext/>
      <w:keepLines/>
      <w:spacing w:beforeLines="0" w:beforeAutospacing="0" w:afterLines="0" w:afterAutospacing="0" w:line="360" w:lineRule="auto"/>
      <w:ind w:left="560" w:leftChars="200" w:firstLine="0" w:firstLineChars="0"/>
      <w:outlineLvl w:val="2"/>
    </w:pPr>
    <w:rPr>
      <w:rFonts w:eastAsia="黑体"/>
      <w:b/>
    </w:rPr>
  </w:style>
  <w:style w:type="character" w:default="1" w:styleId="21">
    <w:name w:val="Default Paragraph Font"/>
    <w:autoRedefine/>
    <w:semiHidden/>
    <w:qFormat/>
    <w:uiPriority w:val="0"/>
  </w:style>
  <w:style w:type="table" w:default="1" w:styleId="19">
    <w:name w:val="Normal Table"/>
    <w:autoRedefine/>
    <w:semiHidden/>
    <w:qFormat/>
    <w:uiPriority w:val="0"/>
    <w:tblPr>
      <w:tblCellMar>
        <w:top w:w="0" w:type="dxa"/>
        <w:left w:w="108" w:type="dxa"/>
        <w:bottom w:w="0" w:type="dxa"/>
        <w:right w:w="108" w:type="dxa"/>
      </w:tblCellMar>
    </w:tblPr>
  </w:style>
  <w:style w:type="paragraph" w:styleId="5">
    <w:name w:val="table of authorities"/>
    <w:basedOn w:val="1"/>
    <w:next w:val="1"/>
    <w:autoRedefine/>
    <w:qFormat/>
    <w:uiPriority w:val="0"/>
    <w:pPr>
      <w:ind w:left="420" w:leftChars="200"/>
    </w:pPr>
  </w:style>
  <w:style w:type="paragraph" w:styleId="6">
    <w:name w:val="toa heading"/>
    <w:next w:val="1"/>
    <w:qFormat/>
    <w:uiPriority w:val="0"/>
    <w:pPr>
      <w:widowControl w:val="0"/>
      <w:spacing w:before="120"/>
      <w:jc w:val="both"/>
    </w:pPr>
    <w:rPr>
      <w:rFonts w:ascii="Cambria" w:hAnsi="Cambria" w:eastAsia="宋体" w:cs="Times New Roman"/>
      <w:kern w:val="2"/>
      <w:sz w:val="24"/>
      <w:szCs w:val="24"/>
      <w:lang w:val="en-US" w:eastAsia="zh-CN" w:bidi="ar-SA"/>
    </w:rPr>
  </w:style>
  <w:style w:type="paragraph" w:styleId="7">
    <w:name w:val="annotation text"/>
    <w:basedOn w:val="1"/>
    <w:autoRedefine/>
    <w:qFormat/>
    <w:uiPriority w:val="0"/>
    <w:pPr>
      <w:jc w:val="left"/>
    </w:pPr>
  </w:style>
  <w:style w:type="paragraph" w:styleId="8">
    <w:name w:val="Body Text"/>
    <w:link w:val="30"/>
    <w:autoRedefine/>
    <w:qFormat/>
    <w:uiPriority w:val="0"/>
    <w:pPr>
      <w:widowControl w:val="0"/>
      <w:spacing w:after="120" w:line="360" w:lineRule="auto"/>
      <w:jc w:val="both"/>
    </w:pPr>
    <w:rPr>
      <w:rFonts w:ascii="Times New Roman" w:hAnsi="Times New Roman" w:eastAsia="宋体" w:cs="Times New Roman"/>
      <w:kern w:val="2"/>
      <w:sz w:val="28"/>
      <w:szCs w:val="24"/>
      <w:lang w:val="en-US" w:eastAsia="zh-CN" w:bidi="ar-SA"/>
    </w:rPr>
  </w:style>
  <w:style w:type="paragraph" w:styleId="9">
    <w:name w:val="Body Text Indent"/>
    <w:basedOn w:val="1"/>
    <w:qFormat/>
    <w:uiPriority w:val="0"/>
    <w:pPr>
      <w:widowControl w:val="0"/>
      <w:spacing w:after="120" w:line="360" w:lineRule="auto"/>
      <w:ind w:left="420" w:leftChars="200"/>
      <w:jc w:val="both"/>
    </w:pPr>
    <w:rPr>
      <w:rFonts w:ascii="Times New Roman" w:hAnsi="Times New Roman" w:eastAsia="宋体" w:cs="Times New Roman"/>
      <w:kern w:val="2"/>
      <w:sz w:val="28"/>
      <w:szCs w:val="24"/>
      <w:lang w:val="en-US" w:eastAsia="zh-CN" w:bidi="ar-SA"/>
    </w:rPr>
  </w:style>
  <w:style w:type="paragraph" w:styleId="10">
    <w:name w:val="toc 3"/>
    <w:basedOn w:val="1"/>
    <w:next w:val="1"/>
    <w:autoRedefine/>
    <w:qFormat/>
    <w:uiPriority w:val="0"/>
    <w:pPr>
      <w:spacing w:line="240" w:lineRule="auto"/>
      <w:ind w:left="840" w:leftChars="400"/>
    </w:pPr>
    <w:rPr>
      <w:rFonts w:ascii="Times New Roman" w:hAnsi="Times New Roman" w:eastAsia="宋体"/>
      <w:sz w:val="21"/>
    </w:rPr>
  </w:style>
  <w:style w:type="paragraph" w:styleId="11">
    <w:name w:val="Body Text Indent 2"/>
    <w:qFormat/>
    <w:uiPriority w:val="0"/>
    <w:pPr>
      <w:widowControl w:val="0"/>
      <w:spacing w:after="120" w:line="480" w:lineRule="auto"/>
      <w:ind w:left="420" w:leftChars="200"/>
      <w:jc w:val="both"/>
    </w:pPr>
    <w:rPr>
      <w:rFonts w:ascii="Times New Roman" w:hAnsi="Times New Roman" w:eastAsia="宋体" w:cs="Times New Roman"/>
      <w:kern w:val="2"/>
      <w:sz w:val="21"/>
      <w:szCs w:val="24"/>
      <w:lang w:val="en-US" w:eastAsia="zh-CN" w:bidi="ar-SA"/>
    </w:rPr>
  </w:style>
  <w:style w:type="paragraph" w:styleId="12">
    <w:name w:val="footer"/>
    <w:basedOn w:val="1"/>
    <w:autoRedefine/>
    <w:qFormat/>
    <w:uiPriority w:val="0"/>
    <w:pPr>
      <w:tabs>
        <w:tab w:val="center" w:pos="4153"/>
        <w:tab w:val="right" w:pos="8306"/>
      </w:tabs>
      <w:snapToGrid w:val="0"/>
      <w:spacing w:line="240" w:lineRule="auto"/>
      <w:jc w:val="left"/>
    </w:pPr>
    <w:rPr>
      <w:sz w:val="18"/>
      <w:szCs w:val="18"/>
    </w:rPr>
  </w:style>
  <w:style w:type="paragraph" w:styleId="13">
    <w:name w:val="header"/>
    <w:basedOn w:val="1"/>
    <w:autoRedefine/>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4">
    <w:name w:val="toc 1"/>
    <w:basedOn w:val="1"/>
    <w:next w:val="1"/>
    <w:autoRedefine/>
    <w:qFormat/>
    <w:uiPriority w:val="0"/>
    <w:pPr>
      <w:tabs>
        <w:tab w:val="right" w:leader="dot" w:pos="9072"/>
      </w:tabs>
      <w:spacing w:line="240" w:lineRule="auto"/>
      <w:ind w:firstLine="0" w:firstLineChars="0"/>
    </w:pPr>
    <w:rPr>
      <w:rFonts w:ascii="Times New Roman" w:hAnsi="Times New Roman" w:eastAsia="宋体"/>
      <w:sz w:val="28"/>
      <w:szCs w:val="21"/>
    </w:rPr>
  </w:style>
  <w:style w:type="paragraph" w:styleId="15">
    <w:name w:val="toc 2"/>
    <w:basedOn w:val="1"/>
    <w:next w:val="1"/>
    <w:autoRedefine/>
    <w:qFormat/>
    <w:uiPriority w:val="0"/>
    <w:pPr>
      <w:spacing w:line="240" w:lineRule="auto"/>
      <w:ind w:left="420" w:leftChars="200" w:firstLine="0" w:firstLineChars="0"/>
    </w:pPr>
    <w:rPr>
      <w:rFonts w:ascii="Times New Roman" w:hAnsi="Times New Roman" w:eastAsia="宋体"/>
      <w:sz w:val="24"/>
    </w:rPr>
  </w:style>
  <w:style w:type="paragraph" w:styleId="16">
    <w:name w:val="Body Text 2"/>
    <w:autoRedefine/>
    <w:qFormat/>
    <w:uiPriority w:val="0"/>
    <w:pPr>
      <w:widowControl w:val="0"/>
      <w:spacing w:after="120" w:line="480" w:lineRule="auto"/>
      <w:jc w:val="both"/>
    </w:pPr>
    <w:rPr>
      <w:rFonts w:ascii="Times New Roman" w:hAnsi="Times New Roman" w:eastAsia="宋体" w:cs="Times New Roman"/>
      <w:kern w:val="2"/>
      <w:sz w:val="28"/>
      <w:szCs w:val="24"/>
      <w:lang w:val="en-US" w:eastAsia="zh-CN" w:bidi="ar-SA"/>
    </w:rPr>
  </w:style>
  <w:style w:type="paragraph" w:styleId="17">
    <w:name w:val="Normal (Web)"/>
    <w:autoRedefine/>
    <w:qFormat/>
    <w:uiPriority w:val="99"/>
    <w:pPr>
      <w:widowControl/>
      <w:spacing w:before="100" w:beforeAutospacing="1" w:after="100" w:afterAutospacing="1"/>
      <w:jc w:val="left"/>
    </w:pPr>
    <w:rPr>
      <w:rFonts w:ascii="宋体" w:hAnsi="宋体" w:eastAsia="宋体" w:cs="宋体"/>
      <w:kern w:val="0"/>
      <w:sz w:val="24"/>
      <w:szCs w:val="24"/>
      <w:lang w:val="en-US" w:eastAsia="zh-CN" w:bidi="ar-SA"/>
    </w:rPr>
  </w:style>
  <w:style w:type="paragraph" w:styleId="18">
    <w:name w:val="Body Text First Indent 2"/>
    <w:basedOn w:val="9"/>
    <w:qFormat/>
    <w:uiPriority w:val="0"/>
    <w:pPr>
      <w:widowControl w:val="0"/>
      <w:spacing w:after="120" w:line="360" w:lineRule="auto"/>
      <w:ind w:left="420" w:leftChars="200" w:firstLine="420" w:firstLineChars="200"/>
      <w:jc w:val="both"/>
    </w:pPr>
    <w:rPr>
      <w:rFonts w:ascii="Times New Roman" w:hAnsi="Times New Roman" w:eastAsia="宋体" w:cs="Times New Roman"/>
      <w:kern w:val="2"/>
      <w:sz w:val="28"/>
      <w:szCs w:val="24"/>
      <w:lang w:val="en-US" w:eastAsia="zh-CN" w:bidi="ar-SA"/>
    </w:rPr>
  </w:style>
  <w:style w:type="table" w:styleId="20">
    <w:name w:val="Table Grid"/>
    <w:basedOn w:val="1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autoRedefine/>
    <w:qFormat/>
    <w:uiPriority w:val="0"/>
  </w:style>
  <w:style w:type="paragraph" w:customStyle="1" w:styleId="23">
    <w:name w:val="目录1"/>
    <w:basedOn w:val="5"/>
    <w:autoRedefine/>
    <w:qFormat/>
    <w:uiPriority w:val="0"/>
    <w:pPr>
      <w:spacing w:line="240" w:lineRule="auto"/>
      <w:ind w:left="0" w:leftChars="0" w:firstLine="0" w:firstLineChars="0"/>
    </w:pPr>
  </w:style>
  <w:style w:type="paragraph" w:customStyle="1" w:styleId="24">
    <w:name w:val="目录2"/>
    <w:basedOn w:val="5"/>
    <w:autoRedefine/>
    <w:qFormat/>
    <w:uiPriority w:val="0"/>
    <w:pPr>
      <w:spacing w:line="240" w:lineRule="auto"/>
      <w:ind w:firstLine="0" w:firstLineChars="0"/>
    </w:pPr>
    <w:rPr>
      <w:sz w:val="24"/>
    </w:rPr>
  </w:style>
  <w:style w:type="paragraph" w:customStyle="1" w:styleId="25">
    <w:name w:val="目录3"/>
    <w:basedOn w:val="5"/>
    <w:autoRedefine/>
    <w:qFormat/>
    <w:uiPriority w:val="0"/>
    <w:pPr>
      <w:spacing w:line="240" w:lineRule="auto"/>
      <w:ind w:left="1120" w:leftChars="400" w:firstLine="0" w:firstLineChars="0"/>
    </w:pPr>
    <w:rPr>
      <w:sz w:val="21"/>
    </w:rPr>
  </w:style>
  <w:style w:type="paragraph" w:customStyle="1" w:styleId="26">
    <w:name w:val="样式 小四 首行缩进:  0.85 厘米 行距: 固定值 22 磅"/>
    <w:autoRedefine/>
    <w:qFormat/>
    <w:uiPriority w:val="0"/>
    <w:pPr>
      <w:widowControl/>
      <w:spacing w:line="440" w:lineRule="exact"/>
      <w:ind w:firstLine="480" w:firstLineChars="200"/>
      <w:jc w:val="both"/>
    </w:pPr>
    <w:rPr>
      <w:rFonts w:ascii="新宋体" w:hAnsi="新宋体" w:eastAsia="新宋体" w:cs="新宋体"/>
      <w:kern w:val="0"/>
      <w:sz w:val="24"/>
      <w:szCs w:val="20"/>
      <w:lang w:val="en-US" w:eastAsia="en-US" w:bidi="en-US"/>
    </w:rPr>
  </w:style>
  <w:style w:type="character" w:customStyle="1" w:styleId="27">
    <w:name w:val="标题 1 Char1"/>
    <w:link w:val="2"/>
    <w:autoRedefine/>
    <w:qFormat/>
    <w:uiPriority w:val="0"/>
    <w:rPr>
      <w:rFonts w:ascii="Times New Roman" w:hAnsi="Times New Roman" w:eastAsia="黑体"/>
      <w:b/>
      <w:kern w:val="44"/>
      <w:sz w:val="32"/>
    </w:rPr>
  </w:style>
  <w:style w:type="paragraph" w:customStyle="1" w:styleId="28">
    <w:name w:val="Char1"/>
    <w:basedOn w:val="1"/>
    <w:autoRedefine/>
    <w:qFormat/>
    <w:uiPriority w:val="0"/>
    <w:pPr>
      <w:autoSpaceDE w:val="0"/>
      <w:autoSpaceDN w:val="0"/>
      <w:adjustRightInd w:val="0"/>
      <w:snapToGrid w:val="0"/>
      <w:spacing w:before="50" w:after="50"/>
      <w:ind w:firstLine="560" w:firstLineChars="200"/>
    </w:pPr>
    <w:rPr>
      <w:sz w:val="21"/>
      <w:szCs w:val="20"/>
    </w:rPr>
  </w:style>
  <w:style w:type="character" w:customStyle="1" w:styleId="29">
    <w:name w:val="正文文本 + 10.5 pt6"/>
    <w:autoRedefine/>
    <w:qFormat/>
    <w:uiPriority w:val="0"/>
    <w:rPr>
      <w:rFonts w:ascii="宋体" w:hAnsi="宋体" w:eastAsia="宋体" w:cs="宋体"/>
      <w:kern w:val="2"/>
      <w:sz w:val="21"/>
      <w:szCs w:val="21"/>
      <w:u w:val="none"/>
      <w:lang w:val="en-US" w:eastAsia="zh-CN" w:bidi="ar-SA"/>
    </w:rPr>
  </w:style>
  <w:style w:type="character" w:customStyle="1" w:styleId="30">
    <w:name w:val="正文文本_"/>
    <w:link w:val="8"/>
    <w:autoRedefine/>
    <w:qFormat/>
    <w:uiPriority w:val="0"/>
    <w:rPr>
      <w:kern w:val="2"/>
      <w:sz w:val="28"/>
      <w:szCs w:val="24"/>
      <w:lang w:val="en-US" w:eastAsia="zh-CN" w:bidi="ar-SA"/>
    </w:rPr>
  </w:style>
  <w:style w:type="character" w:customStyle="1" w:styleId="31">
    <w:name w:val="正文文本 + Batang19"/>
    <w:autoRedefine/>
    <w:qFormat/>
    <w:uiPriority w:val="0"/>
    <w:rPr>
      <w:rFonts w:ascii="Batang" w:hAnsi="宋体" w:eastAsia="Batang" w:cs="Batang"/>
      <w:kern w:val="2"/>
      <w:sz w:val="19"/>
      <w:szCs w:val="19"/>
      <w:u w:val="none"/>
      <w:lang w:val="en-US" w:eastAsia="en-US" w:bidi="ar-SA"/>
    </w:rPr>
  </w:style>
  <w:style w:type="character" w:customStyle="1" w:styleId="32">
    <w:name w:val="正文文本 + MS Gothic"/>
    <w:autoRedefine/>
    <w:qFormat/>
    <w:uiPriority w:val="0"/>
    <w:rPr>
      <w:rFonts w:ascii="MS Gothic" w:hAnsi="宋体" w:eastAsia="MS Gothic" w:cs="MS Gothic"/>
      <w:spacing w:val="-20"/>
      <w:kern w:val="2"/>
      <w:sz w:val="8"/>
      <w:szCs w:val="8"/>
      <w:u w:val="none"/>
      <w:lang w:val="en-US" w:eastAsia="zh-CN" w:bidi="ar-SA"/>
    </w:rPr>
  </w:style>
  <w:style w:type="character" w:customStyle="1" w:styleId="33">
    <w:name w:val="正文文本 + Batang18"/>
    <w:autoRedefine/>
    <w:qFormat/>
    <w:uiPriority w:val="0"/>
    <w:rPr>
      <w:rFonts w:ascii="Batang" w:hAnsi="宋体" w:eastAsia="Batang" w:cs="Batang"/>
      <w:kern w:val="2"/>
      <w:sz w:val="19"/>
      <w:szCs w:val="19"/>
      <w:u w:val="none"/>
      <w:lang w:val="en-US" w:eastAsia="zh-CN" w:bidi="ar-SA"/>
    </w:rPr>
  </w:style>
  <w:style w:type="table" w:customStyle="1" w:styleId="34">
    <w:name w:val="Table Normal"/>
    <w:autoRedefine/>
    <w:semiHidden/>
    <w:unhideWhenUsed/>
    <w:qFormat/>
    <w:uiPriority w:val="0"/>
    <w:tblPr>
      <w:tblCellMar>
        <w:top w:w="0" w:type="dxa"/>
        <w:left w:w="0" w:type="dxa"/>
        <w:bottom w:w="0" w:type="dxa"/>
        <w:right w:w="0" w:type="dxa"/>
      </w:tblCellMar>
    </w:tblPr>
  </w:style>
  <w:style w:type="paragraph" w:customStyle="1" w:styleId="35">
    <w:name w:val="Table Text"/>
    <w:basedOn w:val="1"/>
    <w:autoRedefine/>
    <w:semiHidden/>
    <w:qFormat/>
    <w:uiPriority w:val="0"/>
    <w:rPr>
      <w:rFonts w:ascii="微软雅黑" w:hAnsi="微软雅黑" w:eastAsia="微软雅黑" w:cs="微软雅黑"/>
      <w:sz w:val="28"/>
      <w:szCs w:val="28"/>
      <w:lang w:val="en-US" w:eastAsia="en-US" w:bidi="ar-SA"/>
    </w:rPr>
  </w:style>
  <w:style w:type="character" w:customStyle="1" w:styleId="36">
    <w:name w:val="标题 3 Char"/>
    <w:link w:val="4"/>
    <w:qFormat/>
    <w:uiPriority w:val="0"/>
    <w:rPr>
      <w:rFonts w:eastAsia="黑体"/>
      <w:b/>
    </w:rPr>
  </w:style>
  <w:style w:type="paragraph" w:customStyle="1" w:styleId="37">
    <w:name w:val="样式 样式 样式 正文文本缩进 + 首行缩进:  2 字符 + 图案: 15% (自动设置 前景 白色 背景) + 图案: 清除"/>
    <w:qFormat/>
    <w:uiPriority w:val="0"/>
    <w:pPr>
      <w:widowControl/>
      <w:tabs>
        <w:tab w:val="left" w:pos="1155"/>
        <w:tab w:val="center" w:pos="4153"/>
      </w:tabs>
      <w:spacing w:line="360" w:lineRule="auto"/>
      <w:ind w:firstLine="560" w:firstLineChars="200"/>
      <w:jc w:val="both"/>
    </w:pPr>
    <w:rPr>
      <w:rFonts w:ascii="Times New Roman" w:hAnsi="Times New Roman" w:eastAsia="宋体" w:cs="宋体"/>
      <w:color w:val="000000"/>
      <w:kern w:val="0"/>
      <w:sz w:val="28"/>
      <w:szCs w:val="28"/>
      <w:lang w:val="en-US" w:eastAsia="zh-CN" w:bidi="ar-SA"/>
    </w:rPr>
  </w:style>
  <w:style w:type="paragraph" w:customStyle="1" w:styleId="38">
    <w:name w:val="样式 标题 2"/>
    <w:basedOn w:val="3"/>
    <w:qFormat/>
    <w:uiPriority w:val="0"/>
    <w:pPr>
      <w:spacing w:before="50" w:after="50"/>
      <w:jc w:val="both"/>
    </w:pPr>
    <w:rPr>
      <w:szCs w:val="28"/>
    </w:rPr>
  </w:style>
  <w:style w:type="paragraph" w:customStyle="1" w:styleId="39">
    <w:name w:val="Table Paragraph"/>
    <w:unhideWhenUsed/>
    <w:qFormat/>
    <w:uiPriority w:val="1"/>
    <w:pPr>
      <w:widowControl w:val="0"/>
      <w:autoSpaceDE w:val="0"/>
      <w:autoSpaceDN w:val="0"/>
      <w:adjustRightInd w:val="0"/>
      <w:spacing w:before="32" w:beforeLines="0" w:afterLines="0"/>
      <w:jc w:val="center"/>
    </w:pPr>
    <w:rPr>
      <w:rFonts w:hint="default" w:ascii="Tahoma" w:hAnsi="Tahoma" w:eastAsia="Tahoma" w:cs="Times New Roman"/>
      <w:sz w:val="24"/>
      <w:szCs w:val="24"/>
    </w:rPr>
  </w:style>
  <w:style w:type="paragraph" w:customStyle="1" w:styleId="40">
    <w:name w:val=" Char Char Char Char Char Char Char Char Char Char1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41">
    <w:name w:val="标图名"/>
    <w:basedOn w:val="42"/>
    <w:next w:val="42"/>
    <w:qFormat/>
    <w:uiPriority w:val="0"/>
    <w:pPr>
      <w:numPr>
        <w:ilvl w:val="5"/>
        <w:numId w:val="1"/>
      </w:numPr>
      <w:spacing w:afterLines="50" w:line="240" w:lineRule="auto"/>
      <w:ind w:firstLineChars="0"/>
      <w:jc w:val="center"/>
    </w:pPr>
    <w:rPr>
      <w:rFonts w:eastAsia="宋体"/>
    </w:rPr>
  </w:style>
  <w:style w:type="paragraph" w:customStyle="1" w:styleId="42">
    <w:name w:val="标正"/>
    <w:basedOn w:val="1"/>
    <w:qFormat/>
    <w:uiPriority w:val="0"/>
    <w:pPr>
      <w:spacing w:line="480" w:lineRule="exact"/>
      <w:ind w:firstLine="560" w:firstLineChars="200"/>
      <w:jc w:val="left"/>
    </w:pPr>
    <w:rPr>
      <w:rFonts w:ascii="仿宋_GB2312" w:hAnsi="Times New Roman" w:eastAsia="仿宋_GB2312" w:cs="Times New Roman"/>
      <w:kern w:val="0"/>
      <w:sz w:val="28"/>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3" Type="http://schemas.openxmlformats.org/officeDocument/2006/relationships/fontTable" Target="fontTable.xml"/><Relationship Id="rId82" Type="http://schemas.openxmlformats.org/officeDocument/2006/relationships/numbering" Target="numbering.xml"/><Relationship Id="rId81" Type="http://schemas.openxmlformats.org/officeDocument/2006/relationships/customXml" Target="../customXml/item1.xml"/><Relationship Id="rId80" Type="http://schemas.openxmlformats.org/officeDocument/2006/relationships/image" Target="media/image34.jpeg"/><Relationship Id="rId8" Type="http://schemas.openxmlformats.org/officeDocument/2006/relationships/header" Target="header2.xml"/><Relationship Id="rId79" Type="http://schemas.openxmlformats.org/officeDocument/2006/relationships/image" Target="media/image33.png"/><Relationship Id="rId78" Type="http://schemas.openxmlformats.org/officeDocument/2006/relationships/image" Target="media/image32.wmf"/><Relationship Id="rId77" Type="http://schemas.openxmlformats.org/officeDocument/2006/relationships/oleObject" Target="embeddings/oleObject28.bin"/><Relationship Id="rId76" Type="http://schemas.openxmlformats.org/officeDocument/2006/relationships/image" Target="media/image31.wmf"/><Relationship Id="rId75" Type="http://schemas.openxmlformats.org/officeDocument/2006/relationships/oleObject" Target="embeddings/oleObject27.bin"/><Relationship Id="rId74" Type="http://schemas.openxmlformats.org/officeDocument/2006/relationships/image" Target="media/image30.wmf"/><Relationship Id="rId73" Type="http://schemas.openxmlformats.org/officeDocument/2006/relationships/oleObject" Target="embeddings/oleObject26.bin"/><Relationship Id="rId72" Type="http://schemas.openxmlformats.org/officeDocument/2006/relationships/image" Target="media/image29.png"/><Relationship Id="rId71" Type="http://schemas.openxmlformats.org/officeDocument/2006/relationships/chart" Target="charts/chart2.xml"/><Relationship Id="rId70" Type="http://schemas.openxmlformats.org/officeDocument/2006/relationships/image" Target="media/image28.wmf"/><Relationship Id="rId7" Type="http://schemas.openxmlformats.org/officeDocument/2006/relationships/footer" Target="footer2.xml"/><Relationship Id="rId69" Type="http://schemas.openxmlformats.org/officeDocument/2006/relationships/oleObject" Target="embeddings/oleObject25.bin"/><Relationship Id="rId68" Type="http://schemas.openxmlformats.org/officeDocument/2006/relationships/image" Target="media/image27.wmf"/><Relationship Id="rId67" Type="http://schemas.openxmlformats.org/officeDocument/2006/relationships/oleObject" Target="embeddings/oleObject24.bin"/><Relationship Id="rId66" Type="http://schemas.openxmlformats.org/officeDocument/2006/relationships/image" Target="media/image26.wmf"/><Relationship Id="rId65" Type="http://schemas.openxmlformats.org/officeDocument/2006/relationships/oleObject" Target="embeddings/oleObject23.bin"/><Relationship Id="rId64" Type="http://schemas.openxmlformats.org/officeDocument/2006/relationships/image" Target="media/image25.wmf"/><Relationship Id="rId63" Type="http://schemas.openxmlformats.org/officeDocument/2006/relationships/oleObject" Target="embeddings/oleObject22.bin"/><Relationship Id="rId62" Type="http://schemas.openxmlformats.org/officeDocument/2006/relationships/image" Target="media/image24.wmf"/><Relationship Id="rId61" Type="http://schemas.openxmlformats.org/officeDocument/2006/relationships/oleObject" Target="embeddings/oleObject21.bin"/><Relationship Id="rId60" Type="http://schemas.openxmlformats.org/officeDocument/2006/relationships/image" Target="media/image23.wmf"/><Relationship Id="rId6" Type="http://schemas.openxmlformats.org/officeDocument/2006/relationships/footer" Target="footer1.xml"/><Relationship Id="rId59" Type="http://schemas.openxmlformats.org/officeDocument/2006/relationships/oleObject" Target="embeddings/oleObject20.bin"/><Relationship Id="rId58" Type="http://schemas.openxmlformats.org/officeDocument/2006/relationships/image" Target="media/image22.wmf"/><Relationship Id="rId57" Type="http://schemas.openxmlformats.org/officeDocument/2006/relationships/oleObject" Target="embeddings/oleObject19.bin"/><Relationship Id="rId56" Type="http://schemas.openxmlformats.org/officeDocument/2006/relationships/chart" Target="charts/chart1.xml"/><Relationship Id="rId55" Type="http://schemas.openxmlformats.org/officeDocument/2006/relationships/image" Target="media/image21.wmf"/><Relationship Id="rId54" Type="http://schemas.openxmlformats.org/officeDocument/2006/relationships/oleObject" Target="embeddings/oleObject18.bin"/><Relationship Id="rId53" Type="http://schemas.openxmlformats.org/officeDocument/2006/relationships/image" Target="media/image20.wmf"/><Relationship Id="rId52" Type="http://schemas.openxmlformats.org/officeDocument/2006/relationships/oleObject" Target="embeddings/oleObject17.bin"/><Relationship Id="rId51" Type="http://schemas.openxmlformats.org/officeDocument/2006/relationships/image" Target="media/image19.wmf"/><Relationship Id="rId50" Type="http://schemas.openxmlformats.org/officeDocument/2006/relationships/oleObject" Target="embeddings/oleObject16.bin"/><Relationship Id="rId5" Type="http://schemas.openxmlformats.org/officeDocument/2006/relationships/header" Target="header1.xml"/><Relationship Id="rId49" Type="http://schemas.openxmlformats.org/officeDocument/2006/relationships/image" Target="media/image18.wmf"/><Relationship Id="rId48" Type="http://schemas.openxmlformats.org/officeDocument/2006/relationships/oleObject" Target="embeddings/oleObject15.bin"/><Relationship Id="rId47" Type="http://schemas.openxmlformats.org/officeDocument/2006/relationships/image" Target="media/image17.wmf"/><Relationship Id="rId46" Type="http://schemas.openxmlformats.org/officeDocument/2006/relationships/oleObject" Target="embeddings/oleObject14.bin"/><Relationship Id="rId45" Type="http://schemas.openxmlformats.org/officeDocument/2006/relationships/image" Target="media/image16.png"/><Relationship Id="rId44" Type="http://schemas.openxmlformats.org/officeDocument/2006/relationships/image" Target="media/image15.wmf"/><Relationship Id="rId43" Type="http://schemas.openxmlformats.org/officeDocument/2006/relationships/oleObject" Target="embeddings/oleObject13.bin"/><Relationship Id="rId42" Type="http://schemas.openxmlformats.org/officeDocument/2006/relationships/image" Target="media/image14.wmf"/><Relationship Id="rId41" Type="http://schemas.openxmlformats.org/officeDocument/2006/relationships/oleObject" Target="embeddings/oleObject12.bin"/><Relationship Id="rId40" Type="http://schemas.openxmlformats.org/officeDocument/2006/relationships/image" Target="media/image13.wmf"/><Relationship Id="rId4" Type="http://schemas.openxmlformats.org/officeDocument/2006/relationships/endnotes" Target="endnotes.xml"/><Relationship Id="rId39" Type="http://schemas.openxmlformats.org/officeDocument/2006/relationships/oleObject" Target="embeddings/oleObject11.bin"/><Relationship Id="rId38" Type="http://schemas.openxmlformats.org/officeDocument/2006/relationships/image" Target="media/image12.wmf"/><Relationship Id="rId37" Type="http://schemas.openxmlformats.org/officeDocument/2006/relationships/oleObject" Target="embeddings/oleObject10.bin"/><Relationship Id="rId36" Type="http://schemas.openxmlformats.org/officeDocument/2006/relationships/image" Target="media/image11.wmf"/><Relationship Id="rId35" Type="http://schemas.openxmlformats.org/officeDocument/2006/relationships/oleObject" Target="embeddings/oleObject9.bin"/><Relationship Id="rId34" Type="http://schemas.openxmlformats.org/officeDocument/2006/relationships/image" Target="media/image10.wmf"/><Relationship Id="rId33" Type="http://schemas.openxmlformats.org/officeDocument/2006/relationships/oleObject" Target="embeddings/oleObject8.bin"/><Relationship Id="rId32" Type="http://schemas.openxmlformats.org/officeDocument/2006/relationships/image" Target="media/image9.wmf"/><Relationship Id="rId31" Type="http://schemas.openxmlformats.org/officeDocument/2006/relationships/oleObject" Target="embeddings/oleObject7.bin"/><Relationship Id="rId30" Type="http://schemas.openxmlformats.org/officeDocument/2006/relationships/image" Target="media/image8.wmf"/><Relationship Id="rId3" Type="http://schemas.openxmlformats.org/officeDocument/2006/relationships/footnotes" Target="footnotes.xml"/><Relationship Id="rId29" Type="http://schemas.openxmlformats.org/officeDocument/2006/relationships/oleObject" Target="embeddings/oleObject6.bin"/><Relationship Id="rId28" Type="http://schemas.openxmlformats.org/officeDocument/2006/relationships/image" Target="media/image7.wmf"/><Relationship Id="rId27" Type="http://schemas.openxmlformats.org/officeDocument/2006/relationships/oleObject" Target="embeddings/oleObject5.bin"/><Relationship Id="rId26" Type="http://schemas.openxmlformats.org/officeDocument/2006/relationships/image" Target="media/image6.wmf"/><Relationship Id="rId25" Type="http://schemas.openxmlformats.org/officeDocument/2006/relationships/oleObject" Target="embeddings/oleObject4.bin"/><Relationship Id="rId24" Type="http://schemas.openxmlformats.org/officeDocument/2006/relationships/image" Target="media/image5.wmf"/><Relationship Id="rId23" Type="http://schemas.openxmlformats.org/officeDocument/2006/relationships/oleObject" Target="embeddings/oleObject3.bin"/><Relationship Id="rId22" Type="http://schemas.openxmlformats.org/officeDocument/2006/relationships/image" Target="media/image4.wmf"/><Relationship Id="rId21" Type="http://schemas.openxmlformats.org/officeDocument/2006/relationships/oleObject" Target="embeddings/oleObject2.bin"/><Relationship Id="rId20" Type="http://schemas.openxmlformats.org/officeDocument/2006/relationships/image" Target="media/image3.wmf"/><Relationship Id="rId2" Type="http://schemas.openxmlformats.org/officeDocument/2006/relationships/settings" Target="settings.xml"/><Relationship Id="rId19" Type="http://schemas.openxmlformats.org/officeDocument/2006/relationships/oleObject" Target="embeddings/oleObject1.bin"/><Relationship Id="rId18" Type="http://schemas.openxmlformats.org/officeDocument/2006/relationships/image" Target="media/image2.png"/><Relationship Id="rId17" Type="http://schemas.openxmlformats.org/officeDocument/2006/relationships/image" Target="media/image1.png"/><Relationship Id="rId16" Type="http://schemas.openxmlformats.org/officeDocument/2006/relationships/theme" Target="theme/theme1.xml"/><Relationship Id="rId15" Type="http://schemas.openxmlformats.org/officeDocument/2006/relationships/footer" Target="footer6.xml"/><Relationship Id="rId14" Type="http://schemas.openxmlformats.org/officeDocument/2006/relationships/header" Target="header5.xml"/><Relationship Id="rId13" Type="http://schemas.openxmlformats.org/officeDocument/2006/relationships/footer" Target="footer5.xml"/><Relationship Id="rId12" Type="http://schemas.openxmlformats.org/officeDocument/2006/relationships/header" Target="header4.xml"/><Relationship Id="rId11" Type="http://schemas.openxmlformats.org/officeDocument/2006/relationships/footer" Target="footer4.xml"/><Relationship Id="rId10" Type="http://schemas.openxmlformats.org/officeDocument/2006/relationships/header" Target="header3.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D:\&#20854;&#20182;\2021\&#26446;&#24635;\&#27986;&#22353;&#39033;&#30446;\&#35745;&#31639;\&#35843;&#27946;&#28436;&#31639;\&#35843;&#27946;&#28436;&#31639;&#25968;&#25454;.xlsx" TargetMode="External"/></Relationships>
</file>

<file path=word/charts/_rels/chart2.xml.rels><?xml version="1.0" encoding="UTF-8" standalone="yes"?>
<Relationships xmlns="http://schemas.openxmlformats.org/package/2006/relationships"><Relationship Id="rId4" Type="http://schemas.microsoft.com/office/2011/relationships/chartColorStyle" Target="colors2.xml"/><Relationship Id="rId3" Type="http://schemas.microsoft.com/office/2011/relationships/chartStyle" Target="style2.xml"/><Relationship Id="rId2" Type="http://schemas.openxmlformats.org/officeDocument/2006/relationships/themeOverride" Target="../theme/themeOverride1.xml"/><Relationship Id="rId1" Type="http://schemas.openxmlformats.org/officeDocument/2006/relationships/oleObject" Target="file:///D:\&#20854;&#20182;\2025\lb\&#35843;&#27946;&#28436;&#31639;\&#27986;&#22353;-2025&#24180;\&#35745;&#31639;\&#35843;&#27946;&#28436;&#31639;&#25968;&#25454;&#65288;2025&#65289;.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scatterChart>
        <c:scatterStyle val="lineMarker"/>
        <c:varyColors val="0"/>
        <c:ser>
          <c:idx val="0"/>
          <c:order val="0"/>
          <c:tx>
            <c:strRef>
              <c:f>'E:\工程资料\2021年\上坪矿区尾矿库尾矿坝稳定性分析报告\计算\[洪水过程线.xlsx]Sheet1'!$D$3</c:f>
              <c:strCache>
                <c:ptCount val="1"/>
                <c:pt idx="0">
                  <c:v>洪水流量（m3/s）</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dLbls>
            <c:delete val="1"/>
          </c:dLbls>
          <c:xVal>
            <c:numRef>
              <c:f>Sheet1!$AH$7:$AH$19</c:f>
              <c:numCache>
                <c:formatCode>General</c:formatCode>
                <c:ptCount val="13"/>
                <c:pt idx="0">
                  <c:v>1</c:v>
                </c:pt>
                <c:pt idx="1">
                  <c:v>2</c:v>
                </c:pt>
                <c:pt idx="2">
                  <c:v>3</c:v>
                </c:pt>
                <c:pt idx="3">
                  <c:v>4</c:v>
                </c:pt>
                <c:pt idx="4">
                  <c:v>5</c:v>
                </c:pt>
                <c:pt idx="5">
                  <c:v>6</c:v>
                </c:pt>
                <c:pt idx="6">
                  <c:v>7</c:v>
                </c:pt>
                <c:pt idx="7">
                  <c:v>8</c:v>
                </c:pt>
                <c:pt idx="8">
                  <c:v>9</c:v>
                </c:pt>
                <c:pt idx="9">
                  <c:v>10</c:v>
                </c:pt>
                <c:pt idx="10">
                  <c:v>11</c:v>
                </c:pt>
                <c:pt idx="11">
                  <c:v>12</c:v>
                </c:pt>
                <c:pt idx="12">
                  <c:v>13</c:v>
                </c:pt>
              </c:numCache>
            </c:numRef>
          </c:xVal>
          <c:yVal>
            <c:numRef>
              <c:f>Sheet1!$AM$7:$AM$19</c:f>
              <c:numCache>
                <c:formatCode>General</c:formatCode>
                <c:ptCount val="13"/>
                <c:pt idx="0">
                  <c:v>0</c:v>
                </c:pt>
                <c:pt idx="1">
                  <c:v>23.21</c:v>
                </c:pt>
                <c:pt idx="2">
                  <c:v>226.09</c:v>
                </c:pt>
                <c:pt idx="3">
                  <c:v>48.81</c:v>
                </c:pt>
                <c:pt idx="4">
                  <c:v>7.98</c:v>
                </c:pt>
                <c:pt idx="5">
                  <c:v>7.02</c:v>
                </c:pt>
                <c:pt idx="6">
                  <c:v>6.06</c:v>
                </c:pt>
                <c:pt idx="7">
                  <c:v>5.1</c:v>
                </c:pt>
                <c:pt idx="8">
                  <c:v>4.13</c:v>
                </c:pt>
                <c:pt idx="9">
                  <c:v>3.17</c:v>
                </c:pt>
                <c:pt idx="10">
                  <c:v>2.21</c:v>
                </c:pt>
                <c:pt idx="11">
                  <c:v>1.25</c:v>
                </c:pt>
                <c:pt idx="12">
                  <c:v>0.28</c:v>
                </c:pt>
              </c:numCache>
            </c:numRef>
          </c:yVal>
          <c:smooth val="0"/>
        </c:ser>
        <c:dLbls>
          <c:showLegendKey val="0"/>
          <c:showVal val="0"/>
          <c:showCatName val="0"/>
          <c:showSerName val="0"/>
          <c:showPercent val="0"/>
          <c:showBubbleSize val="0"/>
        </c:dLbls>
        <c:axId val="1297995728"/>
        <c:axId val="1297994064"/>
      </c:scatterChart>
      <c:valAx>
        <c:axId val="1297995728"/>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297994064"/>
        <c:crosses val="autoZero"/>
        <c:crossBetween val="midCat"/>
      </c:valAx>
      <c:valAx>
        <c:axId val="129799406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297995728"/>
        <c:crosses val="autoZero"/>
        <c:crossBetween val="midCat"/>
      </c:valAx>
      <c:spPr>
        <a:noFill/>
        <a:ln>
          <a:noFill/>
        </a:ln>
        <a:effectLst/>
      </c:spPr>
    </c:plotArea>
    <c:plotVisOnly val="1"/>
    <c:dispBlanksAs val="gap"/>
    <c:showDLblsOverMax val="0"/>
    <c:extLst>
      <c:ext uri="{0b15fc19-7d7d-44ad-8c2d-2c3a37ce22c3}">
        <chartProps xmlns="https://web.wps.cn/et/2018/main" chartId="{9543c4ca-a685-4418-b5e5-a3c546d351f2}"/>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scatterChart>
        <c:scatterStyle val="lineMarker"/>
        <c:varyColors val="0"/>
        <c:ser>
          <c:idx val="0"/>
          <c:order val="0"/>
          <c:spPr>
            <a:ln w="19050" cap="rnd">
              <a:solidFill>
                <a:srgbClr val="4F81BD"/>
              </a:solidFill>
              <a:round/>
            </a:ln>
            <a:effectLst/>
          </c:spPr>
          <c:marker>
            <c:symbol val="circle"/>
            <c:size val="5"/>
            <c:spPr>
              <a:solidFill>
                <a:srgbClr val="4F81BD"/>
              </a:solidFill>
              <a:ln w="9525">
                <a:solidFill>
                  <a:srgbClr val="4F81BD"/>
                </a:solidFill>
              </a:ln>
              <a:effectLst/>
            </c:spPr>
          </c:marker>
          <c:dLbls>
            <c:delete val="1"/>
          </c:dLbls>
          <c:xVal>
            <c:numRef>
              <c:f>Sheet1!$T$40:$T$63</c:f>
              <c:numCache>
                <c:formatCode>General</c:formatCode>
                <c:ptCount val="24"/>
                <c:pt idx="0">
                  <c:v>271.3</c:v>
                </c:pt>
                <c:pt idx="1">
                  <c:v>271.8</c:v>
                </c:pt>
                <c:pt idx="2">
                  <c:v>272.3</c:v>
                </c:pt>
                <c:pt idx="3">
                  <c:v>272.8</c:v>
                </c:pt>
                <c:pt idx="4">
                  <c:v>273.3</c:v>
                </c:pt>
                <c:pt idx="5">
                  <c:v>273.8</c:v>
                </c:pt>
                <c:pt idx="6">
                  <c:v>274.3</c:v>
                </c:pt>
                <c:pt idx="7">
                  <c:v>274.8</c:v>
                </c:pt>
                <c:pt idx="8">
                  <c:v>275.3</c:v>
                </c:pt>
                <c:pt idx="9">
                  <c:v>275.8</c:v>
                </c:pt>
                <c:pt idx="10">
                  <c:v>276.3</c:v>
                </c:pt>
                <c:pt idx="11">
                  <c:v>276.8</c:v>
                </c:pt>
                <c:pt idx="12">
                  <c:v>277.3</c:v>
                </c:pt>
                <c:pt idx="13">
                  <c:v>277.8</c:v>
                </c:pt>
                <c:pt idx="14">
                  <c:v>278.3</c:v>
                </c:pt>
                <c:pt idx="15">
                  <c:v>278.8</c:v>
                </c:pt>
                <c:pt idx="16">
                  <c:v>279.3</c:v>
                </c:pt>
                <c:pt idx="17">
                  <c:v>279.8</c:v>
                </c:pt>
                <c:pt idx="18">
                  <c:v>280.3</c:v>
                </c:pt>
                <c:pt idx="19">
                  <c:v>280.8</c:v>
                </c:pt>
                <c:pt idx="20">
                  <c:v>281.3</c:v>
                </c:pt>
                <c:pt idx="21">
                  <c:v>281.8</c:v>
                </c:pt>
                <c:pt idx="22">
                  <c:v>282.3</c:v>
                </c:pt>
                <c:pt idx="23">
                  <c:v>282.8</c:v>
                </c:pt>
              </c:numCache>
            </c:numRef>
          </c:xVal>
          <c:yVal>
            <c:numRef>
              <c:f>Sheet1!$V$40:$V$63</c:f>
              <c:numCache>
                <c:formatCode>General</c:formatCode>
                <c:ptCount val="24"/>
                <c:pt idx="0">
                  <c:v>0</c:v>
                </c:pt>
                <c:pt idx="1">
                  <c:v>6.71</c:v>
                </c:pt>
                <c:pt idx="2">
                  <c:v>15.57</c:v>
                </c:pt>
                <c:pt idx="3">
                  <c:v>19.1</c:v>
                </c:pt>
                <c:pt idx="4">
                  <c:v>20.52</c:v>
                </c:pt>
                <c:pt idx="5">
                  <c:v>20.64</c:v>
                </c:pt>
                <c:pt idx="6">
                  <c:v>20.76</c:v>
                </c:pt>
                <c:pt idx="7">
                  <c:v>20.88</c:v>
                </c:pt>
                <c:pt idx="8">
                  <c:v>21</c:v>
                </c:pt>
                <c:pt idx="9">
                  <c:v>21.11</c:v>
                </c:pt>
                <c:pt idx="10">
                  <c:v>21.23</c:v>
                </c:pt>
                <c:pt idx="11">
                  <c:v>21.34</c:v>
                </c:pt>
                <c:pt idx="12">
                  <c:v>21.46</c:v>
                </c:pt>
                <c:pt idx="13">
                  <c:v>21.57</c:v>
                </c:pt>
                <c:pt idx="14">
                  <c:v>21.68</c:v>
                </c:pt>
                <c:pt idx="15">
                  <c:v>21.8</c:v>
                </c:pt>
                <c:pt idx="16">
                  <c:v>21.93</c:v>
                </c:pt>
                <c:pt idx="17">
                  <c:v>22.05</c:v>
                </c:pt>
                <c:pt idx="18">
                  <c:v>22.16</c:v>
                </c:pt>
                <c:pt idx="19">
                  <c:v>22.28</c:v>
                </c:pt>
                <c:pt idx="20">
                  <c:v>22.4</c:v>
                </c:pt>
                <c:pt idx="21">
                  <c:v>22.53</c:v>
                </c:pt>
                <c:pt idx="22">
                  <c:v>22.64</c:v>
                </c:pt>
                <c:pt idx="23">
                  <c:v>22.79</c:v>
                </c:pt>
              </c:numCache>
            </c:numRef>
          </c:yVal>
          <c:smooth val="0"/>
        </c:ser>
        <c:dLbls>
          <c:showLegendKey val="0"/>
          <c:showVal val="0"/>
          <c:showCatName val="0"/>
          <c:showSerName val="0"/>
          <c:showPercent val="0"/>
          <c:showBubbleSize val="0"/>
        </c:dLbls>
        <c:axId val="971859071"/>
        <c:axId val="971854079"/>
      </c:scatterChart>
      <c:valAx>
        <c:axId val="971859071"/>
        <c:scaling>
          <c:orientation val="minMax"/>
        </c:scaling>
        <c:delete val="0"/>
        <c:axPos val="b"/>
        <c:majorGridlines>
          <c:spPr>
            <a:ln w="9525" cap="flat" cmpd="sng" algn="ctr">
              <a:solidFill>
                <a:sysClr val="windowText" lastClr="000000">
                  <a:lumMod val="15000"/>
                  <a:lumOff val="85000"/>
                </a:sysClr>
              </a:solidFill>
              <a:round/>
            </a:ln>
            <a:effectLst/>
          </c:spPr>
        </c:majorGridlines>
        <c:numFmt formatCode="General" sourceLinked="1"/>
        <c:majorTickMark val="none"/>
        <c:minorTickMark val="none"/>
        <c:tickLblPos val="nextTo"/>
        <c:spPr>
          <a:noFill/>
          <a:ln w="9525" cap="flat" cmpd="sng" algn="ctr">
            <a:solidFill>
              <a:sysClr val="windowText" lastClr="000000">
                <a:lumMod val="25000"/>
                <a:lumOff val="75000"/>
              </a:sysClr>
            </a:solidFill>
            <a:round/>
          </a:ln>
          <a:effectLst/>
        </c:spPr>
        <c:txPr>
          <a:bodyPr rot="-60000000" spcFirstLastPara="1" vertOverflow="ellipsis" vert="horz" wrap="square" anchor="ctr" anchorCtr="1"/>
          <a:lstStyle/>
          <a:p>
            <a:pPr>
              <a:defRPr lang="zh-CN" sz="900" b="0" i="0" u="none" strike="noStrike" kern="1200" baseline="0">
                <a:solidFill>
                  <a:sysClr val="windowText" lastClr="000000">
                    <a:lumMod val="65000"/>
                    <a:lumOff val="35000"/>
                  </a:sysClr>
                </a:solidFill>
                <a:latin typeface="+mn-lt"/>
                <a:ea typeface="+mn-ea"/>
                <a:cs typeface="+mn-cs"/>
              </a:defRPr>
            </a:pPr>
          </a:p>
        </c:txPr>
        <c:crossAx val="971854079"/>
        <c:crosses val="autoZero"/>
        <c:crossBetween val="midCat"/>
      </c:valAx>
      <c:valAx>
        <c:axId val="971854079"/>
        <c:scaling>
          <c:orientation val="minMax"/>
        </c:scaling>
        <c:delete val="0"/>
        <c:axPos val="l"/>
        <c:majorGridlines>
          <c:spPr>
            <a:ln w="9525" cap="flat" cmpd="sng" algn="ctr">
              <a:solidFill>
                <a:sysClr val="windowText" lastClr="000000">
                  <a:lumMod val="15000"/>
                  <a:lumOff val="85000"/>
                </a:sysClr>
              </a:solidFill>
              <a:round/>
            </a:ln>
            <a:effectLst/>
          </c:spPr>
        </c:majorGridlines>
        <c:numFmt formatCode="General" sourceLinked="1"/>
        <c:majorTickMark val="none"/>
        <c:minorTickMark val="none"/>
        <c:tickLblPos val="nextTo"/>
        <c:spPr>
          <a:noFill/>
          <a:ln w="9525" cap="flat" cmpd="sng" algn="ctr">
            <a:solidFill>
              <a:sysClr val="windowText" lastClr="000000">
                <a:lumMod val="25000"/>
                <a:lumOff val="75000"/>
              </a:sysClr>
            </a:solidFill>
            <a:round/>
          </a:ln>
          <a:effectLst/>
        </c:spPr>
        <c:txPr>
          <a:bodyPr rot="-60000000" spcFirstLastPara="1" vertOverflow="ellipsis" vert="horz" wrap="square" anchor="ctr" anchorCtr="1"/>
          <a:lstStyle/>
          <a:p>
            <a:pPr>
              <a:defRPr lang="zh-CN" sz="900" b="0" i="0" u="none" strike="noStrike" kern="1200" baseline="0">
                <a:solidFill>
                  <a:sysClr val="windowText" lastClr="000000">
                    <a:lumMod val="65000"/>
                    <a:lumOff val="35000"/>
                  </a:sysClr>
                </a:solidFill>
                <a:latin typeface="+mn-lt"/>
                <a:ea typeface="+mn-ea"/>
                <a:cs typeface="+mn-cs"/>
              </a:defRPr>
            </a:pPr>
          </a:p>
        </c:txPr>
        <c:crossAx val="971859071"/>
        <c:crosses val="autoZero"/>
        <c:crossBetween val="midCat"/>
      </c:valAx>
      <c:spPr>
        <a:noFill/>
        <a:ln>
          <a:noFill/>
        </a:ln>
        <a:effectLst/>
      </c:spPr>
    </c:plotArea>
    <c:plotVisOnly val="1"/>
    <c:dispBlanksAs val="gap"/>
    <c:showDLblsOverMax val="0"/>
    <c:extLst>
      <c:ext uri="{0b15fc19-7d7d-44ad-8c2d-2c3a37ce22c3}">
        <chartProps xmlns="https://web.wps.cn/et/2018/main" chartId="{1611032a-414a-45ce-bf01-1631820ec893}"/>
      </c:ext>
    </c:extLst>
  </c:chart>
  <c:spPr>
    <a:solidFill>
      <a:sysClr val="window" lastClr="FFFFFF"/>
    </a:solidFill>
    <a:ln w="9525" cap="flat" cmpd="sng" algn="ctr">
      <a:solidFill>
        <a:sysClr val="windowText" lastClr="000000">
          <a:lumMod val="15000"/>
          <a:lumOff val="85000"/>
        </a:sys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ysClr val="windowText" lastClr="000000">
        <a:lumMod val="65000"/>
        <a:lumOff val="35000"/>
      </a:sysClr>
    </cs:fontRef>
    <cs:defRPr sz="1000" kern="1200"/>
  </cs:axisTitle>
  <cs:categoryAxis>
    <cs:lnRef idx="0"/>
    <cs:fillRef idx="0"/>
    <cs:effectRef idx="0"/>
    <cs:fontRef idx="minor">
      <a:sysClr val="windowText" lastClr="000000">
        <a:lumMod val="65000"/>
        <a:lumOff val="35000"/>
      </a:sysClr>
    </cs:fontRef>
    <cs:spPr>
      <a:ln w="9525" cap="flat" cmpd="sng" algn="ctr">
        <a:solidFill>
          <a:sysClr val="windowText" lastClr="000000">
            <a:lumMod val="25000"/>
            <a:lumOff val="75000"/>
          </a:sysClr>
        </a:solidFill>
        <a:round/>
      </a:ln>
    </cs:spPr>
    <cs:defRPr sz="900" kern="1200"/>
  </cs:categoryAxis>
  <cs:chartArea mods="allowNoFillOverride allowNoLineOverride">
    <cs:lnRef idx="0"/>
    <cs:fillRef idx="0"/>
    <cs:effectRef idx="0"/>
    <cs:fontRef idx="minor">
      <a:sysClr val="windowText" lastClr="000000"/>
    </cs:fontRef>
    <cs:spPr>
      <a:solidFill>
        <a:sysClr val="window" lastClr="FFFFFF"/>
      </a:solidFill>
      <a:ln w="9525" cap="flat" cmpd="sng" algn="ctr">
        <a:solidFill>
          <a:sysClr val="windowText" lastClr="000000">
            <a:lumMod val="15000"/>
            <a:lumOff val="85000"/>
          </a:sysClr>
        </a:solidFill>
        <a:round/>
      </a:ln>
    </cs:spPr>
    <cs:defRPr sz="1000" kern="1200"/>
  </cs:chartArea>
  <cs:dataLabel>
    <cs:lnRef idx="0"/>
    <cs:fillRef idx="0"/>
    <cs:effectRef idx="0"/>
    <cs:fontRef idx="minor">
      <a:sysClr val="windowText" lastClr="000000">
        <a:lumMod val="75000"/>
        <a:lumOff val="25000"/>
      </a:sysClr>
    </cs:fontRef>
    <cs:defRPr sz="900" kern="1200"/>
  </cs:dataLabel>
  <cs:dataLabelCallout>
    <cs:lnRef idx="0"/>
    <cs:fillRef idx="0"/>
    <cs:effectRef idx="0"/>
    <cs:fontRef idx="minor">
      <a:sysClr val="windowText" lastClr="000000">
        <a:lumMod val="65000"/>
        <a:lumOff val="35000"/>
      </a:sysClr>
    </cs:fontRef>
    <cs:spPr>
      <a:solidFill>
        <a:sysClr val="window" lastClr="FFFFFF"/>
      </a:solidFill>
      <a:ln>
        <a:solidFill>
          <a:sysClr val="windowText" lastClr="000000">
            <a:lumMod val="25000"/>
            <a:lumOff val="75000"/>
          </a:sys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ysClr val="windowText" lastClr="000000"/>
    </cs:fontRef>
  </cs:dataPoint>
  <cs:dataPoint3D>
    <cs:lnRef idx="0"/>
    <cs:fillRef idx="1">
      <cs:styleClr val="auto"/>
    </cs:fillRef>
    <cs:effectRef idx="0"/>
    <cs:fontRef idx="minor">
      <a:sysClr val="windowText" lastClr="000000"/>
    </cs:fontRef>
  </cs:dataPoint3D>
  <cs:dataPointLine>
    <cs:lnRef idx="0">
      <cs:styleClr val="auto"/>
    </cs:lnRef>
    <cs:fillRef idx="1"/>
    <cs:effectRef idx="0"/>
    <cs:fontRef idx="minor">
      <a:sysClr val="windowText" lastClr="000000"/>
    </cs:fontRef>
    <cs:spPr>
      <a:ln w="19050" cap="rnd">
        <a:solidFill>
          <a:schemeClr val="phClr"/>
        </a:solidFill>
        <a:round/>
      </a:ln>
    </cs:spPr>
  </cs:dataPointLine>
  <cs:dataPointMarker>
    <cs:lnRef idx="0">
      <cs:styleClr val="auto"/>
    </cs:lnRef>
    <cs:fillRef idx="1">
      <cs:styleClr val="auto"/>
    </cs:fillRef>
    <cs:effectRef idx="0"/>
    <cs:fontRef idx="minor">
      <a:sysClr val="windowText" lastClr="000000"/>
    </cs:fontRef>
    <cs:spPr>
      <a:ln w="9525">
        <a:solidFill>
          <a:schemeClr val="phClr"/>
        </a:solidFill>
      </a:ln>
    </cs:spPr>
  </cs:dataPointMarker>
  <cs:dataPointMarkerLayout symbol="circle" size="5"/>
  <cs:dataPointWireframe>
    <cs:lnRef idx="0">
      <cs:styleClr val="auto"/>
    </cs:lnRef>
    <cs:fillRef idx="0"/>
    <cs:effectRef idx="0"/>
    <cs:fontRef idx="minor">
      <a:sysClr val="windowText" lastClr="000000"/>
    </cs:fontRef>
    <cs:spPr>
      <a:ln w="9525" cap="rnd">
        <a:solidFill>
          <a:schemeClr val="phClr"/>
        </a:solidFill>
        <a:round/>
      </a:ln>
    </cs:spPr>
  </cs:dataPointWireframe>
  <cs:dataTable>
    <cs:lnRef idx="0"/>
    <cs:fillRef idx="0"/>
    <cs:effectRef idx="0"/>
    <cs:fontRef idx="minor">
      <a:sysClr val="windowText" lastClr="000000">
        <a:lumMod val="65000"/>
        <a:lumOff val="35000"/>
      </a:sysClr>
    </cs:fontRef>
    <cs:spPr>
      <a:noFill/>
      <a:ln w="9525" cap="flat" cmpd="sng" algn="ctr">
        <a:solidFill>
          <a:sysClr val="windowText" lastClr="000000">
            <a:lumMod val="15000"/>
            <a:lumOff val="85000"/>
          </a:sysClr>
        </a:solidFill>
        <a:round/>
      </a:ln>
    </cs:spPr>
    <cs:defRPr sz="900" kern="1200"/>
  </cs:dataTable>
  <cs:downBar>
    <cs:lnRef idx="0"/>
    <cs:fillRef idx="0"/>
    <cs:effectRef idx="0"/>
    <cs:fontRef idx="minor">
      <a:sysClr val="windowText" lastClr="000000"/>
    </cs:fontRef>
    <cs:spPr>
      <a:solidFill>
        <a:sysClr val="windowText" lastClr="000000">
          <a:lumMod val="75000"/>
          <a:lumOff val="25000"/>
        </a:sysClr>
      </a:solidFill>
      <a:ln w="9525" cap="flat" cmpd="sng" algn="ctr">
        <a:solidFill>
          <a:sysClr val="windowText" lastClr="000000">
            <a:lumMod val="65000"/>
            <a:lumOff val="35000"/>
          </a:sysClr>
        </a:solidFill>
        <a:round/>
      </a:ln>
    </cs:spPr>
  </cs:downBar>
  <cs:dropLine>
    <cs:lnRef idx="0"/>
    <cs:fillRef idx="0"/>
    <cs:effectRef idx="0"/>
    <cs:fontRef idx="minor">
      <a:sysClr val="windowText" lastClr="000000"/>
    </cs:fontRef>
    <cs:spPr>
      <a:ln w="9525" cap="flat" cmpd="sng" algn="ctr">
        <a:solidFill>
          <a:sysClr val="windowText" lastClr="000000">
            <a:lumMod val="35000"/>
            <a:lumOff val="65000"/>
          </a:sysClr>
        </a:solidFill>
        <a:round/>
      </a:ln>
    </cs:spPr>
  </cs:dropLine>
  <cs:errorBar>
    <cs:lnRef idx="0"/>
    <cs:fillRef idx="0"/>
    <cs:effectRef idx="0"/>
    <cs:fontRef idx="minor">
      <a:sysClr val="windowText" lastClr="000000"/>
    </cs:fontRef>
    <cs:spPr>
      <a:ln w="9525" cap="flat" cmpd="sng" algn="ctr">
        <a:solidFill>
          <a:sysClr val="windowText" lastClr="000000">
            <a:lumMod val="65000"/>
            <a:lumOff val="35000"/>
          </a:sysClr>
        </a:solidFill>
        <a:round/>
      </a:ln>
    </cs:spPr>
  </cs:errorBar>
  <cs:floor>
    <cs:lnRef idx="0"/>
    <cs:fillRef idx="0"/>
    <cs:effectRef idx="0"/>
    <cs:fontRef idx="minor">
      <a:sysClr val="windowText" lastClr="000000"/>
    </cs:fontRef>
    <cs:spPr>
      <a:noFill/>
      <a:ln>
        <a:noFill/>
      </a:ln>
    </cs:spPr>
  </cs:floor>
  <cs:gridlineMajor>
    <cs:lnRef idx="0"/>
    <cs:fillRef idx="0"/>
    <cs:effectRef idx="0"/>
    <cs:fontRef idx="minor">
      <a:sysClr val="windowText" lastClr="000000"/>
    </cs:fontRef>
    <cs:spPr>
      <a:ln w="9525" cap="flat" cmpd="sng" algn="ctr">
        <a:solidFill>
          <a:sysClr val="windowText" lastClr="000000">
            <a:lumMod val="15000"/>
            <a:lumOff val="85000"/>
          </a:sysClr>
        </a:solidFill>
        <a:round/>
      </a:ln>
    </cs:spPr>
  </cs:gridlineMajor>
  <cs:gridlineMinor>
    <cs:lnRef idx="0"/>
    <cs:fillRef idx="0"/>
    <cs:effectRef idx="0"/>
    <cs:fontRef idx="minor">
      <a:sysClr val="windowText" lastClr="000000"/>
    </cs:fontRef>
    <cs:spPr>
      <a:ln w="9525" cap="flat" cmpd="sng" algn="ctr">
        <a:solidFill>
          <a:sysClr val="windowText" lastClr="000000">
            <a:lumMod val="5000"/>
            <a:lumOff val="95000"/>
          </a:sysClr>
        </a:solidFill>
        <a:round/>
      </a:ln>
    </cs:spPr>
  </cs:gridlineMinor>
  <cs:hiLoLine>
    <cs:lnRef idx="0"/>
    <cs:fillRef idx="0"/>
    <cs:effectRef idx="0"/>
    <cs:fontRef idx="minor">
      <a:sysClr val="windowText" lastClr="000000"/>
    </cs:fontRef>
    <cs:spPr>
      <a:ln w="9525" cap="flat" cmpd="sng" algn="ctr">
        <a:solidFill>
          <a:sysClr val="windowText" lastClr="000000">
            <a:lumMod val="50000"/>
            <a:lumOff val="50000"/>
          </a:sysClr>
        </a:solidFill>
        <a:round/>
      </a:ln>
    </cs:spPr>
  </cs:hiLoLine>
  <cs:leaderLine>
    <cs:lnRef idx="0"/>
    <cs:fillRef idx="0"/>
    <cs:effectRef idx="0"/>
    <cs:fontRef idx="minor">
      <a:sysClr val="windowText" lastClr="000000"/>
    </cs:fontRef>
    <cs:spPr>
      <a:ln w="9525" cap="flat" cmpd="sng" algn="ctr">
        <a:solidFill>
          <a:sysClr val="windowText" lastClr="000000">
            <a:lumMod val="35000"/>
            <a:lumOff val="65000"/>
          </a:sysClr>
        </a:solidFill>
        <a:round/>
      </a:ln>
    </cs:spPr>
  </cs:leaderLine>
  <cs:legend>
    <cs:lnRef idx="0"/>
    <cs:fillRef idx="0"/>
    <cs:effectRef idx="0"/>
    <cs:fontRef idx="minor">
      <a:sysClr val="windowText" lastClr="000000">
        <a:lumMod val="65000"/>
        <a:lumOff val="35000"/>
      </a:sysClr>
    </cs:fontRef>
    <cs:defRPr sz="900" kern="1200"/>
  </cs:legend>
  <cs:plotArea mods="allowNoFillOverride allowNoLineOverride">
    <cs:lnRef idx="0"/>
    <cs:fillRef idx="0"/>
    <cs:effectRef idx="0"/>
    <cs:fontRef idx="minor">
      <a:sysClr val="windowText" lastClr="000000"/>
    </cs:fontRef>
  </cs:plotArea>
  <cs:plotArea3D mods="allowNoFillOverride allowNoLineOverride">
    <cs:lnRef idx="0"/>
    <cs:fillRef idx="0"/>
    <cs:effectRef idx="0"/>
    <cs:fontRef idx="minor">
      <a:sysClr val="windowText" lastClr="000000"/>
    </cs:fontRef>
  </cs:plotArea3D>
  <cs:seriesAxis>
    <cs:lnRef idx="0"/>
    <cs:fillRef idx="0"/>
    <cs:effectRef idx="0"/>
    <cs:fontRef idx="minor">
      <a:sysClr val="windowText" lastClr="000000">
        <a:lumMod val="65000"/>
        <a:lumOff val="35000"/>
      </a:sysClr>
    </cs:fontRef>
    <cs:defRPr sz="900" kern="1200"/>
  </cs:seriesAxis>
  <cs:seriesLine>
    <cs:lnRef idx="0"/>
    <cs:fillRef idx="0"/>
    <cs:effectRef idx="0"/>
    <cs:fontRef idx="minor">
      <a:sysClr val="windowText" lastClr="000000"/>
    </cs:fontRef>
    <cs:spPr>
      <a:ln w="9525" cap="flat" cmpd="sng" algn="ctr">
        <a:solidFill>
          <a:sysClr val="windowText" lastClr="000000">
            <a:lumMod val="35000"/>
            <a:lumOff val="65000"/>
          </a:sysClr>
        </a:solidFill>
        <a:round/>
      </a:ln>
    </cs:spPr>
  </cs:seriesLine>
  <cs:title>
    <cs:lnRef idx="0"/>
    <cs:fillRef idx="0"/>
    <cs:effectRef idx="0"/>
    <cs:fontRef idx="minor">
      <a:sysClr val="windowText" lastClr="000000">
        <a:lumMod val="65000"/>
        <a:lumOff val="35000"/>
      </a:sysClr>
    </cs:fontRef>
    <cs:defRPr sz="1400" b="0" kern="1200" spc="0" baseline="0"/>
  </cs:title>
  <cs:trendline>
    <cs:lnRef idx="0">
      <cs:styleClr val="auto"/>
    </cs:lnRef>
    <cs:fillRef idx="0"/>
    <cs:effectRef idx="0"/>
    <cs:fontRef idx="minor">
      <a:sysClr val="windowText" lastClr="000000"/>
    </cs:fontRef>
    <cs:spPr>
      <a:ln w="19050" cap="rnd">
        <a:solidFill>
          <a:schemeClr val="phClr"/>
        </a:solidFill>
        <a:prstDash val="sysDot"/>
      </a:ln>
    </cs:spPr>
  </cs:trendline>
  <cs:trendlineLabel>
    <cs:lnRef idx="0"/>
    <cs:fillRef idx="0"/>
    <cs:effectRef idx="0"/>
    <cs:fontRef idx="minor">
      <a:sysClr val="windowText" lastClr="000000">
        <a:lumMod val="65000"/>
        <a:lumOff val="35000"/>
      </a:sysClr>
    </cs:fontRef>
    <cs:defRPr sz="900" kern="1200"/>
  </cs:trendlineLabel>
  <cs:upBar>
    <cs:lnRef idx="0"/>
    <cs:fillRef idx="0"/>
    <cs:effectRef idx="0"/>
    <cs:fontRef idx="minor">
      <a:sysClr val="windowText" lastClr="000000"/>
    </cs:fontRef>
    <cs:spPr>
      <a:solidFill>
        <a:sysClr val="window" lastClr="FFFFFF"/>
      </a:solidFill>
      <a:ln w="9525" cap="flat" cmpd="sng" algn="ctr">
        <a:solidFill>
          <a:sysClr val="windowText" lastClr="000000">
            <a:lumMod val="65000"/>
            <a:lumOff val="35000"/>
          </a:sysClr>
        </a:solidFill>
        <a:round/>
      </a:ln>
    </cs:spPr>
  </cs:upBar>
  <cs:valueAxis>
    <cs:lnRef idx="0"/>
    <cs:fillRef idx="0"/>
    <cs:effectRef idx="0"/>
    <cs:fontRef idx="minor">
      <a:sysClr val="windowText" lastClr="000000">
        <a:lumMod val="65000"/>
        <a:lumOff val="35000"/>
      </a:sysClr>
    </cs:fontRef>
    <cs:spPr>
      <a:ln w="9525" cap="flat" cmpd="sng" algn="ctr">
        <a:solidFill>
          <a:sysClr val="windowText" lastClr="000000">
            <a:lumMod val="25000"/>
            <a:lumOff val="75000"/>
          </a:sysClr>
        </a:solidFill>
        <a:round/>
      </a:ln>
    </cs:spPr>
    <cs:defRPr sz="900" kern="1200"/>
  </cs:valueAxis>
  <cs:wall>
    <cs:lnRef idx="0"/>
    <cs:fillRef idx="0"/>
    <cs:effectRef idx="0"/>
    <cs:fontRef idx="minor">
      <a:sysClr val="windowText" lastClr="000000"/>
    </cs:fontRef>
    <cs:spPr>
      <a:noFill/>
      <a:ln>
        <a:noFill/>
      </a:ln>
    </cs:spPr>
  </cs:wall>
</cs:chartStyle>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137</Pages>
  <Words>11489</Words>
  <Characters>13363</Characters>
  <Lines>0</Lines>
  <Paragraphs>0</Paragraphs>
  <TotalTime>2</TotalTime>
  <ScaleCrop>false</ScaleCrop>
  <LinksUpToDate>false</LinksUpToDate>
  <CharactersWithSpaces>14281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2023-03-13T03:26:00Z</dcterms:created>
  <dc:creator>Administrator</dc:creator>
  <cp:lastModifiedBy>爱哭的男孩</cp:lastModifiedBy>
  <dcterms:modified xsi:type="dcterms:W3CDTF">2025-05-19T01:51:04Z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B1C61FD6A7CB416B823A93B2F1477084</vt:lpwstr>
  </property>
  <property fmtid="{D5CDD505-2E9C-101B-9397-08002B2CF9AE}" pid="4" name="KSOTemplateDocerSaveRecord">
    <vt:lpwstr>eyJoZGlkIjoiZDI0Njk3ZWQ2ZmQyYmJiOTI3YmFiOTc3MjlkMjYxZmEiLCJ1c2VySWQiOiI0MDI5OTA3NDkifQ==</vt:lpwstr>
  </property>
</Properties>
</file>