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E5B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362B2D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74EB56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7C6BCE8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52"/>
          <w:szCs w:val="52"/>
        </w:rPr>
      </w:pPr>
      <w:r>
        <w:rPr>
          <w:rFonts w:hint="eastAsia"/>
          <w:b/>
          <w:color w:val="auto"/>
          <w:sz w:val="52"/>
          <w:szCs w:val="52"/>
        </w:rPr>
        <w:t>江西省宜丰万国矿业有限公司</w:t>
      </w:r>
    </w:p>
    <w:p w14:paraId="2387D4B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color w:val="auto"/>
          <w:sz w:val="52"/>
          <w:szCs w:val="52"/>
        </w:rPr>
      </w:pPr>
      <w:r>
        <w:rPr>
          <w:rFonts w:hint="eastAsia"/>
          <w:b/>
          <w:color w:val="auto"/>
          <w:sz w:val="52"/>
          <w:szCs w:val="52"/>
        </w:rPr>
        <w:t>宜丰新庄铜铅锌矿尾矿库</w:t>
      </w:r>
    </w:p>
    <w:p w14:paraId="652EA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r>
        <w:rPr>
          <w:rFonts w:hint="eastAsia" w:eastAsia="黑体"/>
          <w:b/>
          <w:color w:val="auto"/>
          <w:sz w:val="52"/>
          <w:szCs w:val="52"/>
        </w:rPr>
        <w:t>安全现状评价报告</w:t>
      </w:r>
    </w:p>
    <w:p w14:paraId="579F55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2761FE6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013AE29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5178D5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2A0EF8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p>
    <w:p w14:paraId="41D7CDE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b/>
          <w:bCs/>
          <w:color w:val="auto"/>
          <w:sz w:val="44"/>
        </w:rPr>
      </w:pPr>
    </w:p>
    <w:p w14:paraId="539E547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b/>
          <w:bCs/>
          <w:color w:val="auto"/>
          <w:sz w:val="44"/>
        </w:rPr>
      </w:pPr>
    </w:p>
    <w:p w14:paraId="0F2AADD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 w:val="44"/>
        </w:rPr>
      </w:pPr>
      <w:r>
        <w:rPr>
          <w:b/>
          <w:bCs/>
          <w:color w:val="auto"/>
          <w:sz w:val="44"/>
        </w:rPr>
        <w:t>江西赣安安全生产科学技术咨询服务中心</w:t>
      </w:r>
    </w:p>
    <w:p w14:paraId="0DEE1DA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b/>
          <w:bCs/>
          <w:color w:val="auto"/>
          <w:sz w:val="32"/>
        </w:rPr>
        <w:t>APJ</w:t>
      </w:r>
      <w:r>
        <w:rPr>
          <w:rFonts w:hint="eastAsia"/>
          <w:b/>
          <w:bCs/>
          <w:color w:val="auto"/>
          <w:sz w:val="32"/>
        </w:rPr>
        <w:t>-（赣）-002</w:t>
      </w:r>
    </w:p>
    <w:p w14:paraId="0A5A6D9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hAnsi="宋体"/>
          <w:b/>
          <w:bCs/>
          <w:color w:val="auto"/>
          <w:sz w:val="32"/>
        </w:rPr>
        <w:t>202</w:t>
      </w:r>
      <w:r>
        <w:rPr>
          <w:rFonts w:hint="eastAsia" w:hAnsi="宋体"/>
          <w:b/>
          <w:bCs/>
          <w:color w:val="auto"/>
          <w:sz w:val="32"/>
          <w:lang w:val="en-US" w:eastAsia="zh-CN"/>
        </w:rPr>
        <w:t>5</w:t>
      </w:r>
      <w:r>
        <w:rPr>
          <w:rFonts w:hAnsi="宋体"/>
          <w:b/>
          <w:bCs/>
          <w:color w:val="auto"/>
          <w:sz w:val="32"/>
        </w:rPr>
        <w:t>年</w:t>
      </w:r>
      <w:r>
        <w:rPr>
          <w:rFonts w:hint="eastAsia" w:hAnsi="宋体"/>
          <w:b/>
          <w:bCs/>
          <w:color w:val="auto"/>
          <w:sz w:val="32"/>
          <w:lang w:val="en-US" w:eastAsia="zh-CN"/>
        </w:rPr>
        <w:t>6</w:t>
      </w:r>
      <w:r>
        <w:rPr>
          <w:rFonts w:hAnsi="宋体"/>
          <w:b/>
          <w:bCs/>
          <w:color w:val="auto"/>
          <w:sz w:val="32"/>
        </w:rPr>
        <w:t>月</w:t>
      </w:r>
      <w:r>
        <w:rPr>
          <w:rFonts w:hint="eastAsia" w:hAnsi="宋体"/>
          <w:b/>
          <w:bCs/>
          <w:color w:val="auto"/>
          <w:sz w:val="32"/>
          <w:lang w:val="en-US" w:eastAsia="zh-CN"/>
        </w:rPr>
        <w:t>10</w:t>
      </w:r>
      <w:r>
        <w:rPr>
          <w:rFonts w:hint="eastAsia" w:hAnsi="宋体"/>
          <w:b/>
          <w:bCs/>
          <w:color w:val="auto"/>
          <w:sz w:val="32"/>
        </w:rPr>
        <w:t>日</w:t>
      </w:r>
    </w:p>
    <w:p w14:paraId="30952803">
      <w:pPr>
        <w:spacing w:line="600" w:lineRule="exact"/>
        <w:jc w:val="center"/>
        <w:rPr>
          <w:b/>
          <w:color w:val="auto"/>
          <w:sz w:val="32"/>
          <w:szCs w:val="32"/>
        </w:rPr>
        <w:sectPr>
          <w:pgSz w:w="11906" w:h="16839"/>
          <w:pgMar w:top="1417" w:right="1417" w:bottom="1417" w:left="1417" w:header="850" w:footer="964" w:gutter="0"/>
          <w:cols w:space="425" w:num="1"/>
          <w:rtlGutter w:val="0"/>
          <w:docGrid w:linePitch="312" w:charSpace="0"/>
        </w:sectPr>
      </w:pPr>
    </w:p>
    <w:p w14:paraId="4A0F7ED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439B32A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4606063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142D9C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江西省宜丰万国矿业有限公司</w:t>
      </w:r>
    </w:p>
    <w:p w14:paraId="481985D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宜丰新庄铜铅锌矿尾矿库</w:t>
      </w:r>
    </w:p>
    <w:p w14:paraId="333D3D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color w:val="auto"/>
          <w:sz w:val="44"/>
          <w:szCs w:val="44"/>
        </w:rPr>
      </w:pPr>
      <w:r>
        <w:rPr>
          <w:rFonts w:hint="eastAsia"/>
          <w:b/>
          <w:color w:val="auto"/>
          <w:sz w:val="44"/>
          <w:szCs w:val="44"/>
        </w:rPr>
        <w:t>安全现状评价报告</w:t>
      </w:r>
    </w:p>
    <w:p w14:paraId="68670D1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74959F7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44B869D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6770B87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7B9717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6417E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60C9A19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13B9ED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法</w:t>
      </w:r>
      <w:r>
        <w:rPr>
          <w:rFonts w:hint="eastAsia"/>
          <w:color w:val="auto"/>
        </w:rPr>
        <w:t xml:space="preserve"> 定 </w:t>
      </w:r>
      <w:r>
        <w:rPr>
          <w:color w:val="auto"/>
        </w:rPr>
        <w:t>代</w:t>
      </w:r>
      <w:r>
        <w:rPr>
          <w:rFonts w:hint="eastAsia"/>
          <w:color w:val="auto"/>
        </w:rPr>
        <w:t xml:space="preserve"> </w:t>
      </w:r>
      <w:r>
        <w:rPr>
          <w:color w:val="auto"/>
        </w:rPr>
        <w:t>表</w:t>
      </w:r>
      <w:r>
        <w:rPr>
          <w:rFonts w:hint="eastAsia"/>
          <w:color w:val="auto"/>
        </w:rPr>
        <w:t xml:space="preserve"> </w:t>
      </w:r>
      <w:r>
        <w:rPr>
          <w:color w:val="auto"/>
        </w:rPr>
        <w:t>人：</w:t>
      </w:r>
      <w:r>
        <w:rPr>
          <w:rFonts w:hint="eastAsia"/>
          <w:color w:val="auto"/>
          <w:lang w:val="en-US" w:eastAsia="zh-CN"/>
        </w:rPr>
        <w:t>应  宏</w:t>
      </w:r>
    </w:p>
    <w:p w14:paraId="35FF3EE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color w:val="auto"/>
        </w:rPr>
        <w:t>技</w:t>
      </w:r>
      <w:r>
        <w:rPr>
          <w:rFonts w:hint="eastAsia"/>
          <w:color w:val="auto"/>
        </w:rPr>
        <w:t xml:space="preserve"> </w:t>
      </w:r>
      <w:r>
        <w:rPr>
          <w:color w:val="auto"/>
        </w:rPr>
        <w:t>术</w:t>
      </w:r>
      <w:r>
        <w:rPr>
          <w:rFonts w:hint="eastAsia"/>
          <w:color w:val="auto"/>
        </w:rPr>
        <w:t xml:space="preserve"> </w:t>
      </w:r>
      <w:r>
        <w:rPr>
          <w:color w:val="auto"/>
        </w:rPr>
        <w:t>负</w:t>
      </w:r>
      <w:r>
        <w:rPr>
          <w:rFonts w:hint="eastAsia"/>
          <w:color w:val="auto"/>
        </w:rPr>
        <w:t xml:space="preserve"> </w:t>
      </w:r>
      <w:r>
        <w:rPr>
          <w:color w:val="auto"/>
        </w:rPr>
        <w:t>责</w:t>
      </w:r>
      <w:r>
        <w:rPr>
          <w:rFonts w:hint="eastAsia"/>
          <w:color w:val="auto"/>
        </w:rPr>
        <w:t xml:space="preserve"> </w:t>
      </w:r>
      <w:r>
        <w:rPr>
          <w:color w:val="auto"/>
        </w:rPr>
        <w:t>人：</w:t>
      </w:r>
      <w:r>
        <w:rPr>
          <w:rFonts w:hint="eastAsia"/>
          <w:color w:val="auto"/>
        </w:rPr>
        <w:t>管自强</w:t>
      </w:r>
    </w:p>
    <w:p w14:paraId="70F1820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评价项目负责人：</w:t>
      </w:r>
      <w:r>
        <w:rPr>
          <w:rFonts w:hint="eastAsia"/>
          <w:color w:val="auto"/>
          <w:lang w:val="en-US" w:eastAsia="zh-CN"/>
        </w:rPr>
        <w:t>许玉才</w:t>
      </w:r>
    </w:p>
    <w:p w14:paraId="3C6E82B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014634B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8C6B79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b/>
          <w:bCs/>
          <w:color w:val="auto"/>
          <w:sz w:val="24"/>
        </w:rPr>
        <w:t>评价报告完成日期：</w:t>
      </w:r>
      <w:r>
        <w:rPr>
          <w:rFonts w:hint="eastAsia" w:hAnsi="宋体"/>
          <w:b/>
          <w:bCs/>
          <w:color w:val="auto"/>
          <w:spacing w:val="20"/>
          <w:sz w:val="24"/>
        </w:rPr>
        <w:t>2025年</w:t>
      </w:r>
      <w:r>
        <w:rPr>
          <w:rFonts w:hint="eastAsia" w:hAnsi="宋体"/>
          <w:b/>
          <w:bCs/>
          <w:color w:val="auto"/>
          <w:spacing w:val="20"/>
          <w:sz w:val="24"/>
          <w:lang w:val="en-US" w:eastAsia="zh-CN"/>
        </w:rPr>
        <w:t>6</w:t>
      </w:r>
      <w:r>
        <w:rPr>
          <w:rFonts w:hint="eastAsia" w:hAnsi="宋体"/>
          <w:b/>
          <w:bCs/>
          <w:color w:val="auto"/>
          <w:spacing w:val="20"/>
          <w:sz w:val="24"/>
        </w:rPr>
        <w:t>月</w:t>
      </w:r>
      <w:r>
        <w:rPr>
          <w:rFonts w:hint="eastAsia" w:hAnsi="宋体"/>
          <w:b/>
          <w:bCs/>
          <w:color w:val="auto"/>
          <w:spacing w:val="20"/>
          <w:sz w:val="24"/>
          <w:lang w:val="en-US" w:eastAsia="zh-CN"/>
        </w:rPr>
        <w:t>10</w:t>
      </w:r>
      <w:r>
        <w:rPr>
          <w:rFonts w:hint="eastAsia" w:hAnsi="宋体"/>
          <w:b/>
          <w:bCs/>
          <w:color w:val="auto"/>
          <w:spacing w:val="20"/>
          <w:sz w:val="24"/>
        </w:rPr>
        <w:t>日</w:t>
      </w:r>
    </w:p>
    <w:p w14:paraId="6CB34F2E">
      <w:pPr>
        <w:spacing w:line="600" w:lineRule="exact"/>
        <w:jc w:val="center"/>
        <w:rPr>
          <w:b/>
          <w:color w:val="auto"/>
          <w:sz w:val="32"/>
          <w:szCs w:val="32"/>
        </w:rPr>
      </w:pPr>
      <w:r>
        <w:rPr>
          <w:b/>
          <w:color w:val="auto"/>
          <w:sz w:val="32"/>
          <w:szCs w:val="32"/>
        </w:rPr>
        <w:br w:type="page"/>
      </w:r>
    </w:p>
    <w:p w14:paraId="20C8C1B5">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江西省宜丰万国矿业有限公司</w:t>
      </w:r>
    </w:p>
    <w:p w14:paraId="50F1057C">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宜丰新庄铜铅锌矿尾矿库</w:t>
      </w:r>
    </w:p>
    <w:p w14:paraId="00A25C3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s="宋体"/>
          <w:color w:val="auto"/>
          <w:kern w:val="0"/>
          <w:sz w:val="36"/>
          <w:szCs w:val="36"/>
        </w:rPr>
      </w:pPr>
      <w:r>
        <w:rPr>
          <w:rFonts w:hint="eastAsia" w:ascii="宋体" w:hAnsi="宋体" w:cs="宋体"/>
          <w:color w:val="auto"/>
          <w:kern w:val="0"/>
          <w:sz w:val="36"/>
          <w:szCs w:val="36"/>
        </w:rPr>
        <w:t>安全现状</w:t>
      </w:r>
      <w:r>
        <w:rPr>
          <w:rFonts w:ascii="宋体" w:hAnsi="宋体" w:cs="宋体"/>
          <w:color w:val="auto"/>
          <w:kern w:val="0"/>
          <w:sz w:val="36"/>
          <w:szCs w:val="36"/>
        </w:rPr>
        <w:t>评价</w:t>
      </w:r>
      <w:r>
        <w:rPr>
          <w:rFonts w:hint="eastAsia" w:ascii="宋体" w:hAnsi="宋体" w:cs="宋体"/>
          <w:color w:val="auto"/>
          <w:kern w:val="0"/>
          <w:sz w:val="36"/>
          <w:szCs w:val="36"/>
        </w:rPr>
        <w:t>技术服务</w:t>
      </w:r>
      <w:r>
        <w:rPr>
          <w:rFonts w:ascii="宋体" w:hAnsi="宋体" w:cs="宋体"/>
          <w:color w:val="auto"/>
          <w:kern w:val="0"/>
          <w:sz w:val="36"/>
          <w:szCs w:val="36"/>
        </w:rPr>
        <w:t>承诺书</w:t>
      </w:r>
    </w:p>
    <w:p w14:paraId="2EE982FB">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宋体"/>
          <w:color w:val="auto"/>
          <w:kern w:val="0"/>
          <w:sz w:val="28"/>
          <w:szCs w:val="28"/>
        </w:rPr>
      </w:pPr>
    </w:p>
    <w:p w14:paraId="6A0E05A7">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一、在本项目安全评价活动过程中，我单位严格遵守《安全生产法》及相关法律、法规和标准的要求。</w:t>
      </w:r>
    </w:p>
    <w:p w14:paraId="522E8E4A">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宋体" w:hAnsi="宋体" w:cs="宋体"/>
          <w:color w:val="auto"/>
          <w:kern w:val="0"/>
          <w:sz w:val="36"/>
          <w:szCs w:val="36"/>
        </w:rPr>
      </w:pPr>
      <w:r>
        <w:rPr>
          <w:rFonts w:hint="eastAsia" w:ascii="仿宋" w:hAnsi="仿宋" w:eastAsia="仿宋" w:cs="宋体"/>
          <w:color w:val="auto"/>
          <w:kern w:val="0"/>
          <w:sz w:val="32"/>
          <w:szCs w:val="32"/>
        </w:rPr>
        <w:t>二、在本项目安全评价活动过程中，我单位作为第三方，未受到任何组织和个人的干预和影响，依法独立开展工作，保证了技术服务活动的客观公正性。</w:t>
      </w:r>
    </w:p>
    <w:p w14:paraId="338974C1">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三、我单位按照实事求是的原则，对本项目进行安全评价，确保出具的报告均真实有效，报告所提出的措施具有针对性、有效性和可行性。</w:t>
      </w:r>
    </w:p>
    <w:p w14:paraId="301E2149">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四、我单位对本项目安全评价报告中结论性内容承担法律责任。</w:t>
      </w:r>
    </w:p>
    <w:p w14:paraId="248DBA7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rFonts w:hint="eastAsia" w:hAnsi="宋体"/>
          <w:color w:val="auto"/>
          <w:szCs w:val="28"/>
        </w:rPr>
      </w:pPr>
    </w:p>
    <w:p w14:paraId="2C8AD66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color w:val="auto"/>
          <w:kern w:val="0"/>
          <w:szCs w:val="28"/>
        </w:rPr>
      </w:pPr>
      <w:r>
        <w:rPr>
          <w:color w:val="auto"/>
          <w:szCs w:val="28"/>
        </w:rPr>
        <w:t>江西赣安安全生产科学技术咨询服务中心</w:t>
      </w:r>
    </w:p>
    <w:p w14:paraId="6FF5D5F5">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r>
        <w:rPr>
          <w:rFonts w:hint="eastAsia"/>
          <w:color w:val="auto"/>
          <w:kern w:val="0"/>
          <w:szCs w:val="28"/>
          <w:lang w:val="en-US" w:eastAsia="zh-CN"/>
        </w:rPr>
        <w:t xml:space="preserve">                              </w:t>
      </w:r>
      <w:r>
        <w:rPr>
          <w:rFonts w:hint="eastAsia"/>
          <w:color w:val="auto"/>
          <w:kern w:val="0"/>
          <w:szCs w:val="28"/>
        </w:rPr>
        <w:t>2025年</w:t>
      </w:r>
      <w:r>
        <w:rPr>
          <w:rFonts w:hint="eastAsia"/>
          <w:color w:val="auto"/>
          <w:kern w:val="0"/>
          <w:szCs w:val="28"/>
          <w:lang w:val="en-US" w:eastAsia="zh-CN"/>
        </w:rPr>
        <w:t>6</w:t>
      </w:r>
      <w:r>
        <w:rPr>
          <w:rFonts w:hint="eastAsia"/>
          <w:color w:val="auto"/>
          <w:kern w:val="0"/>
          <w:szCs w:val="28"/>
        </w:rPr>
        <w:t>月</w:t>
      </w:r>
      <w:r>
        <w:rPr>
          <w:rFonts w:hint="eastAsia"/>
          <w:color w:val="auto"/>
          <w:kern w:val="0"/>
          <w:szCs w:val="28"/>
          <w:lang w:val="en-US" w:eastAsia="zh-CN"/>
        </w:rPr>
        <w:t>10</w:t>
      </w:r>
      <w:r>
        <w:rPr>
          <w:rFonts w:hint="eastAsia"/>
          <w:color w:val="auto"/>
          <w:kern w:val="0"/>
          <w:szCs w:val="28"/>
        </w:rPr>
        <w:t>日</w:t>
      </w:r>
      <w:r>
        <w:rPr>
          <w:b/>
          <w:color w:val="auto"/>
          <w:szCs w:val="28"/>
        </w:rPr>
        <w:br w:type="page"/>
      </w:r>
    </w:p>
    <w:p w14:paraId="17492A56">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auto"/>
          <w:kern w:val="0"/>
          <w:szCs w:val="28"/>
        </w:rPr>
      </w:pPr>
      <w:r>
        <w:rPr>
          <w:rFonts w:ascii="Times New Roman" w:hAnsi="Times New Roman" w:eastAsia="宋体"/>
          <w:color w:val="auto"/>
          <w:kern w:val="0"/>
          <w:szCs w:val="28"/>
        </w:rPr>
        <w:t>九、禁止安全生产监管部门及其工作人员参与、擅自干预中介机构从业活动，或者有获取不正当利益的行为。</w:t>
      </w:r>
    </w:p>
    <w:p w14:paraId="3CB608A5">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E77486D">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25FE1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3D4BB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6BB95049">
      <w:pPr>
        <w:pStyle w:val="28"/>
        <w:rPr>
          <w:color w:val="auto"/>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72A9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A4AFF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B311B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4B6E9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C94CA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651FA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6B97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3B51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4990F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644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469B6F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92FFA8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E8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5528E2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C74795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6838B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5B2AF0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5386E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60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24464CC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A18B5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932002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AEBEE4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D5C13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7D4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05A4C20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202A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F54AE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rPr>
              <w:t>800000000</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rPr>
              <w:t>0</w:t>
            </w:r>
            <w:r>
              <w:rPr>
                <w:rFonts w:hint="default" w:ascii="Times New Roman" w:hAnsi="Times New Roman" w:cs="Times New Roman"/>
                <w:color w:val="auto"/>
                <w:sz w:val="24"/>
                <w:lang w:val="en-US" w:eastAsia="zh-CN"/>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84C7D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26CA83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AE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3DA24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621BC9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D07861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8DC5AF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835EC0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416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68C10D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E26D9B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王纪鹏</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7D51E9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S01103500011019</w:t>
            </w:r>
            <w:r>
              <w:rPr>
                <w:rFonts w:hint="default" w:ascii="Times New Roman" w:hAnsi="Times New Roman" w:cs="Times New Roman"/>
                <w:color w:val="auto"/>
                <w:sz w:val="24"/>
                <w:lang w:val="en-US" w:eastAsia="zh-CN"/>
              </w:rPr>
              <w:t>2</w:t>
            </w:r>
            <w:r>
              <w:rPr>
                <w:rFonts w:hint="default" w:ascii="Times New Roman" w:hAnsi="Times New Roman" w:eastAsia="宋体" w:cs="Times New Roman"/>
                <w:color w:val="auto"/>
                <w:sz w:val="24"/>
              </w:rPr>
              <w:t>00</w:t>
            </w:r>
            <w:r>
              <w:rPr>
                <w:rFonts w:hint="default" w:ascii="Times New Roman" w:hAnsi="Times New Roman" w:cs="Times New Roman"/>
                <w:color w:val="auto"/>
                <w:sz w:val="24"/>
                <w:lang w:val="en-US" w:eastAsia="zh-CN"/>
              </w:rPr>
              <w:t>155</w:t>
            </w:r>
            <w:r>
              <w:rPr>
                <w:rFonts w:hint="eastAsia" w:cs="Times New Roman"/>
                <w:color w:val="auto"/>
                <w:sz w:val="24"/>
                <w:lang w:val="en-US" w:eastAsia="zh-CN"/>
              </w:rPr>
              <w:t>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9E2DB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036830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826168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EC8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27E5444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B6D3AF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09D957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1B975F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EDEC40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58B6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09C59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C7AC9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李强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B4F6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0800000000204055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86CC2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007079</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9007A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482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D86BF6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1F6C0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50DB47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8C7C0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CD7E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ECB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4BC25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9575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97CFA8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03D801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FBCF6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bl>
    <w:p w14:paraId="67522D7E">
      <w:pPr>
        <w:spacing w:before="234" w:beforeLines="75" w:after="234" w:afterLines="75" w:line="560" w:lineRule="exact"/>
        <w:jc w:val="center"/>
        <w:rPr>
          <w:rFonts w:ascii="宋体" w:hAnsi="宋体" w:eastAsia="宋体" w:cs="Times New Roman"/>
          <w:b/>
          <w:color w:val="auto"/>
          <w:sz w:val="36"/>
          <w:szCs w:val="36"/>
        </w:rPr>
      </w:pPr>
    </w:p>
    <w:p w14:paraId="71D1C154">
      <w:pPr>
        <w:rPr>
          <w:color w:val="auto"/>
        </w:rPr>
      </w:pPr>
    </w:p>
    <w:p w14:paraId="2401C47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Cs w:val="28"/>
        </w:rPr>
      </w:pPr>
      <w:r>
        <w:rPr>
          <w:rFonts w:ascii="宋体" w:hAnsi="宋体"/>
          <w:color w:val="auto"/>
          <w:sz w:val="28"/>
          <w:szCs w:val="28"/>
        </w:rPr>
        <w:br w:type="page"/>
      </w:r>
      <w:r>
        <w:rPr>
          <w:rFonts w:hint="eastAsia" w:ascii="黑体" w:hAnsi="黑体" w:eastAsia="黑体" w:cs="黑体"/>
          <w:b/>
          <w:bCs/>
          <w:color w:val="auto"/>
          <w:sz w:val="32"/>
          <w:szCs w:val="32"/>
        </w:rPr>
        <w:t>前    言</w:t>
      </w:r>
    </w:p>
    <w:p w14:paraId="40A2BBE8">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江西省宜丰万国矿业有限公司为万国国际矿业集团有限公司的控股公司，注册地在江西省宜春市宜丰县新庄镇，注册资本49899万元，营业执照统一社会信用代码：913606007542492406。</w:t>
      </w:r>
    </w:p>
    <w:p w14:paraId="2ABE1CAF">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江西省宜丰万国矿业有限公司宜丰新庄铜铅锌矿尾矿库最终尾矿坝顶高程为+89.0m，总库容为154.68×10</w:t>
      </w:r>
      <w:r>
        <w:rPr>
          <w:rFonts w:hint="eastAsia"/>
          <w:color w:val="auto"/>
          <w:highlight w:val="none"/>
          <w:vertAlign w:val="superscript"/>
        </w:rPr>
        <w:t>4</w:t>
      </w:r>
      <w:r>
        <w:rPr>
          <w:rFonts w:hint="eastAsia"/>
          <w:color w:val="auto"/>
          <w:highlight w:val="none"/>
        </w:rPr>
        <w:t>m</w:t>
      </w:r>
      <w:r>
        <w:rPr>
          <w:rFonts w:hint="eastAsia"/>
          <w:color w:val="auto"/>
          <w:highlight w:val="none"/>
          <w:vertAlign w:val="superscript"/>
        </w:rPr>
        <w:t>3</w:t>
      </w:r>
      <w:r>
        <w:rPr>
          <w:rFonts w:hint="eastAsia"/>
          <w:color w:val="auto"/>
          <w:highlight w:val="none"/>
        </w:rPr>
        <w:t>，设计总坝高32.9m，为四等库，防洪标准按100年一遇设防，主要构筑物为4级，次要构筑物为4级。</w:t>
      </w:r>
    </w:p>
    <w:p w14:paraId="29601A28">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江西省宜丰万国矿业有限公司宜丰新庄铜铅锌矿尾矿库</w:t>
      </w:r>
      <w:r>
        <w:rPr>
          <w:rFonts w:hint="eastAsia"/>
          <w:color w:val="auto"/>
          <w:highlight w:val="none"/>
          <w:lang w:eastAsia="zh-CN"/>
        </w:rPr>
        <w:t>（</w:t>
      </w:r>
      <w:r>
        <w:rPr>
          <w:rFonts w:hint="eastAsia"/>
          <w:color w:val="auto"/>
          <w:lang w:val="en-US" w:eastAsia="zh-CN"/>
        </w:rPr>
        <w:t>以下简称宜丰新庄铜铅锌矿尾矿库</w:t>
      </w:r>
      <w:r>
        <w:rPr>
          <w:rFonts w:hint="eastAsia"/>
          <w:color w:val="auto"/>
          <w:highlight w:val="none"/>
          <w:lang w:eastAsia="zh-CN"/>
        </w:rPr>
        <w:t>）</w:t>
      </w:r>
      <w:r>
        <w:rPr>
          <w:rFonts w:hint="eastAsia"/>
          <w:color w:val="auto"/>
          <w:highlight w:val="none"/>
        </w:rPr>
        <w:t>于2022年8月26日取得了江西省应急管理厅</w:t>
      </w:r>
      <w:r>
        <w:rPr>
          <w:rFonts w:hint="eastAsia"/>
          <w:color w:val="auto"/>
          <w:highlight w:val="none"/>
          <w:lang w:val="en-US" w:eastAsia="zh-CN"/>
        </w:rPr>
        <w:t>换</w:t>
      </w:r>
      <w:r>
        <w:rPr>
          <w:rFonts w:hint="eastAsia"/>
          <w:color w:val="auto"/>
          <w:highlight w:val="none"/>
        </w:rPr>
        <w:t>发的安全生产许可证，证号为（赣）FM安许证字</w:t>
      </w:r>
      <w:r>
        <w:rPr>
          <w:rFonts w:hint="eastAsia" w:ascii="宋体" w:hAnsi="宋体" w:eastAsia="宋体" w:cs="宋体"/>
          <w:color w:val="auto"/>
          <w:highlight w:val="none"/>
        </w:rPr>
        <w:t>[</w:t>
      </w:r>
      <w:r>
        <w:rPr>
          <w:rFonts w:hint="eastAsia"/>
          <w:color w:val="auto"/>
          <w:highlight w:val="none"/>
        </w:rPr>
        <w:t>2007</w:t>
      </w:r>
      <w:r>
        <w:rPr>
          <w:rFonts w:hint="eastAsia" w:ascii="宋体" w:hAnsi="宋体" w:eastAsia="宋体" w:cs="宋体"/>
          <w:color w:val="auto"/>
          <w:highlight w:val="none"/>
        </w:rPr>
        <w:t>]</w:t>
      </w:r>
      <w:r>
        <w:rPr>
          <w:rFonts w:hint="eastAsia"/>
          <w:color w:val="auto"/>
          <w:highlight w:val="none"/>
        </w:rPr>
        <w:t>M1182号，许可范围：尾矿库运营（四等库，总坝高32.9m，高程+89.0m以下，干式堆存，总库容154.68万m</w:t>
      </w:r>
      <w:r>
        <w:rPr>
          <w:rFonts w:hint="eastAsia"/>
          <w:color w:val="auto"/>
          <w:highlight w:val="none"/>
          <w:vertAlign w:val="superscript"/>
        </w:rPr>
        <w:t>3</w:t>
      </w:r>
      <w:r>
        <w:rPr>
          <w:rFonts w:hint="eastAsia"/>
          <w:color w:val="auto"/>
          <w:highlight w:val="none"/>
        </w:rPr>
        <w:t>），有效期至2025年8月27日。</w:t>
      </w:r>
    </w:p>
    <w:p w14:paraId="3191575B">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rPr>
      </w:pPr>
      <w:r>
        <w:rPr>
          <w:rFonts w:hint="eastAsia"/>
          <w:b w:val="0"/>
          <w:bCs w:val="0"/>
          <w:color w:val="auto"/>
          <w:lang w:val="en-US" w:eastAsia="zh-CN"/>
        </w:rPr>
        <w:t>目前宜丰新庄铜铅锌矿尾矿库坝高</w:t>
      </w:r>
      <w:r>
        <w:rPr>
          <w:rFonts w:hint="eastAsia"/>
          <w:b w:val="0"/>
          <w:bCs w:val="0"/>
          <w:color w:val="auto"/>
        </w:rPr>
        <w:t>为</w:t>
      </w:r>
      <w:r>
        <w:rPr>
          <w:rFonts w:hint="eastAsia"/>
          <w:b w:val="0"/>
          <w:bCs w:val="0"/>
          <w:color w:val="auto"/>
          <w:lang w:val="en-US" w:eastAsia="zh-CN"/>
        </w:rPr>
        <w:t>28.4</w:t>
      </w:r>
      <w:r>
        <w:rPr>
          <w:rFonts w:hint="eastAsia"/>
          <w:b w:val="0"/>
          <w:bCs w:val="0"/>
          <w:color w:val="auto"/>
        </w:rPr>
        <w:t>m</w:t>
      </w:r>
      <w:r>
        <w:rPr>
          <w:rFonts w:hint="eastAsia"/>
          <w:b w:val="0"/>
          <w:bCs w:val="0"/>
          <w:color w:val="auto"/>
          <w:lang w:eastAsia="zh-CN"/>
        </w:rPr>
        <w:t>，</w:t>
      </w:r>
      <w:r>
        <w:rPr>
          <w:rFonts w:hint="eastAsia"/>
          <w:b w:val="0"/>
          <w:bCs w:val="0"/>
          <w:color w:val="auto"/>
          <w:lang w:val="en-US" w:eastAsia="zh-CN"/>
        </w:rPr>
        <w:t>已堆积</w:t>
      </w:r>
      <w:r>
        <w:rPr>
          <w:rFonts w:hint="eastAsia"/>
          <w:b w:val="0"/>
          <w:bCs w:val="0"/>
          <w:color w:val="auto"/>
        </w:rPr>
        <w:t>库容为</w:t>
      </w:r>
      <w:r>
        <w:rPr>
          <w:rFonts w:hint="eastAsia"/>
          <w:b w:val="0"/>
          <w:bCs w:val="0"/>
          <w:color w:val="auto"/>
          <w:lang w:val="en-US" w:eastAsia="zh-CN"/>
        </w:rPr>
        <w:t>121.68</w:t>
      </w:r>
      <w:r>
        <w:rPr>
          <w:rFonts w:hint="eastAsia" w:ascii="宋体" w:hAnsi="宋体" w:eastAsia="宋体" w:cs="宋体"/>
          <w:b w:val="0"/>
          <w:bCs w:val="0"/>
          <w:color w:val="auto"/>
          <w:lang w:val="en-US" w:eastAsia="zh-CN"/>
        </w:rPr>
        <w:t>×</w:t>
      </w:r>
      <w:r>
        <w:rPr>
          <w:rFonts w:hint="eastAsia"/>
          <w:b w:val="0"/>
          <w:bCs w:val="0"/>
          <w:color w:val="auto"/>
        </w:rPr>
        <w:t>10</w:t>
      </w:r>
      <w:r>
        <w:rPr>
          <w:rFonts w:hint="eastAsia"/>
          <w:b w:val="0"/>
          <w:bCs w:val="0"/>
          <w:color w:val="auto"/>
          <w:vertAlign w:val="superscript"/>
        </w:rPr>
        <w:t>4</w:t>
      </w:r>
      <w:r>
        <w:rPr>
          <w:rFonts w:hint="eastAsia"/>
          <w:b w:val="0"/>
          <w:bCs w:val="0"/>
          <w:color w:val="auto"/>
        </w:rPr>
        <w:t>m</w:t>
      </w:r>
      <w:r>
        <w:rPr>
          <w:rFonts w:hint="eastAsia"/>
          <w:b w:val="0"/>
          <w:bCs w:val="0"/>
          <w:color w:val="auto"/>
          <w:vertAlign w:val="superscript"/>
        </w:rPr>
        <w:t>3</w:t>
      </w:r>
      <w:r>
        <w:rPr>
          <w:rFonts w:hint="eastAsia"/>
          <w:b w:val="0"/>
          <w:bCs w:val="0"/>
          <w:color w:val="auto"/>
        </w:rPr>
        <w:t>，尾矿库等别为</w:t>
      </w:r>
      <w:r>
        <w:rPr>
          <w:rFonts w:hint="eastAsia"/>
          <w:b w:val="0"/>
          <w:bCs w:val="0"/>
          <w:color w:val="auto"/>
          <w:lang w:val="en-US" w:eastAsia="zh-CN"/>
        </w:rPr>
        <w:t>四</w:t>
      </w:r>
      <w:r>
        <w:rPr>
          <w:rFonts w:hint="eastAsia"/>
          <w:b w:val="0"/>
          <w:bCs w:val="0"/>
          <w:color w:val="auto"/>
        </w:rPr>
        <w:t>等库</w:t>
      </w:r>
      <w:r>
        <w:rPr>
          <w:rFonts w:hint="eastAsia"/>
          <w:b w:val="0"/>
          <w:bCs w:val="0"/>
          <w:color w:val="auto"/>
          <w:lang w:eastAsia="zh-CN"/>
        </w:rPr>
        <w:t>；</w:t>
      </w:r>
      <w:r>
        <w:rPr>
          <w:rFonts w:hint="eastAsia"/>
          <w:b w:val="0"/>
          <w:bCs w:val="0"/>
          <w:color w:val="auto"/>
        </w:rPr>
        <w:t>库区排洪系统由排水斜槽+连接井+排水涵洞+排水明渠组成。</w:t>
      </w:r>
    </w:p>
    <w:p w14:paraId="2311FE52">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受江西省宜丰万国矿业有限公司有限公司委托，江西赣安安全生产科学技术咨询服务中心承担了宜丰新庄铜铅锌矿尾矿库的安全现状评价工作。按照国家有关法律、法规和技术标准的要求，2025年3月1</w:t>
      </w:r>
      <w:r>
        <w:rPr>
          <w:rFonts w:hint="eastAsia"/>
          <w:color w:val="auto"/>
          <w:highlight w:val="none"/>
          <w:lang w:val="en-US" w:eastAsia="zh-CN"/>
        </w:rPr>
        <w:t>8</w:t>
      </w:r>
      <w:r>
        <w:rPr>
          <w:rFonts w:hint="eastAsia"/>
          <w:color w:val="auto"/>
          <w:highlight w:val="none"/>
        </w:rPr>
        <w:t>日、2025年</w:t>
      </w:r>
      <w:r>
        <w:rPr>
          <w:rFonts w:hint="eastAsia"/>
          <w:color w:val="auto"/>
          <w:highlight w:val="none"/>
          <w:lang w:val="en-US" w:eastAsia="zh-CN"/>
        </w:rPr>
        <w:t>4</w:t>
      </w:r>
      <w:r>
        <w:rPr>
          <w:rFonts w:hint="eastAsia"/>
          <w:color w:val="auto"/>
          <w:highlight w:val="none"/>
        </w:rPr>
        <w:t>月</w:t>
      </w:r>
      <w:r>
        <w:rPr>
          <w:rFonts w:hint="eastAsia"/>
          <w:color w:val="auto"/>
          <w:highlight w:val="none"/>
          <w:lang w:val="en-US" w:eastAsia="zh-CN"/>
        </w:rPr>
        <w:t>27</w:t>
      </w:r>
      <w:r>
        <w:rPr>
          <w:rFonts w:hint="eastAsia"/>
          <w:color w:val="auto"/>
          <w:highlight w:val="none"/>
        </w:rPr>
        <w:t>日组织评价专家组到现场检查和调研、复查，收集了相关的资料数据。通过对该库潜在的危险有害因素辨识和危险程度分析，对该库的安全运行现状、安全生产法律法规及有关规程的符合性和适应性进行了安全评价，提出了较为合理可行的安全对策措施。按照《安全评价通则》的要求编制本评价报告。</w:t>
      </w:r>
    </w:p>
    <w:p w14:paraId="55EBBD42">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目前江西省宜丰万国矿业有限公司已与江西赣安安全生产科学技术咨询服务中心签订了合同，目前正在进行尾矿库隐蔽致灾因素普查工作。</w:t>
      </w:r>
    </w:p>
    <w:p w14:paraId="50427641">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color w:val="auto"/>
          <w:highlight w:val="none"/>
        </w:rPr>
      </w:pPr>
      <w:r>
        <w:rPr>
          <w:rFonts w:hint="eastAsia"/>
          <w:color w:val="auto"/>
          <w:highlight w:val="none"/>
        </w:rPr>
        <w:t>在评价过程中得到了江西省宜丰万国矿业有限公司领导、安全生产管理人员及员工的大力支持，在此表示感谢！</w:t>
      </w:r>
    </w:p>
    <w:p w14:paraId="73F468F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color w:val="auto"/>
          <w:highlight w:val="none"/>
        </w:rPr>
        <w:br w:type="page"/>
      </w:r>
    </w:p>
    <w:p w14:paraId="215C7C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目    录</w:t>
      </w:r>
    </w:p>
    <w:p w14:paraId="0A8542EE">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TOC \o "1-3" \h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_Toc21449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 概述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_Toc21449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06053D5">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_Toc29807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评价目的和原则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_Toc29807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9FEE97C">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_Toc15354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评价目的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_Toc15354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32ECDC2">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_Toc11409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_Toc11409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9EB053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_Toc31250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 评价依据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_Toc31250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85AEEBF">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_Toc5356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1.2.1 法律、法规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_Toc5356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632CDD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_Toc22203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规章、</w:t>
      </w:r>
      <w:r>
        <w:rPr>
          <w:rFonts w:hint="default" w:ascii="Times New Roman" w:hAnsi="Times New Roman" w:eastAsia="宋体" w:cs="Times New Roman"/>
          <w:color w:val="auto"/>
          <w:lang w:val="en-US" w:eastAsia="zh-CN"/>
        </w:rPr>
        <w:t>规定</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_Toc22203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604571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_Toc17644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1.2.3 规范性文件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_Toc17644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BD0B0F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_Toc24428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1.2.4 标准、规范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_Toc24428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0D57D4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_Toc8420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lang w:val="en-US" w:eastAsia="zh-CN"/>
        </w:rPr>
        <w:t xml:space="preserve">5 </w:t>
      </w:r>
      <w:r>
        <w:rPr>
          <w:rFonts w:hint="default" w:ascii="Times New Roman" w:hAnsi="Times New Roman" w:eastAsia="宋体" w:cs="Times New Roman"/>
          <w:color w:val="auto"/>
        </w:rPr>
        <w:t>其他依据和主要参考资料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_Toc8420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7C319D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_Toc10497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评价对象、范围和内容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_Toc10497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305941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_Toc27854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评价对象、范围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_Toc27854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3E3C0A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_Toc2032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_Toc2032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72FFA0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_Toc21018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评价程序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_Toc21018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1FD0255">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_Toc29527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 尾矿库概况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_Toc29527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2711B4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_Toc22818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建设单位概况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_Toc22818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3ED167D">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_Toc12591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2.2 交通位置、自然地理概况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_Toc12591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66970B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_Toc6895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2.3 尾矿库基本情况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_Toc6895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C327C6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_Toc7530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 地质概况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_Toc7530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442C85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_Toc22133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2.4.1 地质构造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_Toc22133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72C6723">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_Toc10960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2.4.2 地层岩性</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_Toc10960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641EC7B">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_Toc11384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2.4.3 水文地质条件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_Toc11384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6AF04B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_Toc29640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2.4.4 尾矿库不良地质现象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_Toc29640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9B91E45">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_Toc8108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 尾矿库等别</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_Toc8108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AD4905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_Toc8826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 尾矿库安全设施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_Toc8826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79DF643">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_Toc8916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2.6.1 尾矿坝</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_Toc8916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30A747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_Toc29416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2.6.2 排水系统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_Toc29416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687CC7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_Toc3314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2.6.3 防排洪系统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_Toc3314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597896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_Toc26356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2.6.4 尾砂干堆工艺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_Toc26356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8BE5CE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_Toc19389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2.6.5 排渗设施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_Toc19389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EB44B5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_Toc17259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2.6.6 安全监测设施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_Toc17259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266E85C">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_Toc12021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2.6.7 辅助安全设施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_Toc12021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A6F37C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_Toc26250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2.7 干式尾矿运输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_Toc26250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A37B656">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_Toc15196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 安全综合管理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_Toc15196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EC1414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_Toc19361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2.8.1 安全机构设置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_Toc19361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17EA1E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_Toc10834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2.8.2 安全生产管理规章制度</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_Toc10834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24CD17F">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_Toc27827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2.8.3 安全生产应急救援与措施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_Toc27827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CAF77A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_Toc9058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2.8.4 安全教育培训</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_Toc9058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295F2E6">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_Toc31311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2.8.5 安全措施费用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_Toc31311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00DCE4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_Toc26445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2.8.6 安全检查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_Toc26445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024570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_Toc25330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2.8.7 安全生产标准化</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_Toc25330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B9E01E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_Toc8276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2.8.8 事故情况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_Toc8276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3C9B7DB">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_Toc11951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2.8.9 安全生产责任保险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_Toc11951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D8F663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_Toc27078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2.9 隐蔽致灾因素普查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_Toc27078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D977D8F">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_Toc6394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2.10 周边环境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_Toc6394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D86E5D4">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_Toc28966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 辩识与分析危险、有害因素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_Toc28966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4ADEFE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_Toc25017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 xml:space="preserve">3.1 </w:t>
      </w:r>
      <w:r>
        <w:rPr>
          <w:rFonts w:hint="default" w:ascii="Times New Roman" w:hAnsi="Times New Roman" w:eastAsia="宋体" w:cs="Times New Roman"/>
          <w:color w:val="auto"/>
          <w:lang w:eastAsia="zh-CN"/>
        </w:rPr>
        <w:t>尾矿库病害的产生原因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_Toc25017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325109A">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_Toc25961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勘察因素造成的病害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_Toc25961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5A54C7B">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_Toc22549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设计因素造成的病害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_Toc22549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D84D1B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_Toc19724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施工因素造成的病害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_Toc19724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ACC946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_Toc29857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操作管理不当造成的病害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_Toc29857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E46086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_Toc25124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3.1.5</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其他因素造成的病害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_Toc25124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CE802F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_Toc17862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3.1.6</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尾矿库失事实例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_Toc17862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57BDF72">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_Toc19341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尾矿库危险、有害因素分析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_Toc19341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11F00B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_Toc18593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滑坡（坝坡失稳）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_Toc18593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84982D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_Toc1246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3.2.2 洪水漫顶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_Toc1246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DA93210">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_Toc22957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渗漏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_Toc22957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D6EC3F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_Toc4825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排水、泄洪构筑物破坏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_Toc4825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C32F33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_Toc1016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3.2.5</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调洪库容不足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B0D7A56">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_Toc20582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3.2.6</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裂缝</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_Toc20582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8737AFC">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_Toc27308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3.2.7</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淹溺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_Toc27308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68893B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_Toc16476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3.2.8</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高处坠落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_Toc16476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BCEAA3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_Toc10291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3.2.9</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库区山体滑坡、塌方和泥石流</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_Toc10291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663D42B">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_Toc29353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3.2.10</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不良环境因素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_Toc29353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84DF320">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_Toc5960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3.2.11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其他因素造成的病害</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_Toc5960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96F9ADF">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_Toc16275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重大危险源辨识与重大生产安全事故隐患识别</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_Toc16275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1D3E98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_Toc23979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危险、有害因素分析结果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_Toc23979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7B606C6">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_Toc29225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3.4.1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危险、有害因素产生的原因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_Toc29225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FF732EB">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_Toc3410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3.4.2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危险、有害因素分析结果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_Toc3410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42D9D09">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_Toc799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4. 安全评价单元划分和选择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DAEE2D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_Toc6223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4.1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评价单元划分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_Toc6223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D44CED9">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_Toc20394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4.2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评价方法选择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_Toc20394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7445505">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_Toc29894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 安全评价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_Toc29894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C162FC9">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_Toc21528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综合安全管理单元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_Toc21528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50333F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_Toc31139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安全检查表评价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_Toc31139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41B8DD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_Toc28718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5.1.2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评价单元小结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_Toc28718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EA0169A">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_Toc499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尾矿坝体单元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CED3E63">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_Toc11171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5.2.1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安全检查表评价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_Toc11171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68AD98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_Toc5129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5.2.2 尾矿坝稳定性分析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_Toc5129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3FDA46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_Toc25380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5.2.3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评价单元小结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_Toc25380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624D46F">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_Toc29404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防排洪系统单元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_Toc29404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88D338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_Toc19143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eastAsia="zh-CN"/>
        </w:rPr>
        <w:t>5.3.1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安全检查表评价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_Toc19143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F29EA4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_Toc29504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5.3.2 尾矿库调洪演算</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_Toc29504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BA5461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_Toc22749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5.3.3 评价单元小结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_Toc22749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88FC8F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_Toc31711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5.4 安全监测设施单元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_Toc31711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A42EB7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_Toc1148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5.4.1 安全检查法评价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B5AF0FA">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_Toc3626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5.5 库区环境单元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_Toc3626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2AED5B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_Toc23871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5.5.1 安全检查表评价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_Toc23871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25468DF">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_Toc26516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5.5.2 评价单元小结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_Toc26516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A955FA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_Toc28165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5.6 辅助设施单元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_Toc28165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D47CD60">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_Toc1490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5.6.1 安全检查法评价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_Toc1490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52DAEC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_Toc10941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5.7 综合安全评价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_Toc10941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D9BD1F2">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_Toc28152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5.7.1 概述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_Toc28152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B7D03BA">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_Toc27008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5.7.2 评价标准说明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_Toc27008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5C990F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_Toc21933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5.7.3 尾矿库综合评分表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_Toc21933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86D3552">
      <w:pPr>
        <w:pStyle w:val="1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_Toc10631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5.7.4 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_Toc10631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F396961">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_Toc1739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 安全对策措施建议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ED3B33A">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_Toc16060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6.1 安全管理对策措施建议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_Toc16060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F19EF41">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_Toc28413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6.2 安全技术对策措施建议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_Toc28413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6C06B7C">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_Toc15158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44"/>
          <w:szCs w:val="24"/>
          <w:lang w:val="en-US" w:eastAsia="zh-CN" w:bidi="ar-SA"/>
        </w:rPr>
        <w:t>7. 安全评价结论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_Toc15158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CEAF358">
      <w:pPr>
        <w:pStyle w:val="15"/>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_Toc13898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44"/>
          <w:szCs w:val="24"/>
          <w:lang w:val="en-US" w:eastAsia="zh-CN" w:bidi="ar-SA"/>
        </w:rPr>
        <w:t>8. 附图附件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_Toc13898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7511E9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_Toc19011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8.1 附图</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_Toc19011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61ECF6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_Toc20842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kern w:val="2"/>
          <w:szCs w:val="24"/>
          <w:lang w:val="en-US" w:eastAsia="zh-CN" w:bidi="ar-SA"/>
        </w:rPr>
        <w:t>8.2 附件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_Toc20842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08ADF29">
      <w:pPr>
        <w:keepNext w:val="0"/>
        <w:keepLines w:val="0"/>
        <w:pageBreakBefore w:val="0"/>
        <w:widowControl w:val="0"/>
        <w:kinsoku/>
        <w:wordWrap/>
        <w:overflowPunct/>
        <w:topLinePunct w:val="0"/>
        <w:autoSpaceDE/>
        <w:autoSpaceDN/>
        <w:bidi w:val="0"/>
        <w:adjustRightInd/>
        <w:snapToGrid/>
        <w:spacing w:line="300" w:lineRule="auto"/>
        <w:textAlignment w:val="auto"/>
        <w:rPr>
          <w:color w:val="auto"/>
        </w:rPr>
      </w:pPr>
      <w:r>
        <w:rPr>
          <w:rFonts w:hint="default" w:ascii="Times New Roman" w:hAnsi="Times New Roman" w:eastAsia="宋体" w:cs="Times New Roman"/>
          <w:color w:val="auto"/>
        </w:rPr>
        <w:fldChar w:fldCharType="end"/>
      </w:r>
      <w:bookmarkStart w:id="551" w:name="_GoBack"/>
      <w:bookmarkEnd w:id="551"/>
    </w:p>
    <w:p w14:paraId="647FC42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color w:val="auto"/>
        </w:rPr>
      </w:pPr>
      <w:r>
        <w:rPr>
          <w:color w:val="auto"/>
        </w:rPr>
        <w:br w:type="page"/>
      </w:r>
    </w:p>
    <w:p w14:paraId="5A58A2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sectPr>
          <w:headerReference r:id="rId5" w:type="default"/>
          <w:footerReference r:id="rId6" w:type="default"/>
          <w:pgSz w:w="11906" w:h="16839"/>
          <w:pgMar w:top="1417" w:right="1417" w:bottom="1417" w:left="1417" w:header="850" w:footer="992" w:gutter="0"/>
          <w:pgNumType w:fmt="upperRoman" w:start="1"/>
          <w:cols w:space="425" w:num="1"/>
          <w:rtlGutter w:val="0"/>
          <w:docGrid w:linePitch="312" w:charSpace="0"/>
        </w:sectPr>
      </w:pPr>
    </w:p>
    <w:p w14:paraId="764A847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江西省宜丰万国矿业有限公司</w:t>
      </w:r>
    </w:p>
    <w:p w14:paraId="3690B80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宜丰新庄铜铅锌矿尾矿库</w:t>
      </w:r>
    </w:p>
    <w:p w14:paraId="0924687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安全现状评价报告</w:t>
      </w:r>
    </w:p>
    <w:p w14:paraId="456666A9">
      <w:pPr>
        <w:pStyle w:val="2"/>
        <w:numPr>
          <w:ilvl w:val="0"/>
          <w:numId w:val="1"/>
        </w:numPr>
        <w:bidi w:val="0"/>
        <w:ind w:left="0" w:leftChars="0" w:firstLine="0" w:firstLineChars="0"/>
        <w:rPr>
          <w:rFonts w:hint="eastAsia"/>
          <w:color w:val="auto"/>
        </w:rPr>
      </w:pPr>
      <w:bookmarkStart w:id="0" w:name="_Toc4742"/>
      <w:bookmarkStart w:id="1" w:name="_Toc17873"/>
      <w:bookmarkStart w:id="2" w:name="_Toc57620327"/>
      <w:bookmarkStart w:id="3" w:name="_Toc15982"/>
      <w:bookmarkStart w:id="4" w:name="_Toc3451"/>
      <w:bookmarkStart w:id="5" w:name="_Toc21449"/>
      <w:bookmarkStart w:id="6" w:name="_Toc18615"/>
      <w:r>
        <w:rPr>
          <w:rFonts w:hint="eastAsia"/>
          <w:color w:val="auto"/>
        </w:rPr>
        <w:t>概述</w:t>
      </w:r>
      <w:bookmarkEnd w:id="0"/>
      <w:bookmarkEnd w:id="1"/>
      <w:bookmarkEnd w:id="2"/>
      <w:bookmarkEnd w:id="3"/>
      <w:bookmarkEnd w:id="4"/>
      <w:bookmarkEnd w:id="5"/>
      <w:bookmarkEnd w:id="6"/>
    </w:p>
    <w:p w14:paraId="2A02EB2B">
      <w:pPr>
        <w:pStyle w:val="3"/>
        <w:bidi w:val="0"/>
        <w:rPr>
          <w:rFonts w:hint="eastAsia"/>
          <w:color w:val="auto"/>
        </w:rPr>
      </w:pPr>
      <w:bookmarkStart w:id="7" w:name="_Toc29807"/>
      <w:bookmarkStart w:id="8" w:name="_Toc21858"/>
      <w:bookmarkStart w:id="9" w:name="_Toc21198"/>
      <w:bookmarkStart w:id="10" w:name="_Toc13613"/>
      <w:bookmarkStart w:id="11" w:name="_Toc5933"/>
      <w:r>
        <w:rPr>
          <w:rFonts w:hint="eastAsia"/>
          <w:color w:val="auto"/>
        </w:rPr>
        <w:t>1.1</w:t>
      </w:r>
      <w:r>
        <w:rPr>
          <w:rFonts w:hint="eastAsia"/>
          <w:color w:val="auto"/>
          <w:lang w:val="en-US" w:eastAsia="zh-CN"/>
        </w:rPr>
        <w:t xml:space="preserve"> </w:t>
      </w:r>
      <w:r>
        <w:rPr>
          <w:rFonts w:hint="eastAsia"/>
          <w:color w:val="auto"/>
        </w:rPr>
        <w:t>评价目的和原则</w:t>
      </w:r>
      <w:bookmarkEnd w:id="7"/>
      <w:bookmarkEnd w:id="8"/>
      <w:bookmarkEnd w:id="9"/>
      <w:bookmarkEnd w:id="10"/>
      <w:bookmarkEnd w:id="11"/>
    </w:p>
    <w:p w14:paraId="13CC5B72">
      <w:pPr>
        <w:pStyle w:val="4"/>
        <w:bidi w:val="0"/>
        <w:rPr>
          <w:rFonts w:hint="eastAsia"/>
          <w:color w:val="auto"/>
        </w:rPr>
      </w:pPr>
      <w:bookmarkStart w:id="12" w:name="_Toc3150"/>
      <w:bookmarkStart w:id="13" w:name="_Toc15354"/>
      <w:bookmarkStart w:id="14" w:name="_Toc20054"/>
      <w:bookmarkStart w:id="15" w:name="_Toc9539"/>
      <w:bookmarkStart w:id="16" w:name="_Toc14201"/>
      <w:r>
        <w:rPr>
          <w:rFonts w:hint="eastAsia"/>
          <w:color w:val="auto"/>
        </w:rPr>
        <w:t>1.1.1</w:t>
      </w:r>
      <w:r>
        <w:rPr>
          <w:rFonts w:hint="eastAsia"/>
          <w:color w:val="auto"/>
          <w:lang w:val="en-US" w:eastAsia="zh-CN"/>
        </w:rPr>
        <w:t xml:space="preserve"> </w:t>
      </w:r>
      <w:r>
        <w:rPr>
          <w:rFonts w:hint="eastAsia"/>
          <w:color w:val="auto"/>
        </w:rPr>
        <w:t>评价目的</w:t>
      </w:r>
      <w:bookmarkEnd w:id="12"/>
      <w:bookmarkEnd w:id="13"/>
      <w:bookmarkEnd w:id="14"/>
      <w:bookmarkEnd w:id="15"/>
      <w:bookmarkEnd w:id="16"/>
    </w:p>
    <w:p w14:paraId="291CF48C">
      <w:pPr>
        <w:rPr>
          <w:rFonts w:hint="eastAsia"/>
          <w:color w:val="auto"/>
        </w:rPr>
      </w:pPr>
      <w:r>
        <w:rPr>
          <w:rFonts w:hint="eastAsia"/>
          <w:color w:val="auto"/>
        </w:rPr>
        <w:t>为了贯彻“安全第一、预防为主、综合治理”的方针，查找、分析和预测项目存在的危险、有害因素及危险、危害程度，提出合理可行和安全对策措施，指导危险源监控和事故预防，以达到最低事故率，最少损失和最优的安全投资效益，确保建设项目在安全设施方面符合国家的有关法律、法规、规定和标准，同时为建设项目《安全生产许可证》延期换证、日常安全监管提供科学依据。</w:t>
      </w:r>
    </w:p>
    <w:p w14:paraId="507D49EA">
      <w:pPr>
        <w:pStyle w:val="4"/>
        <w:bidi w:val="0"/>
        <w:rPr>
          <w:rFonts w:hint="eastAsia"/>
          <w:color w:val="auto"/>
        </w:rPr>
      </w:pPr>
      <w:bookmarkStart w:id="17" w:name="_Toc1932"/>
      <w:bookmarkStart w:id="18" w:name="_Toc10853"/>
      <w:bookmarkStart w:id="19" w:name="_Toc16810"/>
      <w:bookmarkStart w:id="20" w:name="_Toc1972"/>
      <w:bookmarkStart w:id="21" w:name="_Toc11409"/>
      <w:r>
        <w:rPr>
          <w:rFonts w:hint="eastAsia"/>
          <w:color w:val="auto"/>
        </w:rPr>
        <w:t>1.1.2</w:t>
      </w:r>
      <w:r>
        <w:rPr>
          <w:rFonts w:hint="eastAsia"/>
          <w:color w:val="auto"/>
          <w:lang w:val="en-US" w:eastAsia="zh-CN"/>
        </w:rPr>
        <w:t xml:space="preserve"> </w:t>
      </w:r>
      <w:r>
        <w:rPr>
          <w:rFonts w:hint="eastAsia"/>
          <w:color w:val="auto"/>
        </w:rPr>
        <w:t>评价原则</w:t>
      </w:r>
      <w:bookmarkEnd w:id="17"/>
      <w:bookmarkEnd w:id="18"/>
      <w:bookmarkEnd w:id="19"/>
      <w:bookmarkEnd w:id="20"/>
      <w:bookmarkEnd w:id="21"/>
    </w:p>
    <w:p w14:paraId="7183E0E9">
      <w:pPr>
        <w:rPr>
          <w:rFonts w:hint="eastAsia"/>
          <w:color w:val="auto"/>
        </w:rPr>
      </w:pPr>
      <w:r>
        <w:rPr>
          <w:rFonts w:hint="eastAsia"/>
          <w:color w:val="auto"/>
        </w:rPr>
        <w:t>突出重点，兼顾全面，条理清楚，数据准确完整，取值合理，整改意见具有可操作性，评价结论科学、客观、公正。</w:t>
      </w:r>
    </w:p>
    <w:p w14:paraId="2238BFB5">
      <w:pPr>
        <w:keepNext/>
        <w:keepLines/>
        <w:widowControl w:val="0"/>
        <w:bidi w:val="0"/>
        <w:spacing w:line="360" w:lineRule="auto"/>
        <w:ind w:left="280" w:leftChars="100" w:firstLine="0" w:firstLineChars="0"/>
        <w:jc w:val="both"/>
        <w:outlineLvl w:val="1"/>
        <w:rPr>
          <w:rFonts w:hint="eastAsia" w:ascii="Times New Roman" w:hAnsi="Times New Roman" w:eastAsia="黑体" w:cs="Times New Roman"/>
          <w:b/>
          <w:bCs/>
          <w:color w:val="auto"/>
          <w:kern w:val="2"/>
          <w:sz w:val="30"/>
          <w:szCs w:val="32"/>
          <w:lang w:val="en-US" w:eastAsia="zh-CN" w:bidi="ar-SA"/>
        </w:rPr>
      </w:pPr>
      <w:bookmarkStart w:id="22" w:name="_Toc28044"/>
      <w:bookmarkStart w:id="23" w:name="_Toc31250"/>
      <w:bookmarkStart w:id="24" w:name="_Toc11816"/>
      <w:bookmarkStart w:id="25" w:name="_Toc25034"/>
      <w:bookmarkStart w:id="26" w:name="_Toc24541"/>
      <w:bookmarkStart w:id="27" w:name="_Toc6403"/>
      <w:bookmarkStart w:id="28" w:name="_Toc7922"/>
      <w:r>
        <w:rPr>
          <w:rFonts w:hint="eastAsia" w:ascii="Times New Roman" w:hAnsi="Times New Roman" w:eastAsia="黑体" w:cs="Times New Roman"/>
          <w:b/>
          <w:bCs/>
          <w:color w:val="auto"/>
          <w:kern w:val="2"/>
          <w:sz w:val="30"/>
          <w:szCs w:val="32"/>
          <w:lang w:val="en-US" w:eastAsia="zh-CN" w:bidi="ar-SA"/>
        </w:rPr>
        <w:t>1.2 评价依据</w:t>
      </w:r>
      <w:bookmarkEnd w:id="22"/>
      <w:bookmarkEnd w:id="23"/>
      <w:bookmarkEnd w:id="24"/>
      <w:bookmarkEnd w:id="25"/>
      <w:bookmarkEnd w:id="26"/>
      <w:bookmarkEnd w:id="27"/>
    </w:p>
    <w:p w14:paraId="2BAF2770">
      <w:pPr>
        <w:keepNext/>
        <w:keepLines/>
        <w:widowControl w:val="0"/>
        <w:bidi w:val="0"/>
        <w:spacing w:line="360" w:lineRule="auto"/>
        <w:ind w:left="560" w:leftChars="200" w:firstLine="0" w:firstLineChars="0"/>
        <w:jc w:val="both"/>
        <w:outlineLvl w:val="2"/>
        <w:rPr>
          <w:rFonts w:hint="eastAsia" w:ascii="Times New Roman" w:hAnsi="Times New Roman" w:eastAsia="黑体" w:cs="Times New Roman"/>
          <w:b/>
          <w:bCs/>
          <w:color w:val="auto"/>
          <w:kern w:val="2"/>
          <w:sz w:val="28"/>
          <w:szCs w:val="32"/>
          <w:lang w:val="en-US" w:eastAsia="zh-CN" w:bidi="ar-SA"/>
        </w:rPr>
      </w:pPr>
      <w:bookmarkStart w:id="29" w:name="_Toc19329"/>
      <w:bookmarkStart w:id="30" w:name="_Toc5356"/>
      <w:bookmarkStart w:id="31" w:name="_Toc15285"/>
      <w:bookmarkStart w:id="32" w:name="_Toc10498"/>
      <w:bookmarkStart w:id="33" w:name="_Toc12157"/>
      <w:bookmarkStart w:id="34" w:name="_Toc15768"/>
      <w:r>
        <w:rPr>
          <w:rFonts w:hint="eastAsia" w:ascii="Times New Roman" w:hAnsi="Times New Roman" w:eastAsia="黑体" w:cs="Times New Roman"/>
          <w:b/>
          <w:bCs/>
          <w:color w:val="auto"/>
          <w:kern w:val="2"/>
          <w:sz w:val="28"/>
          <w:szCs w:val="32"/>
          <w:lang w:val="en-US" w:eastAsia="zh-CN" w:bidi="ar-SA"/>
        </w:rPr>
        <w:t>1.2.1 法律、法规</w:t>
      </w:r>
      <w:bookmarkEnd w:id="29"/>
      <w:bookmarkEnd w:id="30"/>
      <w:bookmarkEnd w:id="31"/>
      <w:bookmarkEnd w:id="32"/>
      <w:bookmarkEnd w:id="33"/>
      <w:bookmarkEnd w:id="34"/>
    </w:p>
    <w:p w14:paraId="63585685">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 法律</w:t>
      </w:r>
    </w:p>
    <w:p w14:paraId="655AC4DD">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《中华人民共和国矿山安全法》（主席令第65号，2009年8月27号修正生效）</w:t>
      </w:r>
    </w:p>
    <w:p w14:paraId="5C8A52B7">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《中华人民共和国水土保持法》（主席令第39号，2011年3月1日修正生效）</w:t>
      </w:r>
    </w:p>
    <w:p w14:paraId="6208B0C7">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《中华人民共和国环境保护法》（主席令第9号，2015年1月1日修订生效）</w:t>
      </w:r>
    </w:p>
    <w:p w14:paraId="41B29DD8">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《中华人民共和国劳动法》（主席令第24号，2018年12月29日修正生效）</w:t>
      </w:r>
    </w:p>
    <w:p w14:paraId="5DEC88E2">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《中华人民共和国职业病防治法》（主席令第52号，2018年12月29日修正生效）</w:t>
      </w:r>
    </w:p>
    <w:p w14:paraId="41487B3C">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《中华人民共和国固体废物污染环境防治法》（主席令第43号，2020年9月1日修正生效）</w:t>
      </w:r>
    </w:p>
    <w:p w14:paraId="3DE6B77F">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《中华人民共和国消防法》（主席令第81号，2021年4月29日修正生效）</w:t>
      </w:r>
    </w:p>
    <w:p w14:paraId="076BA350">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《中华人民共和国安全生产法》（主席令第88号，2021年9月1日修正生效）</w:t>
      </w:r>
    </w:p>
    <w:p w14:paraId="2BB05696">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《中华人民共和国突发</w:t>
      </w:r>
      <w:r>
        <w:rPr>
          <w:rFonts w:hint="eastAsia" w:cs="Times New Roman"/>
          <w:color w:val="auto"/>
          <w:lang w:val="en-US" w:eastAsia="zh-CN"/>
        </w:rPr>
        <w:t>事件</w:t>
      </w:r>
      <w:r>
        <w:rPr>
          <w:rFonts w:hint="default" w:ascii="Times New Roman" w:hAnsi="Times New Roman" w:eastAsia="宋体" w:cs="Times New Roman"/>
          <w:color w:val="auto"/>
          <w:lang w:val="en-US" w:eastAsia="zh-CN"/>
        </w:rPr>
        <w:t>应对法》（主席令第25号，2024年6月28日修订生效）</w:t>
      </w:r>
    </w:p>
    <w:p w14:paraId="09C0FCDA">
      <w:pPr>
        <w:ind w:firstLine="8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《中华人民共和国矿产资源法》（主席令第</w:t>
      </w:r>
      <w:r>
        <w:rPr>
          <w:rFonts w:hint="eastAsia" w:cs="Times New Roman"/>
          <w:color w:val="auto"/>
          <w:lang w:val="en-US" w:eastAsia="zh-CN"/>
        </w:rPr>
        <w:t>36</w:t>
      </w:r>
      <w:r>
        <w:rPr>
          <w:rFonts w:hint="default" w:ascii="Times New Roman" w:hAnsi="Times New Roman" w:eastAsia="宋体" w:cs="Times New Roman"/>
          <w:color w:val="auto"/>
          <w:lang w:val="en-US" w:eastAsia="zh-CN"/>
        </w:rPr>
        <w:t>号，</w:t>
      </w:r>
      <w:r>
        <w:rPr>
          <w:rFonts w:hint="eastAsia" w:cs="Times New Roman"/>
          <w:color w:val="auto"/>
          <w:lang w:val="en-US" w:eastAsia="zh-CN"/>
        </w:rPr>
        <w:t>自</w:t>
      </w:r>
      <w:r>
        <w:rPr>
          <w:rFonts w:hint="default" w:ascii="Times New Roman" w:hAnsi="Times New Roman" w:eastAsia="宋体" w:cs="Times New Roman"/>
          <w:color w:val="auto"/>
          <w:lang w:val="en-US" w:eastAsia="zh-CN"/>
        </w:rPr>
        <w:t>202</w:t>
      </w:r>
      <w:r>
        <w:rPr>
          <w:rFonts w:hint="eastAsia" w:cs="Times New Roman"/>
          <w:color w:val="auto"/>
          <w:lang w:val="en-US" w:eastAsia="zh-CN"/>
        </w:rPr>
        <w:t>5</w:t>
      </w:r>
      <w:r>
        <w:rPr>
          <w:rFonts w:hint="default" w:ascii="Times New Roman" w:hAnsi="Times New Roman" w:eastAsia="宋体" w:cs="Times New Roman"/>
          <w:color w:val="auto"/>
          <w:lang w:val="en-US" w:eastAsia="zh-CN"/>
        </w:rPr>
        <w:t>年</w:t>
      </w:r>
      <w:r>
        <w:rPr>
          <w:rFonts w:hint="eastAsia" w:cs="Times New Roman"/>
          <w:color w:val="auto"/>
          <w:lang w:val="en-US" w:eastAsia="zh-CN"/>
        </w:rPr>
        <w:t>7</w:t>
      </w:r>
      <w:r>
        <w:rPr>
          <w:rFonts w:hint="default" w:ascii="Times New Roman" w:hAnsi="Times New Roman" w:eastAsia="宋体" w:cs="Times New Roman"/>
          <w:color w:val="auto"/>
          <w:lang w:val="en-US" w:eastAsia="zh-CN"/>
        </w:rPr>
        <w:t>月</w:t>
      </w:r>
      <w:r>
        <w:rPr>
          <w:rFonts w:hint="eastAsia" w:cs="Times New Roman"/>
          <w:color w:val="auto"/>
          <w:lang w:val="en-US" w:eastAsia="zh-CN"/>
        </w:rPr>
        <w:t>7</w:t>
      </w:r>
      <w:r>
        <w:rPr>
          <w:rFonts w:hint="default" w:ascii="Times New Roman" w:hAnsi="Times New Roman" w:eastAsia="宋体" w:cs="Times New Roman"/>
          <w:color w:val="auto"/>
          <w:lang w:val="en-US" w:eastAsia="zh-CN"/>
        </w:rPr>
        <w:t>日</w:t>
      </w:r>
      <w:r>
        <w:rPr>
          <w:rFonts w:hint="eastAsia" w:cs="Times New Roman"/>
          <w:color w:val="auto"/>
          <w:lang w:val="en-US" w:eastAsia="zh-CN"/>
        </w:rPr>
        <w:t>起施行</w:t>
      </w:r>
      <w:r>
        <w:rPr>
          <w:rFonts w:hint="default" w:ascii="Times New Roman" w:hAnsi="Times New Roman" w:eastAsia="宋体" w:cs="Times New Roman"/>
          <w:color w:val="auto"/>
          <w:lang w:val="en-US" w:eastAsia="zh-CN"/>
        </w:rPr>
        <w:t>）</w:t>
      </w:r>
    </w:p>
    <w:p w14:paraId="76706765">
      <w:pPr>
        <w:bidi w:val="0"/>
        <w:ind w:firstLine="880"/>
        <w:rPr>
          <w:rFonts w:hint="default" w:ascii="Times New Roman" w:hAnsi="Times New Roman" w:eastAsia="宋体" w:cs="Times New Roman"/>
          <w:color w:val="auto"/>
          <w:lang w:val="en-US" w:eastAsia="zh-CN"/>
        </w:rPr>
      </w:pPr>
      <w:bookmarkStart w:id="35" w:name="_Toc26671"/>
      <w:r>
        <w:rPr>
          <w:rFonts w:hint="eastAsia" w:ascii="Times New Roman" w:hAnsi="Times New Roman" w:eastAsia="宋体" w:cs="Times New Roman"/>
          <w:color w:val="auto"/>
          <w:lang w:val="en-US" w:eastAsia="zh-CN"/>
        </w:rPr>
        <w:t>2. 行政法规</w:t>
      </w:r>
    </w:p>
    <w:p w14:paraId="36D13FF8">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《建设工程安全生产管理条例》（国务院令第393号，自2004年2月1日起施行）</w:t>
      </w:r>
    </w:p>
    <w:p w14:paraId="2FBBEC8B">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《地质灾害防治条例》（国务院令第394号，2004年3月1日起施行）</w:t>
      </w:r>
    </w:p>
    <w:p w14:paraId="2DF22E2E">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《生产安全事故报告和调查处理条例》（国务院令第493号，自2007年6月1日起施行）</w:t>
      </w:r>
    </w:p>
    <w:p w14:paraId="4C14A04A">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《工伤保险条例》（国务院令第586号，2011年1月1日修订生效）</w:t>
      </w:r>
    </w:p>
    <w:p w14:paraId="2A734B3E">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安全生产许可证条例</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国务院令第397号，</w:t>
      </w:r>
      <w:r>
        <w:rPr>
          <w:rFonts w:hint="eastAsia" w:ascii="Times New Roman" w:hAnsi="Times New Roman" w:eastAsia="宋体" w:cs="Times New Roman"/>
          <w:color w:val="auto"/>
        </w:rPr>
        <w:t>201</w:t>
      </w:r>
      <w:r>
        <w:rPr>
          <w:rFonts w:hint="eastAsia" w:ascii="Times New Roman" w:hAnsi="Times New Roman" w:eastAsia="宋体" w:cs="Times New Roman"/>
          <w:color w:val="auto"/>
          <w:lang w:val="en-US" w:eastAsia="zh-CN"/>
        </w:rPr>
        <w:t>4</w:t>
      </w:r>
      <w:r>
        <w:rPr>
          <w:rFonts w:hint="eastAsia" w:ascii="Times New Roman" w:hAnsi="Times New Roman" w:eastAsia="宋体" w:cs="Times New Roman"/>
          <w:color w:val="auto"/>
        </w:rPr>
        <w:t>年</w:t>
      </w:r>
      <w:r>
        <w:rPr>
          <w:rFonts w:hint="eastAsia" w:ascii="Times New Roman" w:hAnsi="Times New Roman" w:eastAsia="宋体" w:cs="Times New Roman"/>
          <w:color w:val="auto"/>
          <w:lang w:val="en-US" w:eastAsia="zh-CN"/>
        </w:rPr>
        <w:t>7</w:t>
      </w:r>
      <w:r>
        <w:rPr>
          <w:rFonts w:hint="eastAsia" w:ascii="Times New Roman" w:hAnsi="Times New Roman" w:eastAsia="宋体" w:cs="Times New Roman"/>
          <w:color w:val="auto"/>
        </w:rPr>
        <w:t>月</w:t>
      </w:r>
      <w:r>
        <w:rPr>
          <w:rFonts w:hint="eastAsia" w:ascii="Times New Roman" w:hAnsi="Times New Roman" w:eastAsia="宋体" w:cs="Times New Roman"/>
          <w:color w:val="auto"/>
          <w:lang w:val="en-US" w:eastAsia="zh-CN"/>
        </w:rPr>
        <w:t>29</w:t>
      </w:r>
      <w:r>
        <w:rPr>
          <w:rFonts w:hint="eastAsia" w:ascii="Times New Roman" w:hAnsi="Times New Roman" w:eastAsia="宋体" w:cs="Times New Roman"/>
          <w:color w:val="auto"/>
        </w:rPr>
        <w:t>日修订</w:t>
      </w:r>
      <w:r>
        <w:rPr>
          <w:rFonts w:hint="eastAsia" w:ascii="Times New Roman" w:hAnsi="Times New Roman" w:eastAsia="宋体" w:cs="Times New Roman"/>
          <w:color w:val="auto"/>
          <w:lang w:val="en-US" w:eastAsia="zh-CN"/>
        </w:rPr>
        <w:t>生效</w:t>
      </w:r>
      <w:r>
        <w:rPr>
          <w:rFonts w:hint="eastAsia" w:ascii="Times New Roman" w:hAnsi="Times New Roman" w:eastAsia="宋体" w:cs="Times New Roman"/>
          <w:color w:val="auto"/>
          <w:lang w:eastAsia="zh-CN"/>
        </w:rPr>
        <w:t>）</w:t>
      </w:r>
    </w:p>
    <w:p w14:paraId="74F80D83">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《建设项目环境保护管理条例》（国务院令第</w:t>
      </w:r>
      <w:r>
        <w:rPr>
          <w:rFonts w:hint="eastAsia" w:ascii="Times New Roman" w:hAnsi="Times New Roman" w:eastAsia="宋体" w:cs="Times New Roman"/>
          <w:color w:val="auto"/>
          <w:lang w:val="en-US" w:eastAsia="zh-CN"/>
        </w:rPr>
        <w:t>253</w:t>
      </w:r>
      <w:r>
        <w:rPr>
          <w:rFonts w:hint="eastAsia" w:ascii="Times New Roman" w:hAnsi="Times New Roman" w:eastAsia="宋体" w:cs="Times New Roman"/>
          <w:color w:val="auto"/>
        </w:rPr>
        <w:t>号，201</w:t>
      </w:r>
      <w:r>
        <w:rPr>
          <w:rFonts w:hint="eastAsia" w:ascii="Times New Roman" w:hAnsi="Times New Roman" w:eastAsia="宋体" w:cs="Times New Roman"/>
          <w:color w:val="auto"/>
          <w:lang w:val="en-US" w:eastAsia="zh-CN"/>
        </w:rPr>
        <w:t>7</w:t>
      </w:r>
      <w:r>
        <w:rPr>
          <w:rFonts w:hint="eastAsia" w:ascii="Times New Roman" w:hAnsi="Times New Roman" w:eastAsia="宋体" w:cs="Times New Roman"/>
          <w:color w:val="auto"/>
        </w:rPr>
        <w:t>年</w:t>
      </w:r>
      <w:r>
        <w:rPr>
          <w:rFonts w:hint="eastAsia" w:ascii="Times New Roman" w:hAnsi="Times New Roman" w:eastAsia="宋体" w:cs="Times New Roman"/>
          <w:color w:val="auto"/>
          <w:lang w:val="en-US" w:eastAsia="zh-CN"/>
        </w:rPr>
        <w:t>7</w:t>
      </w:r>
      <w:r>
        <w:rPr>
          <w:rFonts w:hint="eastAsia" w:ascii="Times New Roman" w:hAnsi="Times New Roman" w:eastAsia="宋体" w:cs="Times New Roman"/>
          <w:color w:val="auto"/>
        </w:rPr>
        <w:t>月</w:t>
      </w:r>
      <w:r>
        <w:rPr>
          <w:rFonts w:hint="eastAsia" w:ascii="Times New Roman" w:hAnsi="Times New Roman" w:eastAsia="宋体" w:cs="Times New Roman"/>
          <w:color w:val="auto"/>
          <w:lang w:val="en-US" w:eastAsia="zh-CN"/>
        </w:rPr>
        <w:t>16</w:t>
      </w:r>
      <w:r>
        <w:rPr>
          <w:rFonts w:hint="eastAsia" w:ascii="Times New Roman" w:hAnsi="Times New Roman" w:eastAsia="宋体" w:cs="Times New Roman"/>
          <w:color w:val="auto"/>
        </w:rPr>
        <w:t>日修订</w:t>
      </w:r>
      <w:r>
        <w:rPr>
          <w:rFonts w:hint="eastAsia" w:ascii="Times New Roman" w:hAnsi="Times New Roman" w:eastAsia="宋体" w:cs="Times New Roman"/>
          <w:color w:val="auto"/>
          <w:lang w:val="en-US" w:eastAsia="zh-CN"/>
        </w:rPr>
        <w:t>生效</w:t>
      </w:r>
      <w:r>
        <w:rPr>
          <w:rFonts w:hint="eastAsia" w:ascii="Times New Roman" w:hAnsi="Times New Roman" w:eastAsia="宋体" w:cs="Times New Roman"/>
          <w:color w:val="auto"/>
        </w:rPr>
        <w:t>）</w:t>
      </w:r>
    </w:p>
    <w:p w14:paraId="675D95F8">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《建设工程勘察设计管理条例》（国务院令第293号，2017年10月23日修订生效）</w:t>
      </w:r>
    </w:p>
    <w:p w14:paraId="273EFC1F">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《生产安全事故应急条例》（国务院令第708号，</w:t>
      </w:r>
      <w:r>
        <w:rPr>
          <w:rFonts w:hint="eastAsia" w:ascii="Times New Roman" w:hAnsi="Times New Roman" w:eastAsia="宋体" w:cs="Times New Roman"/>
          <w:color w:val="auto"/>
          <w:lang w:val="en-US" w:eastAsia="zh-CN"/>
        </w:rPr>
        <w:t>自</w:t>
      </w:r>
      <w:r>
        <w:rPr>
          <w:rFonts w:hint="eastAsia" w:ascii="Times New Roman" w:hAnsi="Times New Roman" w:eastAsia="宋体" w:cs="Times New Roman"/>
          <w:color w:val="auto"/>
        </w:rPr>
        <w:t>2019年4月1日起施行）</w:t>
      </w:r>
    </w:p>
    <w:p w14:paraId="4D5B7187">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《建设工程质量管理条例》（国务院令第279号，2019年4月23日修订生效）</w:t>
      </w:r>
    </w:p>
    <w:p w14:paraId="1B4B0413">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3. 地方性法规</w:t>
      </w:r>
    </w:p>
    <w:p w14:paraId="37C63F28">
      <w:pPr>
        <w:bidi w:val="0"/>
        <w:ind w:firstLine="880"/>
        <w:rPr>
          <w:rFonts w:hint="eastAsia" w:ascii="Times New Roman" w:hAnsi="Times New Roman" w:eastAsia="宋体" w:cs="Times New Roman"/>
          <w:color w:val="auto"/>
        </w:rPr>
      </w:pPr>
      <w:r>
        <w:rPr>
          <w:rFonts w:hint="eastAsia" w:ascii="Times New Roman" w:hAnsi="Times New Roman" w:eastAsia="宋体" w:cs="Times New Roman"/>
          <w:color w:val="auto"/>
        </w:rPr>
        <w:t>《江西省消防条例》（2020年11月25日江西省第十三届人民代表大会常务委员会第二十五次会议第六次修正，自2010年11月9日起施行）</w:t>
      </w:r>
    </w:p>
    <w:p w14:paraId="199321A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《江西省安全生产条例》（江西省第十届人民代表大会常务委员会公告第95号，2023年7月26日江西省第十四届人民代表大会常务委员会第三次会议第二次修订，</w:t>
      </w:r>
      <w:r>
        <w:rPr>
          <w:rFonts w:hint="eastAsia" w:ascii="Times New Roman" w:hAnsi="Times New Roman" w:eastAsia="宋体" w:cs="Times New Roman"/>
          <w:color w:val="auto"/>
        </w:rPr>
        <w:t>自</w:t>
      </w:r>
      <w:r>
        <w:rPr>
          <w:rFonts w:hint="eastAsia" w:ascii="Times New Roman" w:hAnsi="Times New Roman" w:eastAsia="宋体" w:cs="Times New Roman"/>
          <w:color w:val="auto"/>
          <w:lang w:val="en-US" w:eastAsia="zh-CN"/>
        </w:rPr>
        <w:t>2023年9月1日施行）</w:t>
      </w:r>
    </w:p>
    <w:p w14:paraId="2B5E6181">
      <w:pPr>
        <w:pStyle w:val="4"/>
        <w:bidi w:val="0"/>
        <w:rPr>
          <w:rFonts w:hint="eastAsia"/>
          <w:color w:val="auto"/>
          <w:lang w:val="en-US" w:eastAsia="zh-CN"/>
        </w:rPr>
      </w:pPr>
      <w:bookmarkStart w:id="36" w:name="_Toc11905"/>
      <w:bookmarkStart w:id="37" w:name="_Toc26038"/>
      <w:bookmarkStart w:id="38" w:name="_Toc15777"/>
      <w:bookmarkStart w:id="39" w:name="_Toc25211"/>
      <w:bookmarkStart w:id="40" w:name="_Toc22203"/>
      <w:bookmarkStart w:id="41" w:name="_Toc492"/>
      <w:bookmarkStart w:id="42" w:name="_Toc7870"/>
      <w:r>
        <w:rPr>
          <w:color w:val="auto"/>
        </w:rPr>
        <w:t>1.</w:t>
      </w:r>
      <w:r>
        <w:rPr>
          <w:rFonts w:hint="eastAsia"/>
          <w:color w:val="auto"/>
        </w:rPr>
        <w:t>2</w:t>
      </w:r>
      <w:r>
        <w:rPr>
          <w:color w:val="auto"/>
        </w:rPr>
        <w:t>.2</w:t>
      </w:r>
      <w:r>
        <w:rPr>
          <w:rFonts w:hint="eastAsia"/>
          <w:color w:val="auto"/>
          <w:lang w:val="en-US" w:eastAsia="zh-CN"/>
        </w:rPr>
        <w:t xml:space="preserve"> </w:t>
      </w:r>
      <w:r>
        <w:rPr>
          <w:color w:val="auto"/>
        </w:rPr>
        <w:t>规章、</w:t>
      </w:r>
      <w:bookmarkEnd w:id="36"/>
      <w:bookmarkEnd w:id="37"/>
      <w:r>
        <w:rPr>
          <w:rFonts w:hint="eastAsia"/>
          <w:color w:val="auto"/>
          <w:lang w:val="en-US" w:eastAsia="zh-CN"/>
        </w:rPr>
        <w:t>规定</w:t>
      </w:r>
      <w:bookmarkEnd w:id="38"/>
      <w:bookmarkEnd w:id="39"/>
      <w:bookmarkEnd w:id="40"/>
      <w:bookmarkEnd w:id="41"/>
      <w:bookmarkEnd w:id="42"/>
    </w:p>
    <w:p w14:paraId="6822D69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 部门规章、规定</w:t>
      </w:r>
    </w:p>
    <w:p w14:paraId="643712B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安全生产事</w:t>
      </w:r>
      <w:r>
        <w:rPr>
          <w:rFonts w:hint="eastAsia" w:ascii="Times New Roman" w:hAnsi="Times New Roman" w:eastAsia="宋体" w:cs="Times New Roman"/>
          <w:color w:val="auto"/>
          <w:lang w:val="en-US" w:eastAsia="zh-CN"/>
        </w:rPr>
        <w:t>故隐患排查治理暂行规定》（总局令第16号，2008年2月1日实施）</w:t>
      </w:r>
    </w:p>
    <w:p w14:paraId="24A856E1">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《生产安全事故信息报告和处置办法》（总局令第21号，2009年7月1日生效）</w:t>
      </w:r>
    </w:p>
    <w:p w14:paraId="63DE9EBE">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《建设项目安全设施“三同时”监督管理办法》（总局令第77号，2015年5月1日起施行）</w:t>
      </w:r>
    </w:p>
    <w:p w14:paraId="01A50046">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《非煤矿矿山企业安全生产许可证实施办法》（总局令第78号，2015年5月26日生效）</w:t>
      </w:r>
    </w:p>
    <w:p w14:paraId="556A2238">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《安全生产培训管理办法》（总局令第80号，2015年5月29日修改生效）</w:t>
      </w:r>
    </w:p>
    <w:p w14:paraId="213854E0">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《特种作业人员安全技术培训考核管理规定》（总局令80号，2015年7月1日修改生效）</w:t>
      </w:r>
    </w:p>
    <w:p w14:paraId="04C8B7D4">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《尾矿库安全监督管理规定》（总局令第78号，2015年7月1日修改生效）</w:t>
      </w:r>
    </w:p>
    <w:p w14:paraId="5BA82B0F">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《金属非金属矿山建设项目安全设施目录（试行）》（总局令第75号，2015年7月1日起施行）</w:t>
      </w:r>
    </w:p>
    <w:p w14:paraId="0EE077FB">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《生产安全事故应急预案管理办法》（应急部2号令，2019年9月1日施行）</w:t>
      </w:r>
    </w:p>
    <w:p w14:paraId="40B1D447">
      <w:pPr>
        <w:bidi w:val="0"/>
        <w:ind w:firstLine="880"/>
        <w:rPr>
          <w:rFonts w:hint="eastAsia" w:ascii="Times New Roman" w:hAnsi="Times New Roman" w:eastAsia="宋体" w:cs="Times New Roman"/>
          <w:color w:val="auto"/>
          <w:lang w:val="en-US" w:eastAsia="zh-CN"/>
        </w:rPr>
      </w:pPr>
      <w:r>
        <w:rPr>
          <w:rFonts w:hint="eastAsia" w:cs="Times New Roman"/>
          <w:color w:val="auto"/>
          <w:lang w:val="en-US" w:eastAsia="zh-CN"/>
        </w:rPr>
        <w:t>《矿山救援规程》（</w:t>
      </w:r>
      <w:r>
        <w:rPr>
          <w:rFonts w:hint="eastAsia" w:ascii="Times New Roman" w:hAnsi="Times New Roman" w:eastAsia="宋体" w:cs="Times New Roman"/>
          <w:color w:val="auto"/>
          <w:lang w:val="en-US" w:eastAsia="zh-CN"/>
        </w:rPr>
        <w:t>应急部</w:t>
      </w:r>
      <w:r>
        <w:rPr>
          <w:rFonts w:hint="eastAsia" w:cs="Times New Roman"/>
          <w:color w:val="auto"/>
          <w:lang w:val="en-US" w:eastAsia="zh-CN"/>
        </w:rPr>
        <w:t>16</w:t>
      </w:r>
      <w:r>
        <w:rPr>
          <w:rFonts w:hint="eastAsia" w:ascii="Times New Roman" w:hAnsi="Times New Roman" w:eastAsia="宋体" w:cs="Times New Roman"/>
          <w:color w:val="auto"/>
          <w:lang w:val="en-US" w:eastAsia="zh-CN"/>
        </w:rPr>
        <w:t>号令，自2024年7月1日起施行</w:t>
      </w:r>
      <w:r>
        <w:rPr>
          <w:rFonts w:hint="eastAsia" w:cs="Times New Roman"/>
          <w:color w:val="auto"/>
          <w:lang w:val="en-US" w:eastAsia="zh-CN"/>
        </w:rPr>
        <w:t>）</w:t>
      </w:r>
    </w:p>
    <w:p w14:paraId="6A145B84">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 地方政府规章、规定</w:t>
      </w:r>
    </w:p>
    <w:p w14:paraId="52DF774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《江西省非煤矿山企业安全生产许可证实施办法》（江西省人民政府令第189号，2011年3月1日修改生效）</w:t>
      </w:r>
    </w:p>
    <w:p w14:paraId="1D99AFE7">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《江西省生产安全事故隐患排查治理办法》（江西省人民政府令第238</w:t>
      </w:r>
    </w:p>
    <w:p w14:paraId="06D2D17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号，2021年6月9日省人民政府令第250号第一次修正）</w:t>
      </w:r>
    </w:p>
    <w:p w14:paraId="7E8A57CE">
      <w:pPr>
        <w:pStyle w:val="4"/>
        <w:bidi w:val="0"/>
        <w:rPr>
          <w:rFonts w:hint="eastAsia"/>
          <w:color w:val="auto"/>
          <w:lang w:val="en-US" w:eastAsia="zh-CN"/>
        </w:rPr>
      </w:pPr>
      <w:bookmarkStart w:id="43" w:name="_Toc26931"/>
      <w:bookmarkStart w:id="44" w:name="_Toc16058"/>
      <w:bookmarkStart w:id="45" w:name="_Toc17644"/>
      <w:bookmarkStart w:id="46" w:name="_Toc7783"/>
      <w:bookmarkStart w:id="47" w:name="_Toc9000"/>
      <w:r>
        <w:rPr>
          <w:rFonts w:hint="eastAsia"/>
          <w:color w:val="auto"/>
          <w:lang w:val="en-US" w:eastAsia="zh-CN"/>
        </w:rPr>
        <w:t>1.2.3 规范性文件</w:t>
      </w:r>
      <w:bookmarkEnd w:id="43"/>
      <w:bookmarkEnd w:id="44"/>
      <w:bookmarkEnd w:id="45"/>
      <w:bookmarkEnd w:id="46"/>
      <w:bookmarkEnd w:id="47"/>
    </w:p>
    <w:p w14:paraId="39909CFB">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 国家规范性文件</w:t>
      </w:r>
    </w:p>
    <w:p w14:paraId="4A905AE0">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《国务院关于进一步加强安全生产工作的决定》（国发〔2004〕2号，2004年1月9日施行）</w:t>
      </w:r>
    </w:p>
    <w:p w14:paraId="2FE42E4C">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《国家安全监管总局关于加强金属非金属矿山建设项目安全工作的通知》（安监总管一〔2010〕110号，2010年7月14日）</w:t>
      </w:r>
    </w:p>
    <w:p w14:paraId="26F7906A">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《国务院关于加强地质灾害防治工作的决定》（国发〔2011〕20号，2011年6月13日）</w:t>
      </w:r>
    </w:p>
    <w:p w14:paraId="62A36AD6">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《国务院安委办关于建立安全隐患排查治理体系的通知》（安委办〔2012〕一号，2012年1月5日）</w:t>
      </w:r>
    </w:p>
    <w:p w14:paraId="1D01FC4E">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《国家安全监管总局关于宣布失效一批安全生产文件的通知》（安监总办〔2016〕13号，2016年2月4日）</w:t>
      </w:r>
    </w:p>
    <w:p w14:paraId="2D572DB5">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《国家安全监管总局办公厅关于修改用人单位劳动防护用品管理规范的通知》（安监总厅安健〔2018〕3号，2018年1月15日）</w:t>
      </w:r>
    </w:p>
    <w:p w14:paraId="7FF45C42">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《关于印发防范化解尾矿库安全风险工作方案的通知》（应急〔2020〕15号，2020年2月21日）</w:t>
      </w:r>
    </w:p>
    <w:p w14:paraId="5DF05D0C">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《国家矿山安全监察局关于印发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val="en-US" w:eastAsia="zh-CN"/>
        </w:rPr>
        <w:t>关于加强非煤矿山安全生产工作的指导意见</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的通知》（矿安〔2022〕4号，2022年2月8日起施行）</w:t>
      </w:r>
    </w:p>
    <w:p w14:paraId="321E493A">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《国家矿山安全监察局综合司关于全面推进防范化解尾矿库安全风险重点工作的通知》（矿安综〔2022〕6号，2022年3月4日）</w:t>
      </w:r>
    </w:p>
    <w:p w14:paraId="75E4BC04">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《国家矿山安全监察局关于印发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val="en-US" w:eastAsia="zh-CN"/>
        </w:rPr>
        <w:t>金属非金属矿山重大事故隐患判定标准</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的通知》（矿安〔2022〕88号，2022年7月8日）</w:t>
      </w:r>
    </w:p>
    <w:p w14:paraId="5F9C98DC">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val="en-US" w:eastAsia="zh-CN"/>
        </w:rPr>
        <w:t>企业安全生产费用提取和使用管理办法</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的通知》（财资〔2022〕136号，2022年11月21日）</w:t>
      </w:r>
    </w:p>
    <w:p w14:paraId="62378079">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《中共中央办公厅国务院办公厅关于进一步加强矿山安全生产工作的意见》（厅字〔2023〕21号，2023年8月25日起施行）</w:t>
      </w:r>
    </w:p>
    <w:p w14:paraId="4A0054B3">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《国家矿山安全监察局关于印发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val="en-US" w:eastAsia="zh-CN"/>
        </w:rPr>
        <w:t>金属非金属矿山重大事故隐患判定标准补充情形</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的通知》（矿安〔2024〕41号，2024年4月23日）</w:t>
      </w:r>
    </w:p>
    <w:p w14:paraId="057E600C">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《国家矿山安全监察局关于进一步加强非煤矿山安全生产行政许可工作的通知》（矿安〔2024〕70号，2024年6月28日起施行）</w:t>
      </w:r>
    </w:p>
    <w:p w14:paraId="5A8928A8">
      <w:pPr>
        <w:ind w:firstLine="880"/>
        <w:rPr>
          <w:rFonts w:hint="default" w:ascii="Times New Roman" w:hAnsi="Times New Roman" w:eastAsia="宋体" w:cs="Times New Roman"/>
          <w:color w:val="auto"/>
          <w:lang w:val="en-US" w:eastAsia="zh-CN"/>
        </w:rPr>
      </w:pPr>
      <w:r>
        <w:rPr>
          <w:rFonts w:hint="eastAsia" w:cs="Times New Roman"/>
          <w:color w:val="auto"/>
          <w:lang w:val="en-US" w:eastAsia="zh-CN"/>
        </w:rPr>
        <w:t>《关于印发</w:t>
      </w:r>
      <w:r>
        <w:rPr>
          <w:rFonts w:hint="eastAsia" w:ascii="宋体" w:hAnsi="宋体" w:eastAsia="宋体" w:cs="宋体"/>
          <w:color w:val="auto"/>
          <w:lang w:val="en-US" w:eastAsia="zh-CN"/>
        </w:rPr>
        <w:t>&lt;</w:t>
      </w:r>
      <w:r>
        <w:rPr>
          <w:rFonts w:hint="eastAsia" w:cs="Times New Roman"/>
          <w:color w:val="auto"/>
          <w:lang w:val="en-US" w:eastAsia="zh-CN"/>
        </w:rPr>
        <w:t>安全生产责任保险实施办法</w:t>
      </w:r>
      <w:r>
        <w:rPr>
          <w:rFonts w:hint="eastAsia" w:ascii="宋体" w:hAnsi="宋体" w:eastAsia="宋体" w:cs="宋体"/>
          <w:color w:val="auto"/>
          <w:lang w:val="en-US" w:eastAsia="zh-CN"/>
        </w:rPr>
        <w:t>&gt;</w:t>
      </w:r>
      <w:r>
        <w:rPr>
          <w:rFonts w:hint="eastAsia" w:cs="Times New Roman"/>
          <w:color w:val="auto"/>
          <w:lang w:val="en-US" w:eastAsia="zh-CN"/>
        </w:rPr>
        <w:t>的通知》（应急</w:t>
      </w:r>
      <w:r>
        <w:rPr>
          <w:rFonts w:hint="eastAsia" w:ascii="Times New Roman" w:hAnsi="Times New Roman" w:eastAsia="宋体" w:cs="Times New Roman"/>
          <w:color w:val="auto"/>
          <w:lang w:val="en-US" w:eastAsia="zh-CN"/>
        </w:rPr>
        <w:t>〔</w:t>
      </w:r>
      <w:r>
        <w:rPr>
          <w:rFonts w:hint="eastAsia" w:cs="Times New Roman"/>
          <w:color w:val="auto"/>
          <w:lang w:val="en-US" w:eastAsia="zh-CN"/>
        </w:rPr>
        <w:t>2025</w:t>
      </w:r>
      <w:r>
        <w:rPr>
          <w:rFonts w:hint="eastAsia" w:ascii="Times New Roman" w:hAnsi="Times New Roman" w:eastAsia="宋体" w:cs="Times New Roman"/>
          <w:color w:val="auto"/>
          <w:lang w:val="en-US" w:eastAsia="zh-CN"/>
        </w:rPr>
        <w:t>〕</w:t>
      </w:r>
      <w:r>
        <w:rPr>
          <w:rFonts w:hint="eastAsia" w:cs="Times New Roman"/>
          <w:color w:val="auto"/>
          <w:lang w:val="en-US" w:eastAsia="zh-CN"/>
        </w:rPr>
        <w:t>27号，2025年3月29日</w:t>
      </w:r>
      <w:r>
        <w:rPr>
          <w:rFonts w:hint="eastAsia" w:ascii="Times New Roman" w:hAnsi="Times New Roman" w:eastAsia="宋体" w:cs="Times New Roman"/>
          <w:color w:val="auto"/>
          <w:lang w:val="en-US" w:eastAsia="zh-CN"/>
        </w:rPr>
        <w:t>起施行</w:t>
      </w:r>
      <w:r>
        <w:rPr>
          <w:rFonts w:hint="eastAsia" w:cs="Times New Roman"/>
          <w:color w:val="auto"/>
          <w:lang w:val="en-US" w:eastAsia="zh-CN"/>
        </w:rPr>
        <w:t>）</w:t>
      </w:r>
    </w:p>
    <w:p w14:paraId="497EA27F">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 地方性规范文件</w:t>
      </w:r>
    </w:p>
    <w:p w14:paraId="4B87C7C9">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《江西省人民政府关于进一步加强企业安全生产工作的实施意见》（赣府发〔2010〕32号，2010年10月8日）</w:t>
      </w:r>
    </w:p>
    <w:p w14:paraId="1CEAFD5D">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《江西省安监局关于印发江西省非煤矿山领域防范遏制重特大事故工作方案的通知》（赣安监管一字〔2016〕70号，2016年7月7日）</w:t>
      </w:r>
    </w:p>
    <w:p w14:paraId="741DC5A8">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《江西省安全生产委员会关于在全省高危行业领域实施安全生产责任保险制度的指导意见》（赣安〔2017〕22号，2017年10月26日）</w:t>
      </w:r>
    </w:p>
    <w:p w14:paraId="5F6B0634">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《关于印发江西省防范化解尾矿库安全风险工作实施方案的通知》（赣应急字〔2020〕64号，2020年4月30日）</w:t>
      </w:r>
    </w:p>
    <w:p w14:paraId="38EB9EC8">
      <w:pPr>
        <w:ind w:firstLine="880"/>
        <w:rPr>
          <w:rFonts w:hint="eastAsia" w:ascii="Times New Roman" w:hAnsi="Times New Roman" w:eastAsia="宋体" w:cs="Times New Roman"/>
          <w:color w:val="auto"/>
          <w:lang w:val="en-US" w:eastAsia="zh-CN"/>
        </w:rPr>
      </w:pPr>
      <w:r>
        <w:rPr>
          <w:rFonts w:hint="eastAsia" w:cs="Times New Roman"/>
          <w:color w:val="auto"/>
          <w:lang w:val="en-US" w:eastAsia="zh-CN"/>
        </w:rPr>
        <w:t>《江西省应急管理厅关于加强全省尾矿库安全生产风险监测预警系统运行管理的通知》（赣应急字〔2022〕18号，222年3月9日）</w:t>
      </w:r>
    </w:p>
    <w:p w14:paraId="1548B90B">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《江西省应急管理厅关于进一步加强非煤矿矿山建设项目安全设施设计审查和基建监督管理的通知》（赣应急字〔2023〕108号，2023年10月27日发布）</w:t>
      </w:r>
    </w:p>
    <w:p w14:paraId="112B1072">
      <w:pPr>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《江西省应急管理厅关于做好〈中共中央办公厅 国务院办公厅关于进步加强矿山安全生产工作的意见〉学习宣传贯彻工作的通知》（赣应急字〔2023〕16号，2023年11月17日）</w:t>
      </w:r>
    </w:p>
    <w:p w14:paraId="3D74CDE9">
      <w:pPr>
        <w:keepNext/>
        <w:keepLines/>
        <w:widowControl w:val="0"/>
        <w:bidi w:val="0"/>
        <w:spacing w:line="360" w:lineRule="auto"/>
        <w:ind w:left="560" w:leftChars="200" w:firstLine="0" w:firstLineChars="0"/>
        <w:jc w:val="both"/>
        <w:outlineLvl w:val="2"/>
        <w:rPr>
          <w:rFonts w:hint="default" w:ascii="Times New Roman" w:hAnsi="Times New Roman" w:eastAsia="黑体" w:cs="Times New Roman"/>
          <w:b/>
          <w:bCs/>
          <w:color w:val="auto"/>
          <w:kern w:val="2"/>
          <w:sz w:val="28"/>
          <w:szCs w:val="32"/>
          <w:lang w:val="en-US" w:eastAsia="zh-CN" w:bidi="ar-SA"/>
        </w:rPr>
      </w:pPr>
      <w:bookmarkStart w:id="48" w:name="_Toc15641"/>
      <w:bookmarkStart w:id="49" w:name="_Toc19836"/>
      <w:bookmarkStart w:id="50" w:name="_Toc24428"/>
      <w:bookmarkStart w:id="51" w:name="_Toc18387"/>
      <w:bookmarkStart w:id="52" w:name="_Toc26789"/>
      <w:bookmarkStart w:id="53" w:name="_Toc29041"/>
      <w:r>
        <w:rPr>
          <w:rFonts w:hint="eastAsia" w:ascii="Times New Roman" w:hAnsi="Times New Roman" w:eastAsia="黑体" w:cs="Times New Roman"/>
          <w:b/>
          <w:bCs/>
          <w:color w:val="auto"/>
          <w:kern w:val="2"/>
          <w:sz w:val="28"/>
          <w:szCs w:val="32"/>
          <w:lang w:val="en-US" w:eastAsia="zh-CN" w:bidi="ar-SA"/>
        </w:rPr>
        <w:t>1.2.4 标准、规范</w:t>
      </w:r>
      <w:bookmarkEnd w:id="48"/>
      <w:bookmarkEnd w:id="49"/>
      <w:bookmarkEnd w:id="50"/>
      <w:bookmarkEnd w:id="51"/>
      <w:bookmarkEnd w:id="52"/>
      <w:bookmarkEnd w:id="53"/>
    </w:p>
    <w:p w14:paraId="4D45B9F5">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《岩土工程勘察规范</w:t>
      </w:r>
      <w:r>
        <w:rPr>
          <w:rFonts w:hint="eastAsia" w:ascii="宋体" w:hAnsi="宋体" w:cs="宋体"/>
          <w:color w:val="auto"/>
          <w:lang w:val="en-US" w:eastAsia="zh-CN"/>
        </w:rPr>
        <w:t>（</w:t>
      </w:r>
      <w:r>
        <w:rPr>
          <w:rFonts w:hint="default" w:ascii="Times New Roman" w:hAnsi="Times New Roman" w:eastAsia="宋体" w:cs="Times New Roman"/>
          <w:color w:val="auto"/>
          <w:lang w:val="en-US" w:eastAsia="zh-CN"/>
        </w:rPr>
        <w:t>20</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lang w:val="en-US" w:eastAsia="zh-CN"/>
        </w:rPr>
        <w:t>9</w:t>
      </w:r>
      <w:r>
        <w:rPr>
          <w:rFonts w:hint="eastAsia" w:ascii="宋体" w:hAnsi="宋体" w:eastAsia="宋体" w:cs="宋体"/>
          <w:color w:val="auto"/>
          <w:lang w:val="en-US" w:eastAsia="zh-CN"/>
        </w:rPr>
        <w:t>版</w:t>
      </w:r>
      <w:r>
        <w:rPr>
          <w:rFonts w:hint="eastAsia" w:ascii="宋体" w:hAnsi="宋体" w:cs="宋体"/>
          <w:color w:val="auto"/>
          <w:lang w:val="en-US" w:eastAsia="zh-CN"/>
        </w:rPr>
        <w:t>）</w:t>
      </w:r>
      <w:r>
        <w:rPr>
          <w:rFonts w:hint="eastAsia" w:ascii="Times New Roman" w:hAnsi="Times New Roman" w:eastAsia="宋体" w:cs="Times New Roman"/>
          <w:color w:val="auto"/>
          <w:lang w:val="en-US" w:eastAsia="zh-CN"/>
        </w:rPr>
        <w:t>》                     GB50021-2001</w:t>
      </w:r>
    </w:p>
    <w:p w14:paraId="26CB40E5">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《建筑工程抗震设防分类标准》                     GB50223-2008</w:t>
      </w:r>
    </w:p>
    <w:p w14:paraId="345612A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《安全标志及其使用导则》                          GB2894-2008</w:t>
      </w:r>
    </w:p>
    <w:p w14:paraId="283157C7">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《安全色》                                        GB2893-2008</w:t>
      </w:r>
    </w:p>
    <w:p w14:paraId="3050FEE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《建筑地基基础设计规范》                         GB50007-2011</w:t>
      </w:r>
    </w:p>
    <w:p w14:paraId="3F09C87B">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《混凝土结构工程施工规范》                       GB50666-2011</w:t>
      </w:r>
    </w:p>
    <w:p w14:paraId="5D7099D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《工业企业总平面设计规范》                       GB50187-2012</w:t>
      </w:r>
    </w:p>
    <w:p w14:paraId="6AC3FB61">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《构筑物抗震设计规范》                           GB50191-2012</w:t>
      </w:r>
    </w:p>
    <w:p w14:paraId="7566D51D">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《尾矿设施设计规范》                             GB50863-2013</w:t>
      </w:r>
    </w:p>
    <w:p w14:paraId="423E58B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《防洪标准》                                     GB50201-2014</w:t>
      </w:r>
    </w:p>
    <w:p w14:paraId="461C704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《中国地震动参数区划图》                         GB18306-2015</w:t>
      </w:r>
    </w:p>
    <w:p w14:paraId="7B8CADAF">
      <w:pPr>
        <w:bidi w:val="0"/>
        <w:ind w:firstLine="880"/>
        <w:rPr>
          <w:rFonts w:hint="eastAsia" w:ascii="Times New Roman" w:hAnsi="Times New Roman" w:eastAsia="宋体" w:cs="Times New Roman"/>
          <w:color w:val="auto"/>
          <w:lang w:val="en-US" w:eastAsia="zh-CN"/>
        </w:rPr>
      </w:pPr>
      <w:r>
        <w:rPr>
          <w:rFonts w:hint="eastAsia" w:cs="Times New Roman"/>
          <w:color w:val="auto"/>
          <w:lang w:val="en-US" w:eastAsia="zh-CN"/>
        </w:rPr>
        <w:t>《尾矿库在线安全监测系统工程技术规范》</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 xml:space="preserve">  GB51108-2015</w:t>
      </w:r>
    </w:p>
    <w:p w14:paraId="675CFC8C">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《水工建筑物抗震设计标准》                       GB51247-2018</w:t>
      </w:r>
    </w:p>
    <w:p w14:paraId="59D48BED">
      <w:pPr>
        <w:bidi w:val="0"/>
        <w:ind w:firstLine="880"/>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《一般工业固体废物贮存和填埋污染控制标准》       GB18599-2020</w:t>
      </w:r>
    </w:p>
    <w:p w14:paraId="38E66260">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《尾矿库安全规程》                               GB39496-2020</w:t>
      </w:r>
    </w:p>
    <w:p w14:paraId="39C32C7E">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《矿山安全标志》                               GB/T14161-2008</w:t>
      </w:r>
    </w:p>
    <w:p w14:paraId="46904DF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《矿山安全术语》                               GB/T15259-2008</w:t>
      </w:r>
    </w:p>
    <w:p w14:paraId="5AC38B6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《建筑抗震设计标准（2024年版）》                 GB/T50011-2010</w:t>
      </w:r>
    </w:p>
    <w:p w14:paraId="44F8691F">
      <w:pPr>
        <w:bidi w:val="0"/>
        <w:ind w:firstLine="880"/>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《生产经营单位生产安全事故应急预案编制导则》   GB/T29639-2020</w:t>
      </w:r>
    </w:p>
    <w:p w14:paraId="207E9F7C">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《矿区水文地质工程地质勘查规范》               GB/T12719-2021</w:t>
      </w:r>
    </w:p>
    <w:p w14:paraId="5F1452B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《厂矿道路设计规范》                                 GBJ22-87</w:t>
      </w:r>
    </w:p>
    <w:p w14:paraId="5EE1A72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《安全评价通则》                                  AQ8001-2007</w:t>
      </w:r>
    </w:p>
    <w:p w14:paraId="6301DAE8">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《尾矿库安全监测技术规范》                        AQ2030-2010</w:t>
      </w:r>
    </w:p>
    <w:p w14:paraId="7CCF3C99">
      <w:pPr>
        <w:bidi w:val="0"/>
        <w:ind w:left="280" w:leftChars="100" w:firstLine="280" w:firstLineChars="1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《水工混凝土结构设计规范》                         SL191-2008</w:t>
      </w:r>
    </w:p>
    <w:p w14:paraId="4BE29022">
      <w:pPr>
        <w:bidi w:val="0"/>
        <w:ind w:left="280" w:leftChars="100" w:firstLine="280" w:firstLineChars="1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《水工建筑物荷载设计规范》                         SL744-2016</w:t>
      </w:r>
    </w:p>
    <w:p w14:paraId="1BCFD917">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《碾压式土石坝设计规范》                           SL274-2020</w:t>
      </w:r>
    </w:p>
    <w:p w14:paraId="0921B219">
      <w:pPr>
        <w:bidi w:val="0"/>
        <w:ind w:firstLine="880"/>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《碾压式土石坝施工规范》</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szCs w:val="28"/>
          <w:lang w:val="en-US" w:eastAsia="zh-CN"/>
        </w:rPr>
        <w:t>DL/T5129-2013</w:t>
      </w:r>
    </w:p>
    <w:p w14:paraId="19B19525">
      <w:pPr>
        <w:bidi w:val="0"/>
        <w:ind w:firstLine="880"/>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《金属非金属矿山安全标准化规范 导则》         KA/T2050.1-2016</w:t>
      </w:r>
    </w:p>
    <w:p w14:paraId="46BB15E2">
      <w:pPr>
        <w:bidi w:val="0"/>
        <w:rPr>
          <w:rFonts w:hint="default"/>
          <w:color w:val="auto"/>
          <w:lang w:val="en-US" w:eastAsia="zh-CN"/>
        </w:rPr>
      </w:pPr>
      <w:r>
        <w:rPr>
          <w:rFonts w:hint="default"/>
          <w:color w:val="auto"/>
          <w:lang w:val="en-US" w:eastAsia="zh-CN"/>
        </w:rPr>
        <w:t>《金属非金属矿山安全标准化规范 尾矿库实施指南》</w:t>
      </w:r>
    </w:p>
    <w:p w14:paraId="00B1C963">
      <w:pPr>
        <w:bidi w:val="0"/>
        <w:ind w:firstLine="880"/>
        <w:jc w:val="right"/>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KA/T2050.4-2016</w:t>
      </w:r>
    </w:p>
    <w:p w14:paraId="78282042">
      <w:pPr>
        <w:bidi w:val="0"/>
        <w:ind w:firstLine="880"/>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《矿山隐蔽致灾因素普查规范 第1部分：总则》       KA/T22.1-2024</w:t>
      </w:r>
    </w:p>
    <w:p w14:paraId="046BC223">
      <w:pPr>
        <w:bidi w:val="0"/>
        <w:ind w:firstLine="880"/>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《矿山隐蔽致灾因素普查规范 第3部分：金属非金属矿山及尾矿库》</w:t>
      </w:r>
    </w:p>
    <w:p w14:paraId="29B68672">
      <w:pPr>
        <w:bidi w:val="0"/>
        <w:ind w:firstLine="880"/>
        <w:jc w:val="right"/>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KA/T22.3-2024</w:t>
      </w:r>
    </w:p>
    <w:bookmarkEnd w:id="35"/>
    <w:p w14:paraId="0486BBCC">
      <w:pPr>
        <w:pStyle w:val="4"/>
        <w:bidi w:val="0"/>
        <w:rPr>
          <w:rFonts w:hint="eastAsia" w:eastAsia="黑体"/>
          <w:color w:val="auto"/>
          <w:lang w:eastAsia="zh-CN"/>
        </w:rPr>
      </w:pPr>
      <w:bookmarkStart w:id="54" w:name="_Toc8420"/>
      <w:bookmarkStart w:id="55" w:name="_Toc20746"/>
      <w:bookmarkStart w:id="56" w:name="_Toc1969"/>
      <w:bookmarkStart w:id="57" w:name="_Toc1052"/>
      <w:r>
        <w:rPr>
          <w:rFonts w:hint="eastAsia"/>
          <w:color w:val="auto"/>
        </w:rPr>
        <w:t>1.2.</w:t>
      </w:r>
      <w:r>
        <w:rPr>
          <w:rFonts w:hint="eastAsia"/>
          <w:color w:val="auto"/>
          <w:lang w:val="en-US" w:eastAsia="zh-CN"/>
        </w:rPr>
        <w:t xml:space="preserve">5 </w:t>
      </w:r>
      <w:r>
        <w:rPr>
          <w:rFonts w:hint="eastAsia"/>
          <w:color w:val="auto"/>
        </w:rPr>
        <w:t>其他依据和主要参考资料</w:t>
      </w:r>
      <w:bookmarkEnd w:id="28"/>
      <w:bookmarkEnd w:id="54"/>
      <w:bookmarkEnd w:id="55"/>
      <w:bookmarkEnd w:id="56"/>
      <w:bookmarkEnd w:id="57"/>
    </w:p>
    <w:p w14:paraId="2AE626B8">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《江西省宜丰万国矿业有限公司新庄多金属矿尾矿库方案设计报告》（三门峡黄金设计院设计，2004年9月）</w:t>
      </w:r>
    </w:p>
    <w:p w14:paraId="75C9FD91">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《江西省暴雨洪水查算手册》（江西省水文局，2010年10月）</w:t>
      </w:r>
    </w:p>
    <w:p w14:paraId="57A2B77B">
      <w:pPr>
        <w:rPr>
          <w:rFonts w:hint="eastAsia" w:ascii="Times New Roman" w:hAnsi="Times New Roman" w:eastAsia="宋体" w:cs="Times New Roman"/>
          <w:strike w:val="0"/>
          <w:dstrike w:val="0"/>
          <w:color w:val="auto"/>
          <w:lang w:eastAsia="zh-CN"/>
        </w:rPr>
      </w:pPr>
      <w:r>
        <w:rPr>
          <w:rFonts w:hint="eastAsia" w:ascii="Times New Roman" w:hAnsi="Times New Roman" w:eastAsia="宋体" w:cs="Times New Roman"/>
          <w:strike w:val="0"/>
          <w:dstrike w:val="0"/>
          <w:color w:val="auto"/>
        </w:rPr>
        <w:t>《江西省宜丰万国矿业有限公司新庄铜铅锌矿阳坑尾矿库改造和阳坑-阴坑尾矿库下游空地废石场初步设计》</w:t>
      </w:r>
      <w:r>
        <w:rPr>
          <w:rFonts w:hint="eastAsia" w:cs="Times New Roman"/>
          <w:strike w:val="0"/>
          <w:dstrike w:val="0"/>
          <w:color w:val="auto"/>
          <w:lang w:eastAsia="zh-CN"/>
        </w:rPr>
        <w:t>（中钢集团马鞍山矿院工程勘察设计有限公司，2014年9月）</w:t>
      </w:r>
    </w:p>
    <w:p w14:paraId="7372B81A">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《江西省宜丰万国矿业有限公司宜丰新庄铜铅锌矿阳坑尾矿库尾矿坝稳定性分析》（金建工程设计有限公司，2015年4月）</w:t>
      </w:r>
    </w:p>
    <w:p w14:paraId="4E731F57">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《江西宜丰万国国际矿业尾矿干排过滤方案》《江西省宜丰万国矿业有限公司分级后溢流细尾砂、充填溢流极细尾砂过滤实验报告》（成都长杰科技有限公司，2017年6月）</w:t>
      </w:r>
    </w:p>
    <w:p w14:paraId="3EC2B0E2">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《江西省宜丰万国矿业有限公司分级后溢流细尾砂、充填溢流极细尾砂和两种尾砂混合样过滤实验报告》（景津环保股份有限公司，2018年4月）</w:t>
      </w:r>
    </w:p>
    <w:p w14:paraId="07F4CE4C">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《江西省宜丰万国矿业有限公司宜丰新庄铜铅锌矿90万吨/a改扩建工程尾矿库湿改干工程地质勘察报告》（地矿赣西地质工程勘察院，2018年10月）</w:t>
      </w:r>
    </w:p>
    <w:p w14:paraId="0E467F9E">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《江西省宜丰万国矿业有限公司宜丰新庄铜铅锌矿尾矿库湿改干工程可行性研究报告》（中国瑞林工程技术股份有限公司，2020年3月）</w:t>
      </w:r>
    </w:p>
    <w:p w14:paraId="452AA1F6">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《江西省宜丰万国矿业有限公司宜丰新庄铜铅锌矿尾矿库加高扩容暨湿改干工程溃坝数值模拟研究》（中国瑞林工程技术股份有限公司，2020年</w:t>
      </w:r>
      <w:r>
        <w:rPr>
          <w:rFonts w:hint="eastAsia" w:ascii="Times New Roman" w:hAnsi="Times New Roman" w:eastAsia="宋体" w:cs="Times New Roman"/>
          <w:strike w:val="0"/>
          <w:dstrike w:val="0"/>
          <w:color w:val="auto"/>
          <w:lang w:val="en-US" w:eastAsia="zh-CN"/>
        </w:rPr>
        <w:t>11</w:t>
      </w:r>
      <w:r>
        <w:rPr>
          <w:rFonts w:hint="eastAsia" w:ascii="Times New Roman" w:hAnsi="Times New Roman" w:eastAsia="宋体" w:cs="Times New Roman"/>
          <w:strike w:val="0"/>
          <w:dstrike w:val="0"/>
          <w:color w:val="auto"/>
        </w:rPr>
        <w:t>月）</w:t>
      </w:r>
    </w:p>
    <w:p w14:paraId="47B30433">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《江西省宜丰万国矿业有限公司宜丰新庄铜铅锌矿尾矿库加高扩容暨湿改干工程初步设计》（中国瑞林工程技术股份有限公司，2020年</w:t>
      </w:r>
      <w:r>
        <w:rPr>
          <w:rFonts w:hint="eastAsia" w:ascii="Times New Roman" w:hAnsi="Times New Roman" w:eastAsia="宋体" w:cs="Times New Roman"/>
          <w:strike w:val="0"/>
          <w:dstrike w:val="0"/>
          <w:color w:val="auto"/>
          <w:lang w:val="en-US" w:eastAsia="zh-CN"/>
        </w:rPr>
        <w:t>11</w:t>
      </w:r>
      <w:r>
        <w:rPr>
          <w:rFonts w:hint="eastAsia" w:ascii="Times New Roman" w:hAnsi="Times New Roman" w:eastAsia="宋体" w:cs="Times New Roman"/>
          <w:strike w:val="0"/>
          <w:dstrike w:val="0"/>
          <w:color w:val="auto"/>
        </w:rPr>
        <w:t>月）</w:t>
      </w:r>
    </w:p>
    <w:p w14:paraId="31D1C497">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《江西省宜丰万国矿业有限公司宜丰新庄铜铅锌矿尾矿库加高扩容暨湿改干工程安全设施设计》（中国瑞林工程技术股份有限公司，202</w:t>
      </w:r>
      <w:r>
        <w:rPr>
          <w:rFonts w:hint="eastAsia" w:cs="Times New Roman"/>
          <w:strike w:val="0"/>
          <w:dstrike w:val="0"/>
          <w:color w:val="auto"/>
          <w:lang w:val="en-US" w:eastAsia="zh-CN"/>
        </w:rPr>
        <w:t>1</w:t>
      </w:r>
      <w:r>
        <w:rPr>
          <w:rFonts w:hint="eastAsia" w:ascii="Times New Roman" w:hAnsi="Times New Roman" w:eastAsia="宋体" w:cs="Times New Roman"/>
          <w:strike w:val="0"/>
          <w:dstrike w:val="0"/>
          <w:color w:val="auto"/>
        </w:rPr>
        <w:t>年</w:t>
      </w:r>
      <w:r>
        <w:rPr>
          <w:rFonts w:hint="eastAsia" w:cs="Times New Roman"/>
          <w:strike w:val="0"/>
          <w:dstrike w:val="0"/>
          <w:color w:val="auto"/>
          <w:lang w:val="en-US" w:eastAsia="zh-CN"/>
        </w:rPr>
        <w:t>1</w:t>
      </w:r>
      <w:r>
        <w:rPr>
          <w:rFonts w:hint="eastAsia" w:ascii="Times New Roman" w:hAnsi="Times New Roman" w:eastAsia="宋体" w:cs="Times New Roman"/>
          <w:strike w:val="0"/>
          <w:dstrike w:val="0"/>
          <w:color w:val="auto"/>
        </w:rPr>
        <w:t>月）</w:t>
      </w:r>
    </w:p>
    <w:p w14:paraId="69FA914D">
      <w:pPr>
        <w:rPr>
          <w:rFonts w:hint="eastAsia" w:ascii="Times New Roman" w:hAnsi="Times New Roman" w:eastAsia="宋体" w:cs="Times New Roman"/>
          <w:strike w:val="0"/>
          <w:dstrike w:val="0"/>
          <w:color w:val="auto"/>
          <w:lang w:eastAsia="zh-CN"/>
        </w:rPr>
      </w:pPr>
      <w:r>
        <w:rPr>
          <w:rFonts w:hint="eastAsia" w:ascii="Times New Roman" w:hAnsi="Times New Roman" w:eastAsia="宋体" w:cs="Times New Roman"/>
          <w:strike w:val="0"/>
          <w:dstrike w:val="0"/>
          <w:color w:val="auto"/>
          <w:lang w:eastAsia="zh-CN"/>
        </w:rPr>
        <w:t>《江西省宜丰万国矿业有限公司宣丰新庄铜铅锌矿尾矿库加高扩容暨湿改干工程安全设施验收评价报告》（江西省赣华安全科技有限公司，</w:t>
      </w:r>
      <w:r>
        <w:rPr>
          <w:rFonts w:hint="eastAsia" w:ascii="Times New Roman" w:hAnsi="Times New Roman" w:eastAsia="宋体" w:cs="Times New Roman"/>
          <w:strike w:val="0"/>
          <w:dstrike w:val="0"/>
          <w:color w:val="auto"/>
          <w:lang w:val="en-US" w:eastAsia="zh-CN"/>
        </w:rPr>
        <w:t>2022年7月</w:t>
      </w:r>
      <w:r>
        <w:rPr>
          <w:rFonts w:hint="eastAsia" w:ascii="Times New Roman" w:hAnsi="Times New Roman" w:eastAsia="宋体" w:cs="Times New Roman"/>
          <w:strike w:val="0"/>
          <w:dstrike w:val="0"/>
          <w:color w:val="auto"/>
          <w:lang w:eastAsia="zh-CN"/>
        </w:rPr>
        <w:t>）</w:t>
      </w:r>
    </w:p>
    <w:p w14:paraId="6A6FE1F2">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《江西省宜丰万国矿业有限公司宜丰新庄铜铅锌矿阳坑尾矿库排水系统混凝土质量检测报告》（江西恒拓建设工程检测有限公司，2024年</w:t>
      </w:r>
      <w:r>
        <w:rPr>
          <w:rFonts w:hint="eastAsia" w:cs="Times New Roman"/>
          <w:strike w:val="0"/>
          <w:dstrike w:val="0"/>
          <w:color w:val="auto"/>
          <w:lang w:val="en-US" w:eastAsia="zh-CN"/>
        </w:rPr>
        <w:t>3</w:t>
      </w:r>
      <w:r>
        <w:rPr>
          <w:rFonts w:hint="eastAsia" w:ascii="Times New Roman" w:hAnsi="Times New Roman" w:eastAsia="宋体" w:cs="Times New Roman"/>
          <w:strike w:val="0"/>
          <w:dstrike w:val="0"/>
          <w:color w:val="auto"/>
        </w:rPr>
        <w:t>月）</w:t>
      </w:r>
    </w:p>
    <w:p w14:paraId="518D851D">
      <w:pPr>
        <w:rPr>
          <w:rFonts w:hint="eastAsia" w:ascii="Times New Roman" w:hAnsi="Times New Roman" w:eastAsia="宋体" w:cs="Times New Roman"/>
          <w:strike w:val="0"/>
          <w:dstrike w:val="0"/>
          <w:color w:val="auto"/>
          <w:lang w:eastAsia="zh-CN"/>
        </w:rPr>
      </w:pPr>
      <w:r>
        <w:rPr>
          <w:rFonts w:hint="eastAsia" w:cs="Times New Roman"/>
          <w:strike w:val="0"/>
          <w:dstrike w:val="0"/>
          <w:color w:val="auto"/>
          <w:lang w:eastAsia="zh-CN"/>
        </w:rPr>
        <w:t>《江西省宜丰万国矿业有限公司宜丰新庄铜铅锌矿尾矿库坝体稳定性分析报告》（中筠国际设计集团有限公司，</w:t>
      </w:r>
      <w:r>
        <w:rPr>
          <w:rFonts w:hint="eastAsia" w:cs="Times New Roman"/>
          <w:strike w:val="0"/>
          <w:dstrike w:val="0"/>
          <w:color w:val="auto"/>
          <w:lang w:val="en-US" w:eastAsia="zh-CN"/>
        </w:rPr>
        <w:t>2024年5月</w:t>
      </w:r>
      <w:r>
        <w:rPr>
          <w:rFonts w:hint="eastAsia" w:cs="Times New Roman"/>
          <w:strike w:val="0"/>
          <w:dstrike w:val="0"/>
          <w:color w:val="auto"/>
          <w:lang w:eastAsia="zh-CN"/>
        </w:rPr>
        <w:t>）</w:t>
      </w:r>
    </w:p>
    <w:p w14:paraId="2E6E57BC">
      <w:pPr>
        <w:rPr>
          <w:rFonts w:hint="eastAsia" w:ascii="Times New Roman" w:hAnsi="Times New Roman" w:eastAsia="宋体" w:cs="Times New Roman"/>
          <w:b w:val="0"/>
          <w:bCs w:val="0"/>
          <w:strike w:val="0"/>
          <w:dstrike w:val="0"/>
          <w:color w:val="auto"/>
        </w:rPr>
      </w:pPr>
      <w:r>
        <w:rPr>
          <w:rFonts w:hint="eastAsia" w:ascii="Times New Roman" w:hAnsi="Times New Roman" w:eastAsia="宋体" w:cs="Times New Roman"/>
          <w:b w:val="0"/>
          <w:bCs w:val="0"/>
          <w:strike w:val="0"/>
          <w:dstrike w:val="0"/>
          <w:color w:val="auto"/>
        </w:rPr>
        <w:t>《江西省宜丰万国矿业有限公司宜丰新庄铜铅锌矿阳坑尾矿库调洪演算报告（2025年度）》（汉宸国际工程设计集团有限公司，202</w:t>
      </w:r>
      <w:r>
        <w:rPr>
          <w:rFonts w:hint="eastAsia" w:cs="Times New Roman"/>
          <w:b w:val="0"/>
          <w:bCs w:val="0"/>
          <w:strike w:val="0"/>
          <w:dstrike w:val="0"/>
          <w:color w:val="auto"/>
          <w:lang w:val="en-US" w:eastAsia="zh-CN"/>
        </w:rPr>
        <w:t>5</w:t>
      </w:r>
      <w:r>
        <w:rPr>
          <w:rFonts w:hint="eastAsia" w:ascii="Times New Roman" w:hAnsi="Times New Roman" w:eastAsia="宋体" w:cs="Times New Roman"/>
          <w:b w:val="0"/>
          <w:bCs w:val="0"/>
          <w:strike w:val="0"/>
          <w:dstrike w:val="0"/>
          <w:color w:val="auto"/>
        </w:rPr>
        <w:t>年</w:t>
      </w:r>
      <w:r>
        <w:rPr>
          <w:rFonts w:hint="eastAsia" w:cs="Times New Roman"/>
          <w:b w:val="0"/>
          <w:bCs w:val="0"/>
          <w:strike w:val="0"/>
          <w:dstrike w:val="0"/>
          <w:color w:val="auto"/>
          <w:lang w:val="en-US" w:eastAsia="zh-CN"/>
        </w:rPr>
        <w:t>3</w:t>
      </w:r>
      <w:r>
        <w:rPr>
          <w:rFonts w:hint="eastAsia" w:ascii="Times New Roman" w:hAnsi="Times New Roman" w:eastAsia="宋体" w:cs="Times New Roman"/>
          <w:b w:val="0"/>
          <w:bCs w:val="0"/>
          <w:strike w:val="0"/>
          <w:dstrike w:val="0"/>
          <w:color w:val="auto"/>
        </w:rPr>
        <w:t>月）</w:t>
      </w:r>
    </w:p>
    <w:p w14:paraId="3434BAC3">
      <w:pPr>
        <w:rPr>
          <w:rFonts w:hint="eastAsia" w:ascii="Times New Roman" w:hAnsi="Times New Roman" w:eastAsia="宋体" w:cs="Times New Roman"/>
          <w:b w:val="0"/>
          <w:bCs w:val="0"/>
          <w:strike w:val="0"/>
          <w:dstrike w:val="0"/>
          <w:color w:val="auto"/>
          <w:lang w:eastAsia="zh-CN"/>
        </w:rPr>
      </w:pPr>
      <w:r>
        <w:rPr>
          <w:rFonts w:hint="eastAsia" w:cs="Times New Roman"/>
          <w:b w:val="0"/>
          <w:bCs w:val="0"/>
          <w:strike w:val="0"/>
          <w:dstrike w:val="0"/>
          <w:color w:val="auto"/>
          <w:lang w:eastAsia="zh-CN"/>
        </w:rPr>
        <w:t>《江西省宜丰万国矿业有限公司江西省宜丰县新庄镇龙溪村民用爆炸物品储存库安全现状评价报告》（南昌安达安全技术咨询有限公司，202</w:t>
      </w:r>
      <w:r>
        <w:rPr>
          <w:rFonts w:hint="eastAsia" w:cs="Times New Roman"/>
          <w:b w:val="0"/>
          <w:bCs w:val="0"/>
          <w:strike w:val="0"/>
          <w:dstrike w:val="0"/>
          <w:color w:val="auto"/>
          <w:lang w:val="en-US" w:eastAsia="zh-CN"/>
        </w:rPr>
        <w:t>5</w:t>
      </w:r>
      <w:r>
        <w:rPr>
          <w:rFonts w:hint="eastAsia" w:cs="Times New Roman"/>
          <w:b w:val="0"/>
          <w:bCs w:val="0"/>
          <w:strike w:val="0"/>
          <w:dstrike w:val="0"/>
          <w:color w:val="auto"/>
          <w:lang w:eastAsia="zh-CN"/>
        </w:rPr>
        <w:t>年5月）</w:t>
      </w:r>
    </w:p>
    <w:p w14:paraId="5B163310">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《江西省宜丰万国矿业有限公司宜丰新庄铜铅锌矿尾矿库安全现状评价合同书》</w:t>
      </w:r>
    </w:p>
    <w:p w14:paraId="64D2D179">
      <w:pPr>
        <w:rPr>
          <w:rFonts w:hint="eastAsia" w:ascii="Times New Roman" w:hAnsi="Times New Roman" w:eastAsia="宋体" w:cs="Times New Roman"/>
          <w:strike w:val="0"/>
          <w:dstrike w:val="0"/>
          <w:color w:val="auto"/>
        </w:rPr>
      </w:pPr>
      <w:r>
        <w:rPr>
          <w:rFonts w:hint="eastAsia" w:ascii="Times New Roman" w:hAnsi="Times New Roman" w:eastAsia="宋体" w:cs="Times New Roman"/>
          <w:strike w:val="0"/>
          <w:dstrike w:val="0"/>
          <w:color w:val="auto"/>
        </w:rPr>
        <w:t>江西省宜丰万国矿业有限公司提供的图纸和其他资料。</w:t>
      </w:r>
    </w:p>
    <w:p w14:paraId="0576D4D3">
      <w:pPr>
        <w:pStyle w:val="3"/>
        <w:bidi w:val="0"/>
        <w:rPr>
          <w:rFonts w:hint="eastAsia"/>
          <w:color w:val="auto"/>
        </w:rPr>
      </w:pPr>
      <w:bookmarkStart w:id="58" w:name="_Toc2975"/>
      <w:bookmarkStart w:id="59" w:name="_Toc24656"/>
      <w:bookmarkStart w:id="60" w:name="_Toc22692"/>
      <w:bookmarkStart w:id="61" w:name="_Toc15800"/>
      <w:bookmarkStart w:id="62" w:name="_Toc10497"/>
      <w:r>
        <w:rPr>
          <w:rFonts w:hint="eastAsia"/>
          <w:color w:val="auto"/>
        </w:rPr>
        <w:t>1.3</w:t>
      </w:r>
      <w:r>
        <w:rPr>
          <w:rFonts w:hint="eastAsia"/>
          <w:color w:val="auto"/>
          <w:lang w:val="en-US" w:eastAsia="zh-CN"/>
        </w:rPr>
        <w:t xml:space="preserve"> </w:t>
      </w:r>
      <w:r>
        <w:rPr>
          <w:rFonts w:hint="eastAsia"/>
          <w:color w:val="auto"/>
        </w:rPr>
        <w:t>评价对象、范围和内容</w:t>
      </w:r>
      <w:bookmarkEnd w:id="58"/>
      <w:bookmarkEnd w:id="59"/>
      <w:bookmarkEnd w:id="60"/>
      <w:bookmarkEnd w:id="61"/>
      <w:bookmarkEnd w:id="62"/>
    </w:p>
    <w:p w14:paraId="2FE90207">
      <w:pPr>
        <w:pStyle w:val="4"/>
        <w:bidi w:val="0"/>
        <w:rPr>
          <w:rFonts w:hint="eastAsia"/>
          <w:color w:val="auto"/>
        </w:rPr>
      </w:pPr>
      <w:bookmarkStart w:id="63" w:name="_Toc6720"/>
      <w:bookmarkStart w:id="64" w:name="_Toc14322"/>
      <w:bookmarkStart w:id="65" w:name="_Toc10349"/>
      <w:bookmarkStart w:id="66" w:name="_Toc27854"/>
      <w:bookmarkStart w:id="67" w:name="_Toc9618"/>
      <w:r>
        <w:rPr>
          <w:rFonts w:hint="eastAsia"/>
          <w:color w:val="auto"/>
        </w:rPr>
        <w:t>1.3.1</w:t>
      </w:r>
      <w:r>
        <w:rPr>
          <w:rFonts w:hint="eastAsia"/>
          <w:color w:val="auto"/>
          <w:lang w:val="en-US" w:eastAsia="zh-CN"/>
        </w:rPr>
        <w:t xml:space="preserve"> </w:t>
      </w:r>
      <w:r>
        <w:rPr>
          <w:rFonts w:hint="eastAsia"/>
          <w:color w:val="auto"/>
        </w:rPr>
        <w:t>评价对象、范围</w:t>
      </w:r>
      <w:bookmarkEnd w:id="63"/>
      <w:bookmarkEnd w:id="64"/>
      <w:bookmarkEnd w:id="65"/>
      <w:bookmarkEnd w:id="66"/>
      <w:bookmarkEnd w:id="67"/>
    </w:p>
    <w:p w14:paraId="2E44E8F3">
      <w:pPr>
        <w:rPr>
          <w:rFonts w:hint="eastAsia"/>
          <w:color w:val="auto"/>
        </w:rPr>
      </w:pPr>
      <w:r>
        <w:rPr>
          <w:rFonts w:hint="eastAsia"/>
          <w:color w:val="auto"/>
        </w:rPr>
        <w:t>评价对象：</w:t>
      </w:r>
      <w:r>
        <w:rPr>
          <w:rFonts w:hint="eastAsia"/>
          <w:strike w:val="0"/>
          <w:dstrike w:val="0"/>
          <w:color w:val="auto"/>
        </w:rPr>
        <w:t>江西省宜丰万国矿业有限公司宜丰新庄铜铅锌矿尾矿库</w:t>
      </w:r>
      <w:r>
        <w:rPr>
          <w:rFonts w:hint="eastAsia"/>
          <w:color w:val="auto"/>
        </w:rPr>
        <w:t>。</w:t>
      </w:r>
    </w:p>
    <w:p w14:paraId="5E55C2A9">
      <w:pPr>
        <w:rPr>
          <w:rFonts w:hint="eastAsia"/>
          <w:strike w:val="0"/>
          <w:dstrike w:val="0"/>
          <w:color w:val="auto"/>
        </w:rPr>
      </w:pPr>
      <w:r>
        <w:rPr>
          <w:rFonts w:hint="eastAsia"/>
          <w:color w:val="auto"/>
        </w:rPr>
        <w:t>评价范围：</w:t>
      </w:r>
      <w:r>
        <w:rPr>
          <w:rFonts w:hint="eastAsia"/>
          <w:strike w:val="0"/>
          <w:dstrike w:val="0"/>
          <w:color w:val="auto"/>
        </w:rPr>
        <w:t>江西省宜丰万国矿业有限公司宜丰新庄铜铅锌矿尾矿库</w:t>
      </w:r>
      <w:r>
        <w:rPr>
          <w:rFonts w:hint="eastAsia"/>
          <w:strike w:val="0"/>
          <w:dstrike w:val="0"/>
          <w:color w:val="auto"/>
          <w:lang w:val="en-US" w:eastAsia="zh-CN"/>
        </w:rPr>
        <w:t>的</w:t>
      </w:r>
      <w:r>
        <w:rPr>
          <w:rFonts w:hint="eastAsia"/>
          <w:strike w:val="0"/>
          <w:dstrike w:val="0"/>
          <w:color w:val="auto"/>
        </w:rPr>
        <w:t>库区、尾矿坝、防排洪系统、安全监测设施、</w:t>
      </w:r>
      <w:r>
        <w:rPr>
          <w:rFonts w:hint="eastAsia"/>
          <w:strike w:val="0"/>
          <w:dstrike w:val="0"/>
          <w:color w:val="auto"/>
          <w:lang w:val="en-US" w:eastAsia="zh-CN"/>
        </w:rPr>
        <w:t>辅助设施的安全设施</w:t>
      </w:r>
      <w:r>
        <w:rPr>
          <w:rFonts w:hint="eastAsia"/>
          <w:strike w:val="0"/>
          <w:dstrike w:val="0"/>
          <w:color w:val="auto"/>
        </w:rPr>
        <w:t>及</w:t>
      </w:r>
      <w:r>
        <w:rPr>
          <w:rFonts w:hint="eastAsia"/>
          <w:strike w:val="0"/>
          <w:dstrike w:val="0"/>
          <w:color w:val="auto"/>
          <w:lang w:val="en-US" w:eastAsia="zh-CN"/>
        </w:rPr>
        <w:t>尾矿库</w:t>
      </w:r>
      <w:r>
        <w:rPr>
          <w:rFonts w:hint="eastAsia"/>
          <w:strike w:val="0"/>
          <w:dstrike w:val="0"/>
          <w:color w:val="auto"/>
        </w:rPr>
        <w:t>安全管理情况，不含尾矿输送系统、回水系统及尾矿库职业卫生、环境保护。</w:t>
      </w:r>
    </w:p>
    <w:p w14:paraId="4F167C5D">
      <w:pPr>
        <w:pStyle w:val="4"/>
        <w:bidi w:val="0"/>
        <w:rPr>
          <w:rFonts w:hint="eastAsia"/>
          <w:color w:val="auto"/>
        </w:rPr>
      </w:pPr>
      <w:bookmarkStart w:id="68" w:name="_Toc27427"/>
      <w:bookmarkStart w:id="69" w:name="_Toc2032"/>
      <w:bookmarkStart w:id="70" w:name="_Toc8293"/>
      <w:bookmarkStart w:id="71" w:name="_Toc25372"/>
      <w:bookmarkStart w:id="72" w:name="_Toc15571"/>
      <w:r>
        <w:rPr>
          <w:rFonts w:hint="eastAsia"/>
          <w:color w:val="auto"/>
        </w:rPr>
        <w:t>1.3.2</w:t>
      </w:r>
      <w:r>
        <w:rPr>
          <w:rFonts w:hint="eastAsia"/>
          <w:color w:val="auto"/>
          <w:lang w:val="en-US" w:eastAsia="zh-CN"/>
        </w:rPr>
        <w:t xml:space="preserve"> </w:t>
      </w:r>
      <w:r>
        <w:rPr>
          <w:rFonts w:hint="eastAsia"/>
          <w:color w:val="auto"/>
        </w:rPr>
        <w:t>评价内容</w:t>
      </w:r>
      <w:bookmarkEnd w:id="68"/>
      <w:bookmarkEnd w:id="69"/>
      <w:bookmarkEnd w:id="70"/>
      <w:bookmarkEnd w:id="71"/>
      <w:bookmarkEnd w:id="72"/>
    </w:p>
    <w:p w14:paraId="7D7D028C">
      <w:pPr>
        <w:rPr>
          <w:rFonts w:hint="eastAsia"/>
          <w:color w:val="auto"/>
        </w:rPr>
      </w:pPr>
      <w:r>
        <w:rPr>
          <w:rFonts w:hint="eastAsia"/>
          <w:color w:val="auto"/>
        </w:rPr>
        <w:t>1.</w:t>
      </w:r>
      <w:r>
        <w:rPr>
          <w:rFonts w:hint="eastAsia"/>
          <w:color w:val="auto"/>
          <w:lang w:val="en-US" w:eastAsia="zh-CN"/>
        </w:rPr>
        <w:t xml:space="preserve"> </w:t>
      </w:r>
      <w:r>
        <w:rPr>
          <w:rFonts w:hint="eastAsia"/>
          <w:color w:val="auto"/>
        </w:rPr>
        <w:t>检查审核</w:t>
      </w:r>
      <w:r>
        <w:rPr>
          <w:rFonts w:hint="eastAsia"/>
          <w:color w:val="auto"/>
          <w:szCs w:val="28"/>
          <w:lang w:eastAsia="zh-CN"/>
        </w:rPr>
        <w:t>江西省宜丰万国矿业有限公司</w:t>
      </w:r>
      <w:r>
        <w:rPr>
          <w:rFonts w:hint="eastAsia"/>
          <w:color w:val="auto"/>
        </w:rPr>
        <w:t>提供的相应资质证书、营业执照的有效性及范围；</w:t>
      </w:r>
    </w:p>
    <w:p w14:paraId="362C4026">
      <w:pPr>
        <w:rPr>
          <w:rFonts w:hint="eastAsia"/>
          <w:color w:val="auto"/>
        </w:rPr>
      </w:pPr>
      <w:r>
        <w:rPr>
          <w:rFonts w:hint="eastAsia"/>
          <w:color w:val="auto"/>
        </w:rPr>
        <w:t>2.</w:t>
      </w:r>
      <w:r>
        <w:rPr>
          <w:rFonts w:hint="eastAsia"/>
          <w:color w:val="auto"/>
          <w:lang w:val="en-US" w:eastAsia="zh-CN"/>
        </w:rPr>
        <w:t xml:space="preserve"> </w:t>
      </w:r>
      <w:r>
        <w:rPr>
          <w:rFonts w:hint="eastAsia"/>
          <w:color w:val="auto"/>
        </w:rPr>
        <w:t>检查</w:t>
      </w:r>
      <w:r>
        <w:rPr>
          <w:rFonts w:hint="eastAsia"/>
          <w:color w:val="auto"/>
          <w:szCs w:val="28"/>
          <w:lang w:eastAsia="zh-CN"/>
        </w:rPr>
        <w:t>江西省宜丰万国矿业有限公司</w:t>
      </w:r>
      <w:r>
        <w:rPr>
          <w:rFonts w:hint="eastAsia"/>
          <w:color w:val="auto"/>
        </w:rPr>
        <w:t>安全机构的设置及人员的配备，安全生产管理制度、操作规程的制定及执行情况；</w:t>
      </w:r>
    </w:p>
    <w:p w14:paraId="10F25460">
      <w:pPr>
        <w:rPr>
          <w:rFonts w:hint="eastAsia"/>
          <w:color w:val="auto"/>
        </w:rPr>
      </w:pPr>
      <w:r>
        <w:rPr>
          <w:rFonts w:hint="eastAsia"/>
          <w:color w:val="auto"/>
        </w:rPr>
        <w:t>3.</w:t>
      </w:r>
      <w:r>
        <w:rPr>
          <w:rFonts w:hint="eastAsia"/>
          <w:color w:val="auto"/>
          <w:lang w:val="en-US" w:eastAsia="zh-CN"/>
        </w:rPr>
        <w:t xml:space="preserve"> </w:t>
      </w:r>
      <w:r>
        <w:rPr>
          <w:rFonts w:hint="eastAsia"/>
          <w:color w:val="auto"/>
        </w:rPr>
        <w:t>检查</w:t>
      </w:r>
      <w:r>
        <w:rPr>
          <w:rFonts w:hint="eastAsia"/>
          <w:color w:val="auto"/>
          <w:lang w:eastAsia="zh-CN"/>
        </w:rPr>
        <w:t>江西省宜丰万国矿业有限公司宜丰新庄铜铅锌矿尾矿库</w:t>
      </w:r>
      <w:r>
        <w:rPr>
          <w:rFonts w:hint="eastAsia"/>
          <w:color w:val="auto"/>
        </w:rPr>
        <w:t>相关的安全设施、措施是否符合相关技术标准、规范的要求；</w:t>
      </w:r>
    </w:p>
    <w:p w14:paraId="38B5CB41">
      <w:pPr>
        <w:rPr>
          <w:rFonts w:hint="eastAsia"/>
          <w:color w:val="auto"/>
        </w:rPr>
      </w:pPr>
      <w:r>
        <w:rPr>
          <w:rFonts w:hint="eastAsia"/>
          <w:color w:val="auto"/>
        </w:rPr>
        <w:t>4.</w:t>
      </w:r>
      <w:r>
        <w:rPr>
          <w:rFonts w:hint="eastAsia"/>
          <w:color w:val="auto"/>
          <w:lang w:val="en-US" w:eastAsia="zh-CN"/>
        </w:rPr>
        <w:t xml:space="preserve"> </w:t>
      </w:r>
      <w:r>
        <w:rPr>
          <w:rFonts w:hint="eastAsia"/>
          <w:color w:val="auto"/>
        </w:rPr>
        <w:t>检查</w:t>
      </w:r>
      <w:r>
        <w:rPr>
          <w:rFonts w:hint="eastAsia"/>
          <w:bCs/>
          <w:color w:val="auto"/>
          <w:sz w:val="28"/>
          <w:szCs w:val="28"/>
          <w:lang w:eastAsia="zh-CN"/>
        </w:rPr>
        <w:t>江西省宜丰万国矿业有限公司</w:t>
      </w:r>
      <w:r>
        <w:rPr>
          <w:rFonts w:hint="eastAsia"/>
          <w:color w:val="auto"/>
        </w:rPr>
        <w:t>主要负责人、安全管理人员的培训考核，检查审核尾矿工的培训、取证情况及一般作业人员的安全教育、培训情况；</w:t>
      </w:r>
    </w:p>
    <w:p w14:paraId="1619F53F">
      <w:pPr>
        <w:rPr>
          <w:rFonts w:hint="eastAsia"/>
          <w:color w:val="auto"/>
        </w:rPr>
      </w:pPr>
      <w:r>
        <w:rPr>
          <w:rFonts w:hint="eastAsia"/>
          <w:color w:val="auto"/>
        </w:rPr>
        <w:t>5.</w:t>
      </w:r>
      <w:r>
        <w:rPr>
          <w:rFonts w:hint="eastAsia"/>
          <w:color w:val="auto"/>
          <w:lang w:val="en-US" w:eastAsia="zh-CN"/>
        </w:rPr>
        <w:t xml:space="preserve"> </w:t>
      </w:r>
      <w:r>
        <w:rPr>
          <w:rFonts w:hint="eastAsia"/>
          <w:color w:val="auto"/>
        </w:rPr>
        <w:t>检查、审核</w:t>
      </w:r>
      <w:r>
        <w:rPr>
          <w:rFonts w:hint="eastAsia"/>
          <w:bCs/>
          <w:color w:val="auto"/>
          <w:sz w:val="28"/>
          <w:szCs w:val="28"/>
          <w:lang w:eastAsia="zh-CN"/>
        </w:rPr>
        <w:t>江西省宜丰万国矿业有限公司宜丰新庄铜铅锌矿尾矿库</w:t>
      </w:r>
      <w:r>
        <w:rPr>
          <w:rFonts w:hint="eastAsia"/>
          <w:color w:val="auto"/>
        </w:rPr>
        <w:t>事故应急救援设施、措施及预案编制、人员训练情况；</w:t>
      </w:r>
    </w:p>
    <w:p w14:paraId="3C0C3D13">
      <w:pPr>
        <w:rPr>
          <w:rFonts w:hint="eastAsia"/>
          <w:color w:val="auto"/>
        </w:rPr>
      </w:pPr>
      <w:r>
        <w:rPr>
          <w:rFonts w:hint="eastAsia"/>
          <w:color w:val="auto"/>
        </w:rPr>
        <w:t>6.</w:t>
      </w:r>
      <w:r>
        <w:rPr>
          <w:rFonts w:hint="eastAsia"/>
          <w:color w:val="auto"/>
          <w:lang w:val="en-US" w:eastAsia="zh-CN"/>
        </w:rPr>
        <w:t xml:space="preserve"> </w:t>
      </w:r>
      <w:r>
        <w:rPr>
          <w:rFonts w:hint="eastAsia"/>
          <w:color w:val="auto"/>
        </w:rPr>
        <w:t>分析</w:t>
      </w:r>
      <w:r>
        <w:rPr>
          <w:rFonts w:hint="eastAsia"/>
          <w:bCs/>
          <w:color w:val="auto"/>
          <w:sz w:val="28"/>
          <w:szCs w:val="28"/>
          <w:lang w:eastAsia="zh-CN"/>
        </w:rPr>
        <w:t>江西省宜丰万国矿业有限公司宜丰新庄铜铅锌矿尾矿库</w:t>
      </w:r>
      <w:r>
        <w:rPr>
          <w:rFonts w:hint="eastAsia"/>
          <w:color w:val="auto"/>
        </w:rPr>
        <w:t>存在的危险、有害因素；</w:t>
      </w:r>
    </w:p>
    <w:p w14:paraId="298975CE">
      <w:pPr>
        <w:rPr>
          <w:rFonts w:hint="eastAsia"/>
          <w:color w:val="auto"/>
        </w:rPr>
      </w:pPr>
      <w:r>
        <w:rPr>
          <w:rFonts w:hint="eastAsia"/>
          <w:color w:val="auto"/>
        </w:rPr>
        <w:t>7.</w:t>
      </w:r>
      <w:r>
        <w:rPr>
          <w:rFonts w:hint="eastAsia"/>
          <w:color w:val="auto"/>
          <w:lang w:val="en-US" w:eastAsia="zh-CN"/>
        </w:rPr>
        <w:t xml:space="preserve"> </w:t>
      </w:r>
      <w:r>
        <w:rPr>
          <w:rFonts w:hint="eastAsia"/>
          <w:color w:val="auto"/>
        </w:rPr>
        <w:t>对</w:t>
      </w:r>
      <w:r>
        <w:rPr>
          <w:rFonts w:hint="eastAsia"/>
          <w:bCs/>
          <w:color w:val="auto"/>
          <w:sz w:val="28"/>
          <w:szCs w:val="28"/>
          <w:lang w:eastAsia="zh-CN"/>
        </w:rPr>
        <w:t>江西省宜丰万国矿业有限公司宜丰新庄铜铅锌矿尾矿库</w:t>
      </w:r>
      <w:r>
        <w:rPr>
          <w:rFonts w:hint="eastAsia"/>
          <w:color w:val="auto"/>
        </w:rPr>
        <w:t>存在的问题提出安全对策措施；</w:t>
      </w:r>
    </w:p>
    <w:p w14:paraId="32F70616">
      <w:pPr>
        <w:rPr>
          <w:rFonts w:hint="eastAsia"/>
          <w:color w:val="auto"/>
        </w:rPr>
      </w:pPr>
      <w:r>
        <w:rPr>
          <w:rFonts w:hint="eastAsia"/>
          <w:color w:val="auto"/>
        </w:rPr>
        <w:t>8.</w:t>
      </w:r>
      <w:r>
        <w:rPr>
          <w:rFonts w:hint="eastAsia"/>
          <w:color w:val="auto"/>
          <w:lang w:val="en-US" w:eastAsia="zh-CN"/>
        </w:rPr>
        <w:t xml:space="preserve"> </w:t>
      </w:r>
      <w:r>
        <w:rPr>
          <w:rFonts w:hint="eastAsia"/>
          <w:color w:val="auto"/>
        </w:rPr>
        <w:t>按照客观、</w:t>
      </w:r>
      <w:r>
        <w:rPr>
          <w:rFonts w:hint="eastAsia"/>
          <w:color w:val="auto"/>
          <w:sz w:val="24"/>
          <w:szCs w:val="24"/>
        </w:rPr>
        <w:t>公</w:t>
      </w:r>
      <w:r>
        <w:rPr>
          <w:rFonts w:hint="eastAsia"/>
          <w:color w:val="auto"/>
        </w:rPr>
        <w:t>正、真实的原则，严谨、明确地做出安全评价结论。</w:t>
      </w:r>
    </w:p>
    <w:p w14:paraId="4DDBE13F">
      <w:pPr>
        <w:pStyle w:val="3"/>
        <w:bidi w:val="0"/>
        <w:rPr>
          <w:rFonts w:hint="eastAsia"/>
          <w:color w:val="auto"/>
        </w:rPr>
      </w:pPr>
      <w:bookmarkStart w:id="73" w:name="_Toc23003"/>
      <w:bookmarkStart w:id="74" w:name="_Toc17510"/>
      <w:bookmarkStart w:id="75" w:name="_Toc15979"/>
      <w:bookmarkStart w:id="76" w:name="_Toc21018"/>
      <w:bookmarkStart w:id="77" w:name="_Toc4690"/>
      <w:r>
        <w:rPr>
          <w:rFonts w:hint="eastAsia"/>
          <w:color w:val="auto"/>
        </w:rPr>
        <w:t>1.4</w:t>
      </w:r>
      <w:r>
        <w:rPr>
          <w:rFonts w:hint="eastAsia"/>
          <w:color w:val="auto"/>
          <w:lang w:val="en-US" w:eastAsia="zh-CN"/>
        </w:rPr>
        <w:t xml:space="preserve"> </w:t>
      </w:r>
      <w:r>
        <w:rPr>
          <w:rFonts w:hint="eastAsia"/>
          <w:color w:val="auto"/>
        </w:rPr>
        <w:t>评价程序</w:t>
      </w:r>
      <w:bookmarkEnd w:id="73"/>
      <w:bookmarkEnd w:id="74"/>
      <w:bookmarkEnd w:id="75"/>
      <w:bookmarkEnd w:id="76"/>
      <w:bookmarkEnd w:id="77"/>
    </w:p>
    <w:p w14:paraId="617D848F">
      <w:pPr>
        <w:rPr>
          <w:rFonts w:hint="eastAsia"/>
          <w:color w:val="auto"/>
        </w:rPr>
      </w:pPr>
      <w:r>
        <w:rPr>
          <w:rFonts w:hint="eastAsia"/>
          <w:color w:val="auto"/>
        </w:rPr>
        <w:t>安全评价程序包括：前期准备；辨识与分析危险、有害因素；划分评价单元；</w:t>
      </w:r>
      <w:r>
        <w:rPr>
          <w:rFonts w:hint="eastAsia"/>
          <w:color w:val="auto"/>
          <w:lang w:val="en-US" w:eastAsia="zh-CN"/>
        </w:rPr>
        <w:t>选择评价方法；</w:t>
      </w:r>
      <w:r>
        <w:rPr>
          <w:rFonts w:hint="eastAsia"/>
          <w:color w:val="auto"/>
        </w:rPr>
        <w:t>定性、定量评价；提出安全对策措施建议；做出评价结论；编制安全评价报告。</w:t>
      </w:r>
    </w:p>
    <w:p w14:paraId="4D9EB006">
      <w:pPr>
        <w:numPr>
          <w:ilvl w:val="0"/>
          <w:numId w:val="2"/>
        </w:numPr>
        <w:rPr>
          <w:rFonts w:hint="eastAsia"/>
          <w:color w:val="auto"/>
        </w:rPr>
      </w:pPr>
      <w:r>
        <w:rPr>
          <w:rFonts w:hint="eastAsia"/>
          <w:color w:val="auto"/>
        </w:rPr>
        <w:t>前期准备</w:t>
      </w:r>
    </w:p>
    <w:p w14:paraId="22F24C8E">
      <w:pPr>
        <w:rPr>
          <w:rFonts w:hint="eastAsia"/>
          <w:color w:val="auto"/>
        </w:rPr>
      </w:pPr>
      <w:r>
        <w:rPr>
          <w:rFonts w:hint="eastAsia"/>
          <w:color w:val="auto"/>
        </w:rPr>
        <w:t>明确被评价对象，备齐有关安全评价所需的设备、工具，收集国内外相关法律、法规、技术标准及建设项目资料。</w:t>
      </w:r>
    </w:p>
    <w:p w14:paraId="3B933A99">
      <w:pPr>
        <w:numPr>
          <w:ilvl w:val="0"/>
          <w:numId w:val="2"/>
        </w:numPr>
        <w:ind w:left="0" w:leftChars="0" w:firstLine="560" w:firstLineChars="200"/>
        <w:rPr>
          <w:rFonts w:hint="eastAsia"/>
          <w:color w:val="auto"/>
        </w:rPr>
      </w:pPr>
      <w:r>
        <w:rPr>
          <w:rFonts w:hint="eastAsia"/>
          <w:color w:val="auto"/>
        </w:rPr>
        <w:t>辨识与分析危险、有害因素</w:t>
      </w:r>
    </w:p>
    <w:p w14:paraId="0123FA29">
      <w:pPr>
        <w:rPr>
          <w:rFonts w:hint="eastAsia"/>
          <w:color w:val="auto"/>
        </w:rPr>
      </w:pPr>
      <w:r>
        <w:rPr>
          <w:rFonts w:hint="eastAsia"/>
          <w:color w:val="auto"/>
        </w:rPr>
        <w:t>根据评价对象的具体情况，辨识和分析危险、有害因素，确定其存在的部位、方式，以及发生作用的途径和变化规律。</w:t>
      </w:r>
    </w:p>
    <w:p w14:paraId="411A7F30">
      <w:pPr>
        <w:numPr>
          <w:ilvl w:val="0"/>
          <w:numId w:val="2"/>
        </w:numPr>
        <w:ind w:left="0" w:leftChars="0" w:firstLine="560" w:firstLineChars="200"/>
        <w:rPr>
          <w:rFonts w:hint="eastAsia"/>
          <w:color w:val="auto"/>
        </w:rPr>
      </w:pPr>
      <w:r>
        <w:rPr>
          <w:rFonts w:hint="eastAsia"/>
          <w:color w:val="auto"/>
        </w:rPr>
        <w:t>划分评价单元</w:t>
      </w:r>
    </w:p>
    <w:p w14:paraId="4C29ADF5">
      <w:pPr>
        <w:rPr>
          <w:rFonts w:hint="eastAsia"/>
          <w:color w:val="auto"/>
        </w:rPr>
      </w:pPr>
      <w:r>
        <w:rPr>
          <w:rFonts w:hint="eastAsia"/>
          <w:color w:val="auto"/>
        </w:rPr>
        <w:t>评价单元划分应科学、合理，便于实施评价，相对独立且具有明显的特征界限。</w:t>
      </w:r>
    </w:p>
    <w:p w14:paraId="31EEF85D">
      <w:pPr>
        <w:numPr>
          <w:ilvl w:val="0"/>
          <w:numId w:val="2"/>
        </w:numPr>
        <w:ind w:left="0" w:leftChars="0" w:firstLine="560" w:firstLineChars="200"/>
        <w:rPr>
          <w:rFonts w:hint="eastAsia"/>
          <w:color w:val="auto"/>
        </w:rPr>
      </w:pPr>
      <w:r>
        <w:rPr>
          <w:rFonts w:hint="eastAsia"/>
          <w:color w:val="auto"/>
        </w:rPr>
        <w:t>选择评价方法</w:t>
      </w:r>
    </w:p>
    <w:p w14:paraId="513247EA">
      <w:pPr>
        <w:rPr>
          <w:rFonts w:hint="eastAsia"/>
          <w:color w:val="auto"/>
        </w:rPr>
      </w:pPr>
      <w:r>
        <w:rPr>
          <w:rFonts w:hint="eastAsia"/>
          <w:color w:val="auto"/>
        </w:rPr>
        <w:t>根据被评价对象特点，选择科学、合理、适用的定性、定量评价方法。</w:t>
      </w:r>
    </w:p>
    <w:p w14:paraId="38F799CC">
      <w:pPr>
        <w:numPr>
          <w:ilvl w:val="0"/>
          <w:numId w:val="2"/>
        </w:numPr>
        <w:ind w:left="0" w:leftChars="0" w:firstLine="560" w:firstLineChars="200"/>
        <w:rPr>
          <w:rFonts w:hint="eastAsia"/>
          <w:color w:val="auto"/>
        </w:rPr>
      </w:pPr>
      <w:r>
        <w:rPr>
          <w:rFonts w:hint="eastAsia"/>
          <w:color w:val="auto"/>
        </w:rPr>
        <w:t>定性、定量评价</w:t>
      </w:r>
    </w:p>
    <w:p w14:paraId="2EE76DE4">
      <w:pPr>
        <w:rPr>
          <w:rFonts w:hint="eastAsia"/>
          <w:color w:val="auto"/>
        </w:rPr>
      </w:pPr>
      <w:r>
        <w:rPr>
          <w:rFonts w:hint="eastAsia"/>
          <w:color w:val="auto"/>
        </w:rPr>
        <w:t>根据评价单元的特性，选择合理的评价方法，对评价对象发生事故的可能性及其严重程度进行定性、定量评价。</w:t>
      </w:r>
    </w:p>
    <w:p w14:paraId="2E56D8C8">
      <w:pPr>
        <w:numPr>
          <w:ilvl w:val="0"/>
          <w:numId w:val="2"/>
        </w:numPr>
        <w:ind w:left="0" w:leftChars="0" w:firstLine="560" w:firstLineChars="200"/>
        <w:rPr>
          <w:rFonts w:hint="eastAsia"/>
          <w:color w:val="auto"/>
        </w:rPr>
      </w:pPr>
      <w:r>
        <w:rPr>
          <w:rFonts w:hint="eastAsia"/>
          <w:color w:val="auto"/>
        </w:rPr>
        <w:t>对策措施建议</w:t>
      </w:r>
    </w:p>
    <w:p w14:paraId="3790AE16">
      <w:pPr>
        <w:rPr>
          <w:rFonts w:hint="eastAsia"/>
          <w:color w:val="auto"/>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根据危险、有害因素辨识结果与定性、定量评价结果，遵循针对性、技术可行性、经济合理性的原则，提出消除或减弱危险、危害的技术和管理对策措施建议。</w:t>
      </w:r>
    </w:p>
    <w:p w14:paraId="1631638E">
      <w:pPr>
        <w:rPr>
          <w:rFonts w:hint="eastAsia"/>
          <w:color w:val="auto"/>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对策措施建议应具体祥实、具有可操作性。按照针对性和重要性的不同，措施和建议可分为应采纳和宜采纳两种类型。</w:t>
      </w:r>
    </w:p>
    <w:p w14:paraId="3F44B8C3">
      <w:pPr>
        <w:rPr>
          <w:rFonts w:hint="eastAsia"/>
          <w:color w:val="auto"/>
        </w:rPr>
      </w:pPr>
      <w:r>
        <w:rPr>
          <w:rFonts w:hint="eastAsia"/>
          <w:color w:val="auto"/>
          <w:lang w:val="en-US" w:eastAsia="zh-CN"/>
        </w:rPr>
        <w:t xml:space="preserve">7. </w:t>
      </w:r>
      <w:r>
        <w:rPr>
          <w:rFonts w:hint="eastAsia"/>
          <w:color w:val="auto"/>
        </w:rPr>
        <w:t>安全评价结论</w:t>
      </w:r>
    </w:p>
    <w:p w14:paraId="4DAA9FF2">
      <w:pPr>
        <w:rPr>
          <w:rFonts w:hint="eastAsia"/>
          <w:color w:val="auto"/>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安全评价机构应根据客观、公正、真实的原则，严谨、明确地做出安全评价结论。</w:t>
      </w:r>
    </w:p>
    <w:p w14:paraId="13618D6A">
      <w:pPr>
        <w:rPr>
          <w:rFonts w:hint="eastAsia"/>
          <w:color w:val="auto"/>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安全评价结论的内容应包括高度概括评价结果，从风险管理角度给出评价对象在评价时与国家有关安全生产的法律法规、标准、规章、规范的符合性结论，给出事故发生的可能性和严重程度的预测性结论，以及采取安全对策措施后的安全状态等。</w:t>
      </w:r>
    </w:p>
    <w:p w14:paraId="348886AB">
      <w:pPr>
        <w:rPr>
          <w:rFonts w:hint="eastAsia"/>
          <w:color w:val="auto"/>
        </w:rPr>
      </w:pPr>
      <w:r>
        <w:rPr>
          <w:rFonts w:hint="eastAsia"/>
          <w:color w:val="auto"/>
          <w:lang w:val="en-US" w:eastAsia="zh-CN"/>
        </w:rPr>
        <w:t xml:space="preserve">8. </w:t>
      </w:r>
      <w:r>
        <w:rPr>
          <w:rFonts w:hint="eastAsia"/>
          <w:color w:val="auto"/>
        </w:rPr>
        <w:t>编制安全评价报告</w:t>
      </w:r>
    </w:p>
    <w:p w14:paraId="6D7BCA3A">
      <w:pPr>
        <w:rPr>
          <w:rFonts w:hint="eastAsia"/>
          <w:color w:val="auto"/>
        </w:rPr>
      </w:pPr>
      <w:r>
        <w:rPr>
          <w:rFonts w:hint="eastAsia"/>
          <w:color w:val="auto"/>
        </w:rPr>
        <w:t>安全现状评价程序框图1</w:t>
      </w:r>
      <w:r>
        <w:rPr>
          <w:rFonts w:hint="eastAsia"/>
          <w:color w:val="auto"/>
          <w:lang w:val="en-US" w:eastAsia="zh-CN"/>
        </w:rPr>
        <w:t>.4</w:t>
      </w:r>
      <w:r>
        <w:rPr>
          <w:rFonts w:hint="eastAsia"/>
          <w:color w:val="auto"/>
        </w:rPr>
        <w:t>-1：</w:t>
      </w:r>
    </w:p>
    <w:p w14:paraId="3341D22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color w:val="auto"/>
          <w:sz w:val="28"/>
        </w:rPr>
        <mc:AlternateContent>
          <mc:Choice Requires="wpg">
            <w:drawing>
              <wp:inline distT="0" distB="0" distL="114300" distR="114300">
                <wp:extent cx="3009900" cy="5445760"/>
                <wp:effectExtent l="0" t="0" r="0" b="0"/>
                <wp:docPr id="40" name="组合 40"/>
                <wp:cNvGraphicFramePr/>
                <a:graphic xmlns:a="http://schemas.openxmlformats.org/drawingml/2006/main">
                  <a:graphicData uri="http://schemas.microsoft.com/office/word/2010/wordprocessingGroup">
                    <wpg:wgp>
                      <wpg:cNvGrpSpPr/>
                      <wpg:grpSpPr>
                        <a:xfrm>
                          <a:off x="0" y="0"/>
                          <a:ext cx="3009900" cy="5445760"/>
                          <a:chOff x="4464" y="310180"/>
                          <a:chExt cx="4740" cy="8576"/>
                        </a:xfrm>
                      </wpg:grpSpPr>
                      <wps:wsp>
                        <wps:cNvPr id="24" name="文本框 1"/>
                        <wps:cNvSpPr txBox="1"/>
                        <wps:spPr>
                          <a:xfrm>
                            <a:off x="4474" y="310180"/>
                            <a:ext cx="4730"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28790A">
                              <w:pPr>
                                <w:ind w:left="0" w:leftChars="0" w:firstLine="0" w:firstLineChars="0"/>
                                <w:jc w:val="center"/>
                                <w:rPr>
                                  <w:sz w:val="21"/>
                                  <w:szCs w:val="21"/>
                                </w:rPr>
                              </w:pPr>
                              <w:r>
                                <w:rPr>
                                  <w:rFonts w:hint="eastAsia"/>
                                  <w:sz w:val="21"/>
                                  <w:szCs w:val="21"/>
                                </w:rPr>
                                <w:t>前期准备</w:t>
                              </w:r>
                            </w:p>
                          </w:txbxContent>
                        </wps:txbx>
                        <wps:bodyPr upright="1"/>
                      </wps:wsp>
                      <wps:wsp>
                        <wps:cNvPr id="25" name="文本框 2"/>
                        <wps:cNvSpPr txBox="1"/>
                        <wps:spPr>
                          <a:xfrm>
                            <a:off x="4474" y="311303"/>
                            <a:ext cx="4705"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141113">
                              <w:pPr>
                                <w:ind w:left="0" w:leftChars="0" w:firstLine="0" w:firstLineChars="0"/>
                                <w:jc w:val="center"/>
                                <w:rPr>
                                  <w:sz w:val="21"/>
                                  <w:szCs w:val="21"/>
                                </w:rPr>
                              </w:pPr>
                              <w:r>
                                <w:rPr>
                                  <w:rFonts w:hint="eastAsia"/>
                                  <w:sz w:val="21"/>
                                  <w:szCs w:val="21"/>
                                </w:rPr>
                                <w:t>辩识与分析危险、有害因素</w:t>
                              </w:r>
                            </w:p>
                          </w:txbxContent>
                        </wps:txbx>
                        <wps:bodyPr upright="1"/>
                      </wps:wsp>
                      <wps:wsp>
                        <wps:cNvPr id="26" name="文本框 3"/>
                        <wps:cNvSpPr txBox="1"/>
                        <wps:spPr>
                          <a:xfrm>
                            <a:off x="4474" y="312532"/>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BE64CE">
                              <w:pPr>
                                <w:ind w:left="0" w:leftChars="0" w:firstLine="0" w:firstLineChars="0"/>
                                <w:jc w:val="center"/>
                                <w:rPr>
                                  <w:sz w:val="21"/>
                                  <w:szCs w:val="21"/>
                                </w:rPr>
                              </w:pPr>
                              <w:r>
                                <w:rPr>
                                  <w:rFonts w:hint="eastAsia"/>
                                  <w:sz w:val="21"/>
                                  <w:szCs w:val="21"/>
                                </w:rPr>
                                <w:t>划分评价单元</w:t>
                              </w:r>
                            </w:p>
                          </w:txbxContent>
                        </wps:txbx>
                        <wps:bodyPr upright="1"/>
                      </wps:wsp>
                      <wps:wsp>
                        <wps:cNvPr id="27" name="文本框 4"/>
                        <wps:cNvSpPr txBox="1"/>
                        <wps:spPr>
                          <a:xfrm>
                            <a:off x="4474" y="313655"/>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6691AE">
                              <w:pPr>
                                <w:ind w:left="0" w:leftChars="0" w:firstLine="0" w:firstLineChars="0"/>
                                <w:jc w:val="center"/>
                                <w:rPr>
                                  <w:sz w:val="21"/>
                                  <w:szCs w:val="21"/>
                                </w:rPr>
                              </w:pPr>
                              <w:r>
                                <w:rPr>
                                  <w:rFonts w:hint="eastAsia"/>
                                  <w:sz w:val="21"/>
                                  <w:szCs w:val="21"/>
                                </w:rPr>
                                <w:t>选择评价方法</w:t>
                              </w:r>
                            </w:p>
                          </w:txbxContent>
                        </wps:txbx>
                        <wps:bodyPr upright="1"/>
                      </wps:wsp>
                      <wps:wsp>
                        <wps:cNvPr id="28" name="文本框 5"/>
                        <wps:cNvSpPr txBox="1"/>
                        <wps:spPr>
                          <a:xfrm>
                            <a:off x="4474" y="314871"/>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7AB3E8">
                              <w:pPr>
                                <w:ind w:left="0" w:leftChars="0" w:firstLine="0" w:firstLineChars="0"/>
                                <w:jc w:val="center"/>
                                <w:rPr>
                                  <w:sz w:val="21"/>
                                  <w:szCs w:val="21"/>
                                </w:rPr>
                              </w:pPr>
                              <w:r>
                                <w:rPr>
                                  <w:rFonts w:hint="eastAsia"/>
                                  <w:sz w:val="21"/>
                                  <w:szCs w:val="21"/>
                                </w:rPr>
                                <w:t>定性、定量评价</w:t>
                              </w:r>
                            </w:p>
                          </w:txbxContent>
                        </wps:txbx>
                        <wps:bodyPr upright="1"/>
                      </wps:wsp>
                      <wps:wsp>
                        <wps:cNvPr id="29" name="文本框 6"/>
                        <wps:cNvSpPr txBox="1"/>
                        <wps:spPr>
                          <a:xfrm>
                            <a:off x="4474" y="315994"/>
                            <a:ext cx="4676"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E797F0">
                              <w:pPr>
                                <w:ind w:left="0" w:leftChars="0" w:firstLine="0" w:firstLineChars="0"/>
                                <w:jc w:val="center"/>
                              </w:pPr>
                              <w:r>
                                <w:rPr>
                                  <w:rFonts w:hint="eastAsia"/>
                                  <w:sz w:val="21"/>
                                  <w:szCs w:val="21"/>
                                </w:rPr>
                                <w:t>提出安全对策措施建议</w:t>
                              </w:r>
                            </w:p>
                          </w:txbxContent>
                        </wps:txbx>
                        <wps:bodyPr upright="1"/>
                      </wps:wsp>
                      <wps:wsp>
                        <wps:cNvPr id="30" name="文本框 7"/>
                        <wps:cNvSpPr txBox="1"/>
                        <wps:spPr>
                          <a:xfrm>
                            <a:off x="4474" y="317223"/>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1C222B">
                              <w:pPr>
                                <w:ind w:left="0" w:leftChars="0" w:firstLine="0" w:firstLineChars="0"/>
                                <w:jc w:val="center"/>
                                <w:rPr>
                                  <w:sz w:val="21"/>
                                  <w:szCs w:val="21"/>
                                </w:rPr>
                              </w:pPr>
                              <w:r>
                                <w:rPr>
                                  <w:rFonts w:hint="eastAsia"/>
                                  <w:sz w:val="21"/>
                                  <w:szCs w:val="21"/>
                                </w:rPr>
                                <w:t>做出评价结论</w:t>
                              </w:r>
                            </w:p>
                          </w:txbxContent>
                        </wps:txbx>
                        <wps:bodyPr upright="1"/>
                      </wps:wsp>
                      <wps:wsp>
                        <wps:cNvPr id="31" name="文本框 8"/>
                        <wps:cNvSpPr txBox="1"/>
                        <wps:spPr>
                          <a:xfrm>
                            <a:off x="4464" y="318345"/>
                            <a:ext cx="4681"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6AE292">
                              <w:pPr>
                                <w:keepNext w:val="0"/>
                                <w:keepLines w:val="0"/>
                                <w:pageBreakBefore w:val="0"/>
                                <w:widowControl w:val="0"/>
                                <w:kinsoku/>
                                <w:wordWrap/>
                                <w:overflowPunct/>
                                <w:topLinePunct w:val="0"/>
                                <w:bidi w:val="0"/>
                                <w:adjustRightInd w:val="0"/>
                                <w:snapToGrid w:val="0"/>
                                <w:ind w:left="0" w:leftChars="0" w:firstLine="0" w:firstLineChars="0"/>
                                <w:jc w:val="center"/>
                                <w:textAlignment w:val="auto"/>
                              </w:pPr>
                              <w:r>
                                <w:rPr>
                                  <w:rFonts w:hint="eastAsia"/>
                                  <w:sz w:val="21"/>
                                  <w:szCs w:val="21"/>
                                </w:rPr>
                                <w:t>编制安全现状评价报告</w:t>
                              </w:r>
                            </w:p>
                          </w:txbxContent>
                        </wps:txbx>
                        <wps:bodyPr upright="1"/>
                      </wps:wsp>
                      <wps:wsp>
                        <wps:cNvPr id="32" name="直接连接符 9"/>
                        <wps:cNvCnPr/>
                        <wps:spPr>
                          <a:xfrm>
                            <a:off x="6795" y="310587"/>
                            <a:ext cx="0" cy="714"/>
                          </a:xfrm>
                          <a:prstGeom prst="line">
                            <a:avLst/>
                          </a:prstGeom>
                          <a:ln w="9525" cap="flat" cmpd="sng">
                            <a:solidFill>
                              <a:srgbClr val="000000"/>
                            </a:solidFill>
                            <a:prstDash val="solid"/>
                            <a:headEnd type="none" w="med" len="med"/>
                            <a:tailEnd type="triangle" w="med" len="med"/>
                          </a:ln>
                        </wps:spPr>
                        <wps:bodyPr upright="1"/>
                      </wps:wsp>
                      <wps:wsp>
                        <wps:cNvPr id="33" name="直接连接符 10"/>
                        <wps:cNvCnPr/>
                        <wps:spPr>
                          <a:xfrm>
                            <a:off x="6795" y="311711"/>
                            <a:ext cx="0" cy="819"/>
                          </a:xfrm>
                          <a:prstGeom prst="line">
                            <a:avLst/>
                          </a:prstGeom>
                          <a:ln w="9525" cap="flat" cmpd="sng">
                            <a:solidFill>
                              <a:srgbClr val="000000"/>
                            </a:solidFill>
                            <a:prstDash val="solid"/>
                            <a:headEnd type="none" w="med" len="med"/>
                            <a:tailEnd type="triangle" w="med" len="med"/>
                          </a:ln>
                        </wps:spPr>
                        <wps:bodyPr upright="1"/>
                      </wps:wsp>
                      <wps:wsp>
                        <wps:cNvPr id="34" name="直接连接符 11"/>
                        <wps:cNvCnPr/>
                        <wps:spPr>
                          <a:xfrm>
                            <a:off x="6817" y="312940"/>
                            <a:ext cx="0" cy="714"/>
                          </a:xfrm>
                          <a:prstGeom prst="line">
                            <a:avLst/>
                          </a:prstGeom>
                          <a:ln w="9525" cap="flat" cmpd="sng">
                            <a:solidFill>
                              <a:srgbClr val="000000"/>
                            </a:solidFill>
                            <a:prstDash val="solid"/>
                            <a:headEnd type="none" w="med" len="med"/>
                            <a:tailEnd type="triangle" w="med" len="med"/>
                          </a:ln>
                        </wps:spPr>
                        <wps:bodyPr upright="1"/>
                      </wps:wsp>
                      <wps:wsp>
                        <wps:cNvPr id="35" name="直接连接符 12"/>
                        <wps:cNvCnPr/>
                        <wps:spPr>
                          <a:xfrm>
                            <a:off x="6817" y="314063"/>
                            <a:ext cx="0" cy="806"/>
                          </a:xfrm>
                          <a:prstGeom prst="line">
                            <a:avLst/>
                          </a:prstGeom>
                          <a:ln w="9525" cap="flat" cmpd="sng">
                            <a:solidFill>
                              <a:srgbClr val="000000"/>
                            </a:solidFill>
                            <a:prstDash val="solid"/>
                            <a:headEnd type="none" w="med" len="med"/>
                            <a:tailEnd type="triangle" w="med" len="med"/>
                          </a:ln>
                        </wps:spPr>
                        <wps:bodyPr upright="1"/>
                      </wps:wsp>
                      <wps:wsp>
                        <wps:cNvPr id="36" name="直接连接符 13"/>
                        <wps:cNvCnPr/>
                        <wps:spPr>
                          <a:xfrm>
                            <a:off x="6817" y="315278"/>
                            <a:ext cx="0" cy="714"/>
                          </a:xfrm>
                          <a:prstGeom prst="line">
                            <a:avLst/>
                          </a:prstGeom>
                          <a:ln w="9525" cap="flat" cmpd="sng">
                            <a:solidFill>
                              <a:srgbClr val="000000"/>
                            </a:solidFill>
                            <a:prstDash val="solid"/>
                            <a:headEnd type="none" w="med" len="med"/>
                            <a:tailEnd type="triangle" w="med" len="med"/>
                          </a:ln>
                        </wps:spPr>
                        <wps:bodyPr upright="1"/>
                      </wps:wsp>
                      <wps:wsp>
                        <wps:cNvPr id="37" name="直接连接符 14"/>
                        <wps:cNvCnPr/>
                        <wps:spPr>
                          <a:xfrm>
                            <a:off x="6795" y="316402"/>
                            <a:ext cx="0" cy="819"/>
                          </a:xfrm>
                          <a:prstGeom prst="line">
                            <a:avLst/>
                          </a:prstGeom>
                          <a:ln w="9525" cap="flat" cmpd="sng">
                            <a:solidFill>
                              <a:srgbClr val="000000"/>
                            </a:solidFill>
                            <a:prstDash val="solid"/>
                            <a:headEnd type="none" w="med" len="med"/>
                            <a:tailEnd type="triangle" w="med" len="med"/>
                          </a:ln>
                        </wps:spPr>
                        <wps:bodyPr upright="1"/>
                      </wps:wsp>
                      <wps:wsp>
                        <wps:cNvPr id="38" name="直接连接符 15"/>
                        <wps:cNvCnPr/>
                        <wps:spPr>
                          <a:xfrm>
                            <a:off x="6795" y="317631"/>
                            <a:ext cx="0" cy="714"/>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28.8pt;width:237pt;" coordorigin="4464,310180" coordsize="4740,8576" o:gfxdata="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ACpbnz1gAA&#10;AAUBAAAPAAAAAAAAAAEAIAAAACIAAABkcnMvZG93bnJldi54bWxQSwECFAAUAAAACACHTuJAGmaA&#10;tVoEAABaJAAADgAAAAAAAAABACAAAAAlAQAAZHJzL2Uyb0RvYy54bWxQSwUGAAAAAAYABgBZAQAA&#10;8QcAAAAA&#10;">
                <o:lock v:ext="edit" aspectratio="f"/>
                <v:shape id="文本框 1" o:spid="_x0000_s1026" o:spt="202" type="#_x0000_t202" style="position:absolute;left:4474;top:310180;height:410;width:4730;"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B28790A">
                        <w:pPr>
                          <w:ind w:left="0" w:leftChars="0" w:firstLine="0" w:firstLineChars="0"/>
                          <w:jc w:val="center"/>
                          <w:rPr>
                            <w:sz w:val="21"/>
                            <w:szCs w:val="21"/>
                          </w:rPr>
                        </w:pPr>
                        <w:r>
                          <w:rPr>
                            <w:rFonts w:hint="eastAsia"/>
                            <w:sz w:val="21"/>
                            <w:szCs w:val="21"/>
                          </w:rPr>
                          <w:t>前期准备</w:t>
                        </w:r>
                      </w:p>
                    </w:txbxContent>
                  </v:textbox>
                </v:shape>
                <v:shape id="文本框 2" o:spid="_x0000_s1026" o:spt="202" type="#_x0000_t202" style="position:absolute;left:4474;top:311303;height:411;width:4705;" fillcolor="#FFFFFF" filled="t" stroked="t" coordsize="21600,21600"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4141113">
                        <w:pPr>
                          <w:ind w:left="0" w:leftChars="0" w:firstLine="0" w:firstLineChars="0"/>
                          <w:jc w:val="center"/>
                          <w:rPr>
                            <w:sz w:val="21"/>
                            <w:szCs w:val="21"/>
                          </w:rPr>
                        </w:pPr>
                        <w:r>
                          <w:rPr>
                            <w:rFonts w:hint="eastAsia"/>
                            <w:sz w:val="21"/>
                            <w:szCs w:val="21"/>
                          </w:rPr>
                          <w:t>辩识与分析危险、有害因素</w:t>
                        </w:r>
                      </w:p>
                    </w:txbxContent>
                  </v:textbox>
                </v:shape>
                <v:shape id="文本框 3" o:spid="_x0000_s1026" o:spt="202" type="#_x0000_t202" style="position:absolute;left:4474;top:312532;height:410;width:4688;" fillcolor="#FFFFFF" filled="t" stroked="t" coordsize="21600,21600" o:gfxdata="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Si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BE64CE">
                        <w:pPr>
                          <w:ind w:left="0" w:leftChars="0" w:firstLine="0" w:firstLineChars="0"/>
                          <w:jc w:val="center"/>
                          <w:rPr>
                            <w:sz w:val="21"/>
                            <w:szCs w:val="21"/>
                          </w:rPr>
                        </w:pPr>
                        <w:r>
                          <w:rPr>
                            <w:rFonts w:hint="eastAsia"/>
                            <w:sz w:val="21"/>
                            <w:szCs w:val="21"/>
                          </w:rPr>
                          <w:t>划分评价单元</w:t>
                        </w:r>
                      </w:p>
                    </w:txbxContent>
                  </v:textbox>
                </v:shape>
                <v:shape id="文本框 4" o:spid="_x0000_s1026" o:spt="202" type="#_x0000_t202" style="position:absolute;left:4474;top:313655;height:410;width:4688;" fillcolor="#FFFFFF" filled="t" stroked="t" coordsize="21600,21600" o:gfxdata="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BjRC/&#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76691AE">
                        <w:pPr>
                          <w:ind w:left="0" w:leftChars="0" w:firstLine="0" w:firstLineChars="0"/>
                          <w:jc w:val="center"/>
                          <w:rPr>
                            <w:sz w:val="21"/>
                            <w:szCs w:val="21"/>
                          </w:rPr>
                        </w:pPr>
                        <w:r>
                          <w:rPr>
                            <w:rFonts w:hint="eastAsia"/>
                            <w:sz w:val="21"/>
                            <w:szCs w:val="21"/>
                          </w:rPr>
                          <w:t>选择评价方法</w:t>
                        </w:r>
                      </w:p>
                    </w:txbxContent>
                  </v:textbox>
                </v:shape>
                <v:shape id="文本框 5" o:spid="_x0000_s1026" o:spt="202" type="#_x0000_t202" style="position:absolute;left:4474;top:314871;height:410;width:4688;" fillcolor="#FFFFFF" filled="t" stroked="t" coordsize="21600,21600" o:gfxdata="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hli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07AB3E8">
                        <w:pPr>
                          <w:ind w:left="0" w:leftChars="0" w:firstLine="0" w:firstLineChars="0"/>
                          <w:jc w:val="center"/>
                          <w:rPr>
                            <w:sz w:val="21"/>
                            <w:szCs w:val="21"/>
                          </w:rPr>
                        </w:pPr>
                        <w:r>
                          <w:rPr>
                            <w:rFonts w:hint="eastAsia"/>
                            <w:sz w:val="21"/>
                            <w:szCs w:val="21"/>
                          </w:rPr>
                          <w:t>定性、定量评价</w:t>
                        </w:r>
                      </w:p>
                    </w:txbxContent>
                  </v:textbox>
                </v:shape>
                <v:shape id="文本框 6" o:spid="_x0000_s1026" o:spt="202" type="#_x0000_t202" style="position:absolute;left:4474;top:315994;height:411;width:4676;" fillcolor="#FFFFFF" filled="t" stroked="t" coordsize="21600,21600" o:gfxdata="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Erz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4E797F0">
                        <w:pPr>
                          <w:ind w:left="0" w:leftChars="0" w:firstLine="0" w:firstLineChars="0"/>
                          <w:jc w:val="center"/>
                        </w:pPr>
                        <w:r>
                          <w:rPr>
                            <w:rFonts w:hint="eastAsia"/>
                            <w:sz w:val="21"/>
                            <w:szCs w:val="21"/>
                          </w:rPr>
                          <w:t>提出安全对策措施建议</w:t>
                        </w:r>
                      </w:p>
                    </w:txbxContent>
                  </v:textbox>
                </v:shape>
                <v:shape id="文本框 7" o:spid="_x0000_s1026" o:spt="202" type="#_x0000_t202" style="position:absolute;left:4474;top:317223;height:410;width:4688;" fillcolor="#FFFFFF" filled="t" stroked="t" coordsize="21600,21600" o:gfxdata="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GDu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61C222B">
                        <w:pPr>
                          <w:ind w:left="0" w:leftChars="0" w:firstLine="0" w:firstLineChars="0"/>
                          <w:jc w:val="center"/>
                          <w:rPr>
                            <w:sz w:val="21"/>
                            <w:szCs w:val="21"/>
                          </w:rPr>
                        </w:pPr>
                        <w:r>
                          <w:rPr>
                            <w:rFonts w:hint="eastAsia"/>
                            <w:sz w:val="21"/>
                            <w:szCs w:val="21"/>
                          </w:rPr>
                          <w:t>做出评价结论</w:t>
                        </w:r>
                      </w:p>
                    </w:txbxContent>
                  </v:textbox>
                </v:shape>
                <v:shape id="文本框 8" o:spid="_x0000_s1026" o:spt="202" type="#_x0000_t202" style="position:absolute;left:4464;top:318345;height:411;width:4681;" fillcolor="#FFFFFF" filled="t" stroked="t" coordsize="21600,21600" o:gfxdata="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0mI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16AE292">
                        <w:pPr>
                          <w:keepNext w:val="0"/>
                          <w:keepLines w:val="0"/>
                          <w:pageBreakBefore w:val="0"/>
                          <w:widowControl w:val="0"/>
                          <w:kinsoku/>
                          <w:wordWrap/>
                          <w:overflowPunct/>
                          <w:topLinePunct w:val="0"/>
                          <w:bidi w:val="0"/>
                          <w:adjustRightInd w:val="0"/>
                          <w:snapToGrid w:val="0"/>
                          <w:ind w:left="0" w:leftChars="0" w:firstLine="0" w:firstLineChars="0"/>
                          <w:jc w:val="center"/>
                          <w:textAlignment w:val="auto"/>
                        </w:pPr>
                        <w:r>
                          <w:rPr>
                            <w:rFonts w:hint="eastAsia"/>
                            <w:sz w:val="21"/>
                            <w:szCs w:val="21"/>
                          </w:rPr>
                          <w:t>编制安全现状评价报告</w:t>
                        </w:r>
                      </w:p>
                    </w:txbxContent>
                  </v:textbox>
                </v:shape>
                <v:line id="直接连接符 9" o:spid="_x0000_s1026" o:spt="20" style="position:absolute;left:6795;top:310587;height:714;width:0;"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0" o:spid="_x0000_s1026" o:spt="20" style="position:absolute;left:6795;top:311711;height:819;width:0;" filled="f" stroked="t" coordsize="21600,21600" o:gfxdata="UEsDBAoAAAAAAIdO4kAAAAAAAAAAAAAAAAAEAAAAZHJzL1BLAwQUAAAACACHTuJA0s4+vL4AAADb&#10;AAAADwAAAGRycy9kb3ducmV2LnhtbEWPQWvCQBSE74L/YXmCN91EoY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s4+v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11" o:spid="_x0000_s1026" o:spt="20" style="position:absolute;left:6817;top:312940;height:714;width:0;" filled="f" stroked="t" coordsize="21600,21600" o:gfxdata="UEsDBAoAAAAAAIdO4kAAAAAAAAAAAAAAAAAEAAAAZHJzL1BLAwQUAAAACACHTuJAXSemyL8AAADb&#10;AAAADwAAAGRycy9kb3ducmV2LnhtbEWPT2vCQBTE7wW/w/KE3uomtki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nps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2" o:spid="_x0000_s1026" o:spt="20" style="position:absolute;left:6817;top:314063;height:806;width:0;" filled="f" stroked="t" coordsize="21600,21600" o:gfxdata="UEsDBAoAAAAAAIdO4kAAAAAAAAAAAAAAAAAEAAAAZHJzL1BLAwQUAAAACACHTuJAMmsDU78AAADb&#10;AAAADwAAAGRycy9kb3ducmV2LnhtbEWPT2vCQBTE7wW/w/KE3uoml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rA1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3" o:spid="_x0000_s1026" o:spt="20" style="position:absolute;left:6817;top:315278;height:714;width:0;" filled="f" stroked="t" coordsize="21600,21600" o:gfxdata="UEsDBAoAAAAAAIdO4kAAAAAAAAAAAAAAAAAEAAAAZHJzL1BLAwQUAAAACACHTuJAwrmdJL8AAADb&#10;AAAADwAAAGRycy9kb3ducmV2LnhtbEWPT2vCQBTE74LfYXmCN92kBQ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5nS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4" o:spid="_x0000_s1026" o:spt="20" style="position:absolute;left:6795;top:316402;height:819;width:0;" filled="f" stroked="t" coordsize="21600,21600" o:gfxdata="UEsDBAoAAAAAAIdO4kAAAAAAAAAAAAAAAAAEAAAAZHJzL1BLAwQUAAAACACHTuJArfU4v78AAADb&#10;AAAADwAAAGRycy9kb3ducmV2LnhtbEWPT2vCQBTE7wW/w/KE3uomF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1OL+/&#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5" o:spid="_x0000_s1026" o:spt="20" style="position:absolute;left:6795;top:317631;height:714;width:0;" filled="f" stroked="t" coordsize="21600,21600" o:gfxdata="UEsDBAoAAAAAAIdO4kAAAAAAAAAAAAAAAAAEAAAAZHJzL1BLAwQUAAAACACHTuJA3GqszbsAAADb&#10;AAAADwAAAGRycy9kb3ducmV2LnhtbEVPy4rCMBTdC/MP4Q6407QK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Gqsz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w10:wrap type="none"/>
                <w10:anchorlock/>
              </v:group>
            </w:pict>
          </mc:Fallback>
        </mc:AlternateContent>
      </w:r>
    </w:p>
    <w:p w14:paraId="535B274A">
      <w:pPr>
        <w:bidi w:val="0"/>
        <w:ind w:left="0" w:leftChars="0" w:firstLine="0" w:firstLineChars="0"/>
        <w:jc w:val="center"/>
        <w:rPr>
          <w:color w:val="auto"/>
        </w:rPr>
      </w:pPr>
      <w:r>
        <w:rPr>
          <w:rFonts w:hint="eastAsia"/>
          <w:color w:val="auto"/>
          <w:lang w:val="en-US" w:eastAsia="zh-CN"/>
        </w:rPr>
        <w:t xml:space="preserve">图1.4-1 </w:t>
      </w:r>
      <w:r>
        <w:rPr>
          <w:color w:val="auto"/>
        </w:rPr>
        <w:t>安全现状评价程序框</w:t>
      </w:r>
    </w:p>
    <w:p w14:paraId="2C94622D">
      <w:pPr>
        <w:ind w:left="0" w:leftChars="0" w:firstLine="0" w:firstLineChars="0"/>
        <w:rPr>
          <w:rFonts w:hint="eastAsia"/>
          <w:color w:val="auto"/>
        </w:rPr>
      </w:pPr>
      <w:r>
        <w:rPr>
          <w:color w:val="auto"/>
          <w:sz w:val="28"/>
        </w:rPr>
        <mc:AlternateContent>
          <mc:Choice Requires="wps">
            <w:drawing>
              <wp:anchor distT="0" distB="0" distL="114300" distR="114300" simplePos="0" relativeHeight="251660288" behindDoc="0" locked="0" layoutInCell="1" allowOverlap="1">
                <wp:simplePos x="0" y="0"/>
                <wp:positionH relativeFrom="column">
                  <wp:posOffset>-46355</wp:posOffset>
                </wp:positionH>
                <wp:positionV relativeFrom="paragraph">
                  <wp:posOffset>5895340</wp:posOffset>
                </wp:positionV>
                <wp:extent cx="5753100" cy="3810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5753100"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7471A41">
                            <w:pPr>
                              <w:bidi w:val="0"/>
                              <w:ind w:left="0" w:leftChars="0" w:firstLine="0" w:firstLineChars="0"/>
                              <w:jc w:val="center"/>
                              <w:rPr>
                                <w:rFonts w:hint="default"/>
                                <w:lang w:val="en-US" w:eastAsia="zh-CN"/>
                              </w:rPr>
                            </w:pPr>
                            <w:r>
                              <w:rPr>
                                <w:rFonts w:hint="eastAsia"/>
                                <w:lang w:val="en-US" w:eastAsia="zh-CN"/>
                              </w:rPr>
                              <w:t xml:space="preserve">图1-1 </w:t>
                            </w:r>
                            <w:r>
                              <w:t>安全现状评价程序框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pt;margin-top:464.2pt;height:30pt;width:453pt;z-index:251660288;mso-width-relative:page;mso-height-relative:page;" fillcolor="#FFFFFF [3201]" filled="t" stroked="f" coordsize="21600,21600" o:gfxdata="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Hv0nLWAAAACgEAAA8A&#10;AAAAAAAAAQAgAAAAIgAAAGRycy9kb3ducmV2LnhtbFBLAQIUABQAAAAIAIdO4kAA7ySWUgIAAJEE&#10;AAAOAAAAAAAAAAEAIAAAACUBAABkcnMvZTJvRG9jLnhtbFBLBQYAAAAABgAGAFkBAADpBQAAAAA=&#10;">
                <v:fill on="t" focussize="0,0"/>
                <v:stroke on="f" weight="0.5pt"/>
                <v:imagedata o:title=""/>
                <o:lock v:ext="edit" aspectratio="f"/>
                <v:textbox>
                  <w:txbxContent>
                    <w:p w14:paraId="77471A41">
                      <w:pPr>
                        <w:bidi w:val="0"/>
                        <w:ind w:left="0" w:leftChars="0" w:firstLine="0" w:firstLineChars="0"/>
                        <w:jc w:val="center"/>
                        <w:rPr>
                          <w:rFonts w:hint="default"/>
                          <w:lang w:val="en-US" w:eastAsia="zh-CN"/>
                        </w:rPr>
                      </w:pPr>
                      <w:r>
                        <w:rPr>
                          <w:rFonts w:hint="eastAsia"/>
                          <w:lang w:val="en-US" w:eastAsia="zh-CN"/>
                        </w:rPr>
                        <w:t xml:space="preserve">图1-1 </w:t>
                      </w:r>
                      <w:r>
                        <w:t>安全现状评价程序框</w:t>
                      </w:r>
                    </w:p>
                  </w:txbxContent>
                </v:textbox>
              </v:shape>
            </w:pict>
          </mc:Fallback>
        </mc:AlternateContent>
      </w:r>
      <w:r>
        <w:rPr>
          <w:rFonts w:hint="eastAsia"/>
          <w:color w:val="auto"/>
        </w:rPr>
        <w:br w:type="page"/>
      </w:r>
    </w:p>
    <w:p w14:paraId="00CC2BA2">
      <w:pPr>
        <w:pStyle w:val="2"/>
        <w:numPr>
          <w:ilvl w:val="0"/>
          <w:numId w:val="1"/>
        </w:numPr>
        <w:bidi w:val="0"/>
        <w:ind w:left="0" w:leftChars="0" w:firstLine="0" w:firstLineChars="0"/>
        <w:rPr>
          <w:rFonts w:hint="eastAsia"/>
          <w:color w:val="auto"/>
        </w:rPr>
      </w:pPr>
      <w:bookmarkStart w:id="78" w:name="_Toc32025"/>
      <w:bookmarkStart w:id="79" w:name="_Toc29527"/>
      <w:bookmarkStart w:id="80" w:name="_Toc4025"/>
      <w:bookmarkStart w:id="81" w:name="_Toc32339"/>
      <w:bookmarkStart w:id="82" w:name="_Toc11386"/>
      <w:r>
        <w:rPr>
          <w:rFonts w:hint="eastAsia"/>
          <w:color w:val="auto"/>
        </w:rPr>
        <w:t>尾矿库概况</w:t>
      </w:r>
      <w:bookmarkEnd w:id="78"/>
      <w:bookmarkEnd w:id="79"/>
      <w:bookmarkEnd w:id="80"/>
      <w:bookmarkEnd w:id="81"/>
      <w:bookmarkEnd w:id="82"/>
    </w:p>
    <w:p w14:paraId="34C45DED">
      <w:pPr>
        <w:pStyle w:val="3"/>
        <w:bidi w:val="0"/>
        <w:rPr>
          <w:rFonts w:hint="eastAsia"/>
          <w:color w:val="auto"/>
        </w:rPr>
      </w:pPr>
      <w:bookmarkStart w:id="83" w:name="_Toc31252"/>
      <w:bookmarkStart w:id="84" w:name="_Toc14277"/>
      <w:bookmarkStart w:id="85" w:name="_Toc14132"/>
      <w:bookmarkStart w:id="86" w:name="_Toc28998"/>
      <w:bookmarkStart w:id="87" w:name="_Toc22818"/>
      <w:r>
        <w:rPr>
          <w:rFonts w:hint="eastAsia"/>
          <w:color w:val="auto"/>
        </w:rPr>
        <w:t>2.1</w:t>
      </w:r>
      <w:r>
        <w:rPr>
          <w:rFonts w:hint="eastAsia"/>
          <w:color w:val="auto"/>
          <w:lang w:val="en-US" w:eastAsia="zh-CN"/>
        </w:rPr>
        <w:t xml:space="preserve"> </w:t>
      </w:r>
      <w:bookmarkEnd w:id="83"/>
      <w:bookmarkEnd w:id="84"/>
      <w:bookmarkEnd w:id="85"/>
      <w:r>
        <w:rPr>
          <w:rFonts w:hint="eastAsia"/>
          <w:color w:val="auto"/>
        </w:rPr>
        <w:t>建设单位概况</w:t>
      </w:r>
      <w:bookmarkEnd w:id="86"/>
      <w:bookmarkEnd w:id="87"/>
    </w:p>
    <w:p w14:paraId="626D48EF">
      <w:pPr>
        <w:bidi w:val="0"/>
        <w:rPr>
          <w:rFonts w:hint="default"/>
          <w:color w:val="auto"/>
          <w:lang w:val="en-US" w:eastAsia="zh-CN"/>
        </w:rPr>
      </w:pPr>
      <w:r>
        <w:rPr>
          <w:rFonts w:hint="default"/>
          <w:color w:val="auto"/>
          <w:lang w:val="en-US" w:eastAsia="zh-CN"/>
        </w:rPr>
        <w:t>江西省宜丰万国矿业有限公司为万国国际矿业集团有限公司的控股公司，注册地在江西省</w:t>
      </w:r>
      <w:r>
        <w:rPr>
          <w:rFonts w:hint="eastAsia"/>
          <w:color w:val="auto"/>
          <w:lang w:val="en-US" w:eastAsia="zh-CN"/>
        </w:rPr>
        <w:t>宜春市</w:t>
      </w:r>
      <w:r>
        <w:rPr>
          <w:rFonts w:hint="default"/>
          <w:color w:val="auto"/>
          <w:lang w:val="en-US" w:eastAsia="zh-CN"/>
        </w:rPr>
        <w:t>宜丰县新庄镇，注册资本</w:t>
      </w:r>
      <w:r>
        <w:rPr>
          <w:rFonts w:hint="eastAsia"/>
          <w:color w:val="auto"/>
          <w:lang w:val="en-US" w:eastAsia="zh-CN"/>
        </w:rPr>
        <w:t>49899</w:t>
      </w:r>
      <w:r>
        <w:rPr>
          <w:rFonts w:hint="default"/>
          <w:color w:val="auto"/>
          <w:lang w:val="en-US" w:eastAsia="zh-CN"/>
        </w:rPr>
        <w:t>万元，营业执照统一社会信用代码：913606007542492406。</w:t>
      </w:r>
    </w:p>
    <w:p w14:paraId="75EBE95C">
      <w:pPr>
        <w:bidi w:val="0"/>
        <w:rPr>
          <w:rFonts w:hint="default"/>
          <w:color w:val="auto"/>
          <w:lang w:val="en-US" w:eastAsia="zh-CN"/>
        </w:rPr>
      </w:pPr>
      <w:r>
        <w:rPr>
          <w:rFonts w:hint="default"/>
          <w:color w:val="auto"/>
          <w:lang w:val="en-US" w:eastAsia="zh-CN"/>
        </w:rPr>
        <w:t>2002年8月，江西省地质矿产勘查开发局赣西地质调查大队以1200万元转让江西宜丰新庄铜铅锌矿，并以600万元入股，于2003年11月与原福建泉州万国发展有限公司合作成立江西省宜丰万国矿业有限公司，共同开发</w:t>
      </w:r>
      <w:r>
        <w:rPr>
          <w:rFonts w:hint="eastAsia"/>
          <w:color w:val="auto"/>
          <w:lang w:val="en-US" w:eastAsia="zh-CN"/>
        </w:rPr>
        <w:t>江西</w:t>
      </w:r>
      <w:r>
        <w:rPr>
          <w:rFonts w:hint="default"/>
          <w:color w:val="auto"/>
          <w:lang w:val="en-US" w:eastAsia="zh-CN"/>
        </w:rPr>
        <w:t>宜丰新庄铜铅锌矿。2007年，江西省宜丰万国矿业有限公司进行重组，香港捷达投资国际有限公司出资收购江西省宜丰万国矿业有限公司60%股权，福建泉州万国发展有限公司占28%股权，江西省地质矿产勘查开发局赣西地质调查大队占12%股权。江西省宜丰万国矿业有限公司控股</w:t>
      </w:r>
      <w:r>
        <w:rPr>
          <w:rFonts w:hint="eastAsia"/>
          <w:color w:val="auto"/>
          <w:lang w:val="en-US" w:eastAsia="zh-CN"/>
        </w:rPr>
        <w:t>母</w:t>
      </w:r>
      <w:r>
        <w:rPr>
          <w:rFonts w:hint="default"/>
          <w:color w:val="auto"/>
          <w:lang w:val="en-US" w:eastAsia="zh-CN"/>
        </w:rPr>
        <w:t>公司万国国际矿业集团</w:t>
      </w:r>
      <w:r>
        <w:rPr>
          <w:rFonts w:hint="default"/>
          <w:color w:val="auto"/>
          <w:lang w:val="en-US" w:eastAsia="zh-CN"/>
        </w:rPr>
        <w:t>有限公司</w:t>
      </w:r>
      <w:r>
        <w:rPr>
          <w:rFonts w:hint="default"/>
          <w:color w:val="auto"/>
          <w:lang w:val="en-US" w:eastAsia="zh-CN"/>
        </w:rPr>
        <w:t>于2012年7月10日在香港主板上市。</w:t>
      </w:r>
    </w:p>
    <w:p w14:paraId="63F64E03">
      <w:pPr>
        <w:pStyle w:val="3"/>
        <w:bidi w:val="0"/>
        <w:rPr>
          <w:rFonts w:hint="default"/>
          <w:color w:val="auto"/>
          <w:lang w:val="en-US" w:eastAsia="zh-CN"/>
        </w:rPr>
      </w:pPr>
      <w:bookmarkStart w:id="88" w:name="_Toc11942"/>
      <w:bookmarkStart w:id="89" w:name="_Toc32730"/>
      <w:bookmarkStart w:id="90" w:name="_Toc12591"/>
      <w:bookmarkStart w:id="91" w:name="_Toc23091"/>
      <w:r>
        <w:rPr>
          <w:rFonts w:hint="default"/>
          <w:color w:val="auto"/>
          <w:lang w:val="en-US" w:eastAsia="zh-CN"/>
        </w:rPr>
        <w:t>2.2</w:t>
      </w:r>
      <w:r>
        <w:rPr>
          <w:rFonts w:hint="eastAsia"/>
          <w:color w:val="auto"/>
          <w:lang w:val="en-US" w:eastAsia="zh-CN"/>
        </w:rPr>
        <w:t xml:space="preserve"> </w:t>
      </w:r>
      <w:r>
        <w:rPr>
          <w:rFonts w:hint="default"/>
          <w:color w:val="auto"/>
          <w:lang w:val="en-US" w:eastAsia="zh-CN"/>
        </w:rPr>
        <w:t>交通位置、自然地理概况</w:t>
      </w:r>
      <w:bookmarkEnd w:id="88"/>
      <w:bookmarkEnd w:id="89"/>
      <w:bookmarkEnd w:id="90"/>
      <w:bookmarkEnd w:id="91"/>
    </w:p>
    <w:p w14:paraId="2A106756">
      <w:pPr>
        <w:bidi w:val="0"/>
        <w:rPr>
          <w:color w:val="auto"/>
        </w:rPr>
      </w:pPr>
      <w:r>
        <w:rPr>
          <w:rFonts w:hint="eastAsia"/>
          <w:color w:val="auto"/>
          <w:lang w:val="en-US" w:eastAsia="zh-CN"/>
        </w:rPr>
        <w:t xml:space="preserve">1. </w:t>
      </w:r>
      <w:r>
        <w:rPr>
          <w:color w:val="auto"/>
          <w:lang w:val="en-US" w:eastAsia="zh-CN"/>
        </w:rPr>
        <w:t>交通位置</w:t>
      </w:r>
    </w:p>
    <w:p w14:paraId="0E9E7EDD">
      <w:pPr>
        <w:rPr>
          <w:rFonts w:hint="default"/>
          <w:color w:val="auto"/>
          <w:lang w:val="en-US" w:eastAsia="zh-CN"/>
        </w:rPr>
      </w:pPr>
      <w:r>
        <w:rPr>
          <w:rFonts w:hint="default"/>
          <w:color w:val="auto"/>
          <w:lang w:val="en-US" w:eastAsia="zh-CN"/>
        </w:rPr>
        <w:t>江西省宜丰万国矿业有限公司宜丰新庄铜铅锌矿位于宜丰县新庄镇口溪村与高安市村前</w:t>
      </w:r>
      <w:r>
        <w:rPr>
          <w:rFonts w:hint="eastAsia"/>
          <w:color w:val="auto"/>
          <w:lang w:val="en-US" w:eastAsia="zh-CN"/>
        </w:rPr>
        <w:t>镇</w:t>
      </w:r>
      <w:r>
        <w:rPr>
          <w:rFonts w:hint="default"/>
          <w:color w:val="auto"/>
          <w:lang w:val="en-US" w:eastAsia="zh-CN"/>
        </w:rPr>
        <w:t>的交界处。地理</w:t>
      </w:r>
      <w:r>
        <w:rPr>
          <w:rFonts w:hint="eastAsia"/>
          <w:color w:val="auto"/>
          <w:lang w:val="en-US" w:eastAsia="zh-CN"/>
        </w:rPr>
        <w:t>坐</w:t>
      </w:r>
      <w:r>
        <w:rPr>
          <w:rFonts w:hint="default"/>
          <w:color w:val="auto"/>
          <w:lang w:val="en-US" w:eastAsia="zh-CN"/>
        </w:rPr>
        <w:t>标：东经115</w:t>
      </w:r>
      <w:r>
        <w:rPr>
          <w:rFonts w:hint="eastAsia" w:ascii="宋体" w:hAnsi="宋体" w:eastAsia="宋体" w:cs="宋体"/>
          <w:color w:val="auto"/>
          <w:lang w:val="en-US" w:eastAsia="zh-CN"/>
        </w:rPr>
        <w:t>°</w:t>
      </w:r>
      <w:r>
        <w:rPr>
          <w:rFonts w:hint="default"/>
          <w:color w:val="auto"/>
          <w:lang w:val="en-US" w:eastAsia="zh-CN"/>
        </w:rPr>
        <w:t>06</w:t>
      </w:r>
      <w:r>
        <w:rPr>
          <w:rFonts w:hint="eastAsia" w:ascii="宋体" w:hAnsi="宋体" w:eastAsia="宋体" w:cs="宋体"/>
          <w:color w:val="auto"/>
          <w:lang w:val="en-US" w:eastAsia="zh-CN"/>
        </w:rPr>
        <w:t>′</w:t>
      </w:r>
      <w:r>
        <w:rPr>
          <w:rFonts w:hint="default"/>
          <w:color w:val="auto"/>
          <w:lang w:val="en-US" w:eastAsia="zh-CN"/>
        </w:rPr>
        <w:t>54</w:t>
      </w:r>
      <w:r>
        <w:rPr>
          <w:rFonts w:hint="eastAsia" w:ascii="宋体" w:hAnsi="宋体" w:eastAsia="宋体" w:cs="宋体"/>
          <w:color w:val="auto"/>
          <w:lang w:val="en-US" w:eastAsia="zh-CN"/>
        </w:rPr>
        <w:t>″</w:t>
      </w:r>
      <w:r>
        <w:rPr>
          <w:rFonts w:hint="default"/>
          <w:color w:val="auto"/>
          <w:lang w:val="en-US" w:eastAsia="zh-CN"/>
        </w:rPr>
        <w:t>～115</w:t>
      </w:r>
      <w:r>
        <w:rPr>
          <w:rFonts w:hint="eastAsia" w:ascii="宋体" w:hAnsi="宋体" w:eastAsia="宋体" w:cs="宋体"/>
          <w:color w:val="auto"/>
          <w:lang w:val="en-US" w:eastAsia="zh-CN"/>
        </w:rPr>
        <w:t>°</w:t>
      </w:r>
      <w:r>
        <w:rPr>
          <w:rFonts w:hint="default"/>
          <w:color w:val="auto"/>
          <w:lang w:val="en-US" w:eastAsia="zh-CN"/>
        </w:rPr>
        <w:t>08</w:t>
      </w:r>
      <w:r>
        <w:rPr>
          <w:rFonts w:hint="eastAsia" w:ascii="宋体" w:hAnsi="宋体" w:eastAsia="宋体" w:cs="宋体"/>
          <w:color w:val="auto"/>
          <w:lang w:val="en-US" w:eastAsia="zh-CN"/>
        </w:rPr>
        <w:t>′</w:t>
      </w:r>
      <w:r>
        <w:rPr>
          <w:rFonts w:hint="default"/>
          <w:color w:val="auto"/>
          <w:lang w:val="en-US" w:eastAsia="zh-CN"/>
        </w:rPr>
        <w:t>14</w:t>
      </w:r>
      <w:r>
        <w:rPr>
          <w:rFonts w:hint="eastAsia" w:ascii="宋体" w:hAnsi="宋体" w:eastAsia="宋体" w:cs="宋体"/>
          <w:color w:val="auto"/>
          <w:lang w:val="en-US" w:eastAsia="zh-CN"/>
        </w:rPr>
        <w:t>″</w:t>
      </w:r>
      <w:r>
        <w:rPr>
          <w:rFonts w:hint="default"/>
          <w:color w:val="auto"/>
          <w:lang w:val="en-US" w:eastAsia="zh-CN"/>
        </w:rPr>
        <w:t>，北纬28</w:t>
      </w:r>
      <w:r>
        <w:rPr>
          <w:rFonts w:hint="eastAsia" w:ascii="宋体" w:hAnsi="宋体" w:eastAsia="宋体" w:cs="宋体"/>
          <w:color w:val="auto"/>
          <w:lang w:val="en-US" w:eastAsia="zh-CN"/>
        </w:rPr>
        <w:t>°</w:t>
      </w:r>
      <w:r>
        <w:rPr>
          <w:rFonts w:hint="default"/>
          <w:color w:val="auto"/>
          <w:lang w:val="en-US" w:eastAsia="zh-CN"/>
        </w:rPr>
        <w:t>27</w:t>
      </w:r>
      <w:r>
        <w:rPr>
          <w:rFonts w:hint="eastAsia" w:ascii="宋体" w:hAnsi="宋体" w:eastAsia="宋体" w:cs="宋体"/>
          <w:color w:val="auto"/>
          <w:lang w:val="en-US" w:eastAsia="zh-CN"/>
        </w:rPr>
        <w:t>′</w:t>
      </w:r>
      <w:r>
        <w:rPr>
          <w:rFonts w:hint="default"/>
          <w:color w:val="auto"/>
          <w:lang w:val="en-US" w:eastAsia="zh-CN"/>
        </w:rPr>
        <w:t>23</w:t>
      </w:r>
      <w:r>
        <w:rPr>
          <w:rFonts w:hint="eastAsia" w:ascii="宋体" w:hAnsi="宋体" w:eastAsia="宋体" w:cs="宋体"/>
          <w:color w:val="auto"/>
          <w:lang w:val="en-US" w:eastAsia="zh-CN"/>
        </w:rPr>
        <w:t>″</w:t>
      </w:r>
      <w:r>
        <w:rPr>
          <w:rFonts w:hint="default"/>
          <w:color w:val="auto"/>
          <w:lang w:val="en-US" w:eastAsia="zh-CN"/>
        </w:rPr>
        <w:t>～28</w:t>
      </w:r>
      <w:r>
        <w:rPr>
          <w:rFonts w:hint="eastAsia" w:ascii="宋体" w:hAnsi="宋体" w:eastAsia="宋体" w:cs="宋体"/>
          <w:color w:val="auto"/>
          <w:lang w:val="en-US" w:eastAsia="zh-CN"/>
        </w:rPr>
        <w:t>°</w:t>
      </w:r>
      <w:r>
        <w:rPr>
          <w:rFonts w:hint="default"/>
          <w:color w:val="auto"/>
          <w:lang w:val="en-US" w:eastAsia="zh-CN"/>
        </w:rPr>
        <w:t>28</w:t>
      </w:r>
      <w:r>
        <w:rPr>
          <w:rFonts w:hint="eastAsia" w:ascii="宋体" w:hAnsi="宋体" w:eastAsia="宋体" w:cs="宋体"/>
          <w:color w:val="auto"/>
          <w:lang w:val="en-US" w:eastAsia="zh-CN"/>
        </w:rPr>
        <w:t>′</w:t>
      </w:r>
      <w:r>
        <w:rPr>
          <w:rFonts w:hint="default"/>
          <w:color w:val="auto"/>
          <w:lang w:val="en-US" w:eastAsia="zh-CN"/>
        </w:rPr>
        <w:t>15</w:t>
      </w:r>
      <w:r>
        <w:rPr>
          <w:rFonts w:hint="eastAsia" w:ascii="宋体" w:hAnsi="宋体" w:eastAsia="宋体" w:cs="宋体"/>
          <w:color w:val="auto"/>
          <w:lang w:val="en-US" w:eastAsia="zh-CN"/>
        </w:rPr>
        <w:t>″</w:t>
      </w:r>
      <w:r>
        <w:rPr>
          <w:rFonts w:hint="default"/>
          <w:color w:val="auto"/>
          <w:lang w:val="en-US" w:eastAsia="zh-CN"/>
        </w:rPr>
        <w:t>。矿区交通便利，宜丰至南昌公路（杨宜线）通过矿区，矿区距宜丰县城东偏北约37km，距高安市北西约23km，矿区至320国道12km，至354国道12.8km，至南昌市公路里程99km，至张家山～建山铁路支线协塘站59km，至新余～上高铁路支线上高站45km，距高安高铁站约40km，宜丰新庄铜铅锌矿尾矿库位于位于宜丰县新庄镇南东方向140</w:t>
      </w:r>
      <w:r>
        <w:rPr>
          <w:rFonts w:hint="eastAsia" w:ascii="宋体" w:hAnsi="宋体" w:eastAsia="宋体" w:cs="宋体"/>
          <w:color w:val="auto"/>
          <w:lang w:val="en-US" w:eastAsia="zh-CN"/>
        </w:rPr>
        <w:t>°</w:t>
      </w:r>
      <w:r>
        <w:rPr>
          <w:rFonts w:hint="default"/>
          <w:color w:val="auto"/>
          <w:lang w:val="en-US" w:eastAsia="zh-CN"/>
        </w:rPr>
        <w:t>，直线距离2.5km，龙溪村与岭背村之间的岗埠地区</w:t>
      </w:r>
      <w:r>
        <w:rPr>
          <w:rFonts w:hint="eastAsia"/>
          <w:color w:val="auto"/>
          <w:lang w:val="en-US" w:eastAsia="zh-CN"/>
        </w:rPr>
        <w:t>。</w:t>
      </w:r>
      <w:r>
        <w:rPr>
          <w:rFonts w:hint="default"/>
          <w:color w:val="auto"/>
          <w:lang w:val="en-US" w:eastAsia="zh-CN"/>
        </w:rPr>
        <w:t>交通地理位置见图</w:t>
      </w:r>
      <w:r>
        <w:rPr>
          <w:rFonts w:hint="eastAsia"/>
          <w:color w:val="auto"/>
          <w:lang w:val="en-US" w:eastAsia="zh-CN"/>
        </w:rPr>
        <w:t>2.2</w:t>
      </w:r>
      <w:r>
        <w:rPr>
          <w:rFonts w:hint="default"/>
          <w:color w:val="auto"/>
          <w:lang w:val="en-US" w:eastAsia="zh-CN"/>
        </w:rPr>
        <w:t>-1。</w:t>
      </w:r>
    </w:p>
    <w:p w14:paraId="1A61F86A">
      <w:pPr>
        <w:ind w:left="0" w:leftChars="0" w:firstLine="0" w:firstLineChars="0"/>
        <w:jc w:val="center"/>
        <w:rPr>
          <w:rFonts w:hint="default"/>
          <w:color w:val="auto"/>
          <w:lang w:val="en-US" w:eastAsia="zh-CN"/>
        </w:rPr>
      </w:pPr>
      <w:r>
        <w:rPr>
          <w:color w:val="auto"/>
        </w:rPr>
        <w:drawing>
          <wp:inline distT="0" distB="0" distL="114300" distR="114300">
            <wp:extent cx="5039995" cy="3041015"/>
            <wp:effectExtent l="0" t="0" r="8255" b="6985"/>
            <wp:docPr id="5" name="图片 1" descr="宜丰新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宜丰新庄"/>
                    <pic:cNvPicPr>
                      <a:picLocks noChangeAspect="1"/>
                    </pic:cNvPicPr>
                  </pic:nvPicPr>
                  <pic:blipFill>
                    <a:blip r:embed="rId9"/>
                    <a:stretch>
                      <a:fillRect/>
                    </a:stretch>
                  </pic:blipFill>
                  <pic:spPr>
                    <a:xfrm>
                      <a:off x="0" y="0"/>
                      <a:ext cx="5039995" cy="3041015"/>
                    </a:xfrm>
                    <a:prstGeom prst="rect">
                      <a:avLst/>
                    </a:prstGeom>
                    <a:noFill/>
                    <a:ln>
                      <a:noFill/>
                    </a:ln>
                  </pic:spPr>
                </pic:pic>
              </a:graphicData>
            </a:graphic>
          </wp:inline>
        </w:drawing>
      </w:r>
    </w:p>
    <w:p w14:paraId="4C2B7CE3">
      <w:pPr>
        <w:ind w:left="0" w:leftChars="0" w:firstLine="0" w:firstLineChars="0"/>
        <w:jc w:val="center"/>
        <w:rPr>
          <w:rFonts w:hint="default"/>
          <w:color w:val="auto"/>
          <w:lang w:val="en-US" w:eastAsia="zh-CN"/>
        </w:rPr>
      </w:pPr>
      <w:r>
        <w:rPr>
          <w:rFonts w:hint="default"/>
          <w:color w:val="auto"/>
          <w:lang w:val="en-US" w:eastAsia="zh-CN"/>
        </w:rPr>
        <w:t>图</w:t>
      </w:r>
      <w:r>
        <w:rPr>
          <w:rFonts w:hint="eastAsia"/>
          <w:color w:val="auto"/>
          <w:lang w:val="en-US" w:eastAsia="zh-CN"/>
        </w:rPr>
        <w:t>2.2</w:t>
      </w:r>
      <w:r>
        <w:rPr>
          <w:rFonts w:hint="default"/>
          <w:color w:val="auto"/>
          <w:lang w:val="en-US" w:eastAsia="zh-CN"/>
        </w:rPr>
        <w:t>-1</w:t>
      </w:r>
      <w:r>
        <w:rPr>
          <w:rFonts w:hint="eastAsia"/>
          <w:color w:val="auto"/>
          <w:lang w:val="en-US" w:eastAsia="zh-CN"/>
        </w:rPr>
        <w:t xml:space="preserve"> 矿区交通地理位置图</w:t>
      </w:r>
    </w:p>
    <w:p w14:paraId="4AF7BAEA">
      <w:pPr>
        <w:bidi w:val="0"/>
        <w:rPr>
          <w:rFonts w:hint="eastAsia"/>
          <w:color w:val="auto"/>
          <w:lang w:val="en-US" w:eastAsia="zh-CN"/>
        </w:rPr>
      </w:pPr>
      <w:r>
        <w:rPr>
          <w:rFonts w:hint="eastAsia"/>
          <w:color w:val="auto"/>
          <w:lang w:val="en-US" w:eastAsia="zh-CN"/>
        </w:rPr>
        <w:t>2. 地形地貌</w:t>
      </w:r>
    </w:p>
    <w:p w14:paraId="11A90EA0">
      <w:pPr>
        <w:bidi w:val="0"/>
        <w:rPr>
          <w:rFonts w:hint="default"/>
          <w:color w:val="auto"/>
          <w:lang w:val="en-US" w:eastAsia="zh-CN"/>
        </w:rPr>
      </w:pPr>
      <w:r>
        <w:rPr>
          <w:rFonts w:hint="default"/>
          <w:color w:val="auto"/>
          <w:lang w:val="en-US" w:eastAsia="zh-CN"/>
        </w:rPr>
        <w:t>库区地处江西省西北部九岭山脉东南缘，东邻高安，西接万载，西北毗连铜鼓，北与修水、奉新接壤。境内地貌类型以岗地、丘陵为主，辅之于山间冲洪积平原，属于丘陵地区，地势由东南向西北倾斜。</w:t>
      </w:r>
    </w:p>
    <w:p w14:paraId="3CB59BA7">
      <w:pPr>
        <w:bidi w:val="0"/>
        <w:rPr>
          <w:rFonts w:hint="default"/>
          <w:color w:val="auto"/>
          <w:lang w:val="en-US" w:eastAsia="zh-CN"/>
        </w:rPr>
      </w:pPr>
      <w:r>
        <w:rPr>
          <w:rFonts w:hint="default"/>
          <w:color w:val="auto"/>
          <w:lang w:val="en-US" w:eastAsia="zh-CN"/>
        </w:rPr>
        <w:t>尾矿库位于近南北向发育的沟谷内，地貌属丘陵地貌。库区三面环山，中间低洼，形成山间沟谷，沟谷约走向</w:t>
      </w:r>
      <w:r>
        <w:rPr>
          <w:rFonts w:hint="default"/>
          <w:color w:val="auto"/>
          <w:lang w:val="en-US" w:eastAsia="zh-CN"/>
        </w:rPr>
        <w:t>N40</w:t>
      </w:r>
      <w:r>
        <w:rPr>
          <w:rFonts w:hint="eastAsia" w:ascii="宋体" w:hAnsi="宋体" w:eastAsia="宋体" w:cs="宋体"/>
          <w:color w:val="auto"/>
          <w:lang w:val="en-US" w:eastAsia="zh-CN"/>
        </w:rPr>
        <w:t>°</w:t>
      </w:r>
      <w:r>
        <w:rPr>
          <w:rFonts w:hint="default"/>
          <w:color w:val="auto"/>
          <w:lang w:val="en-US" w:eastAsia="zh-CN"/>
        </w:rPr>
        <w:t>W</w:t>
      </w:r>
      <w:r>
        <w:rPr>
          <w:rFonts w:hint="default"/>
          <w:color w:val="auto"/>
          <w:lang w:val="en-US" w:eastAsia="zh-CN"/>
        </w:rPr>
        <w:t>；两侧山体坡度约15</w:t>
      </w:r>
      <w:r>
        <w:rPr>
          <w:rFonts w:hint="eastAsia" w:ascii="宋体" w:hAnsi="宋体" w:eastAsia="宋体" w:cs="宋体"/>
          <w:color w:val="auto"/>
          <w:lang w:val="en-US" w:eastAsia="zh-CN"/>
        </w:rPr>
        <w:t>°</w:t>
      </w:r>
      <w:r>
        <w:rPr>
          <w:rFonts w:hint="default"/>
          <w:color w:val="auto"/>
          <w:lang w:val="en-US" w:eastAsia="zh-CN"/>
        </w:rPr>
        <w:t>～27</w:t>
      </w:r>
      <w:r>
        <w:rPr>
          <w:rFonts w:hint="eastAsia" w:ascii="宋体" w:hAnsi="宋体" w:eastAsia="宋体" w:cs="宋体"/>
          <w:color w:val="auto"/>
          <w:lang w:val="en-US" w:eastAsia="zh-CN"/>
        </w:rPr>
        <w:t>°</w:t>
      </w:r>
      <w:r>
        <w:rPr>
          <w:rFonts w:hint="default"/>
          <w:color w:val="auto"/>
          <w:lang w:val="en-US" w:eastAsia="zh-CN"/>
        </w:rPr>
        <w:t>不等，植被覆盖度中等；沟谷狭窄，宽约100m～200m，长约600m～1000m，纵向坡度约10</w:t>
      </w:r>
      <w:r>
        <w:rPr>
          <w:rFonts w:hint="eastAsia" w:ascii="宋体" w:hAnsi="宋体" w:eastAsia="宋体" w:cs="宋体"/>
          <w:color w:val="auto"/>
          <w:lang w:val="en-US" w:eastAsia="zh-CN"/>
        </w:rPr>
        <w:t>°</w:t>
      </w:r>
      <w:r>
        <w:rPr>
          <w:rFonts w:hint="default"/>
          <w:color w:val="auto"/>
          <w:lang w:val="en-US" w:eastAsia="zh-CN"/>
        </w:rPr>
        <w:t>；谷区两侧支沟不发育。库区地面标高约</w:t>
      </w:r>
      <w:r>
        <w:rPr>
          <w:rFonts w:hint="eastAsia"/>
          <w:color w:val="auto"/>
          <w:lang w:val="en-US" w:eastAsia="zh-CN"/>
        </w:rPr>
        <w:t>+</w:t>
      </w:r>
      <w:r>
        <w:rPr>
          <w:rFonts w:hint="default"/>
          <w:color w:val="auto"/>
          <w:lang w:val="en-US" w:eastAsia="zh-CN"/>
        </w:rPr>
        <w:t>55m～</w:t>
      </w:r>
      <w:r>
        <w:rPr>
          <w:rFonts w:hint="eastAsia"/>
          <w:color w:val="auto"/>
          <w:lang w:val="en-US" w:eastAsia="zh-CN"/>
        </w:rPr>
        <w:t>+</w:t>
      </w:r>
      <w:r>
        <w:rPr>
          <w:rFonts w:hint="default"/>
          <w:color w:val="auto"/>
          <w:lang w:val="en-US" w:eastAsia="zh-CN"/>
        </w:rPr>
        <w:t>80m左右，两侧山体分水岭标高约</w:t>
      </w:r>
      <w:r>
        <w:rPr>
          <w:rFonts w:hint="eastAsia"/>
          <w:color w:val="auto"/>
          <w:lang w:val="en-US" w:eastAsia="zh-CN"/>
        </w:rPr>
        <w:t>+</w:t>
      </w:r>
      <w:r>
        <w:rPr>
          <w:rFonts w:hint="default"/>
          <w:color w:val="auto"/>
          <w:lang w:val="en-US" w:eastAsia="zh-CN"/>
        </w:rPr>
        <w:t>77m～</w:t>
      </w:r>
      <w:r>
        <w:rPr>
          <w:rFonts w:hint="eastAsia"/>
          <w:color w:val="auto"/>
          <w:lang w:val="en-US" w:eastAsia="zh-CN"/>
        </w:rPr>
        <w:t>+</w:t>
      </w:r>
      <w:r>
        <w:rPr>
          <w:rFonts w:hint="default"/>
          <w:color w:val="auto"/>
          <w:lang w:val="en-US" w:eastAsia="zh-CN"/>
        </w:rPr>
        <w:t>93m。</w:t>
      </w:r>
    </w:p>
    <w:p w14:paraId="71CD98BB">
      <w:pPr>
        <w:bidi w:val="0"/>
        <w:rPr>
          <w:rFonts w:hint="eastAsia"/>
          <w:color w:val="auto"/>
          <w:lang w:val="en-US" w:eastAsia="zh-CN"/>
        </w:rPr>
      </w:pPr>
      <w:r>
        <w:rPr>
          <w:rFonts w:hint="eastAsia"/>
          <w:color w:val="auto"/>
          <w:lang w:val="en-US" w:eastAsia="zh-CN"/>
        </w:rPr>
        <w:t>3. 气象</w:t>
      </w:r>
    </w:p>
    <w:p w14:paraId="3584E523">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该区属亚热带大陆性气候，四季分明，气候温和，雨量充沛。年平均温度17.5℃，一月平均气温1.5℃，八月平均气温31.5℃，</w:t>
      </w:r>
      <w:r>
        <w:rPr>
          <w:rFonts w:hint="eastAsia" w:cs="Times New Roman"/>
          <w:color w:val="auto"/>
          <w:lang w:val="en-US" w:eastAsia="zh-CN"/>
        </w:rPr>
        <w:t>历史</w:t>
      </w:r>
      <w:r>
        <w:rPr>
          <w:rFonts w:hint="default" w:ascii="Times New Roman" w:hAnsi="Times New Roman" w:cs="Times New Roman"/>
          <w:color w:val="auto"/>
          <w:lang w:val="en-US" w:eastAsia="zh-CN"/>
        </w:rPr>
        <w:t>最低气温</w:t>
      </w:r>
    </w:p>
    <w:p w14:paraId="36FDFB7F">
      <w:pPr>
        <w:bidi w:val="0"/>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r>
        <w:rPr>
          <w:rFonts w:hint="eastAsia" w:cs="Times New Roman"/>
          <w:color w:val="auto"/>
          <w:lang w:val="en-US" w:eastAsia="zh-CN"/>
        </w:rPr>
        <w:t>历史</w:t>
      </w:r>
      <w:r>
        <w:rPr>
          <w:rFonts w:hint="default" w:ascii="Times New Roman" w:hAnsi="Times New Roman" w:cs="Times New Roman"/>
          <w:color w:val="auto"/>
          <w:lang w:val="en-US" w:eastAsia="zh-CN"/>
        </w:rPr>
        <w:t>最高气温42.6℃。多年平均降雨量1606mm，最大年降雨量2036mm，最小年降雨量1138mm，最大日降雨量200.6mm，最大时降雨量27.8mm，年平均降雨量天数142d，年平均无霜期277d。</w:t>
      </w:r>
    </w:p>
    <w:p w14:paraId="774E0437">
      <w:pPr>
        <w:bidi w:val="0"/>
        <w:rPr>
          <w:rFonts w:hint="eastAsia"/>
          <w:color w:val="auto"/>
          <w:lang w:val="en-US" w:eastAsia="zh-CN"/>
        </w:rPr>
      </w:pPr>
      <w:r>
        <w:rPr>
          <w:rFonts w:hint="eastAsia"/>
          <w:color w:val="auto"/>
          <w:lang w:val="en-US" w:eastAsia="zh-CN"/>
        </w:rPr>
        <w:t>4. 地震烈度</w:t>
      </w:r>
    </w:p>
    <w:p w14:paraId="2D93B681">
      <w:pPr>
        <w:bidi w:val="0"/>
        <w:rPr>
          <w:rFonts w:hint="default"/>
          <w:color w:val="auto"/>
          <w:lang w:val="en-US" w:eastAsia="zh-CN"/>
        </w:rPr>
      </w:pPr>
      <w:r>
        <w:rPr>
          <w:rFonts w:hint="default"/>
          <w:color w:val="auto"/>
          <w:lang w:val="en-US" w:eastAsia="zh-CN"/>
        </w:rPr>
        <w:t>根据《建筑抗震设计规范》附录A区划和《中国地震动参数区划图》，江西省宜丰县抗震设防烈度为</w:t>
      </w:r>
      <w:r>
        <w:rPr>
          <w:rFonts w:hint="eastAsia" w:ascii="宋体" w:hAnsi="宋体" w:eastAsia="宋体" w:cs="宋体"/>
          <w:color w:val="auto"/>
          <w:lang w:val="en-US" w:eastAsia="zh-CN"/>
        </w:rPr>
        <w:t>Ⅵ</w:t>
      </w:r>
      <w:r>
        <w:rPr>
          <w:rFonts w:hint="default"/>
          <w:color w:val="auto"/>
          <w:lang w:val="en-US" w:eastAsia="zh-CN"/>
        </w:rPr>
        <w:t>度，属设计地震分组第一组，设计基本地震加速度值为0.05g，设计特征周期为0.35s。</w:t>
      </w:r>
    </w:p>
    <w:p w14:paraId="6E702161">
      <w:pPr>
        <w:pStyle w:val="3"/>
        <w:bidi w:val="0"/>
        <w:rPr>
          <w:rFonts w:hint="default"/>
          <w:color w:val="auto"/>
          <w:lang w:val="en-US" w:eastAsia="zh-CN"/>
        </w:rPr>
      </w:pPr>
      <w:bookmarkStart w:id="92" w:name="_Toc18337"/>
      <w:bookmarkStart w:id="93" w:name="_Toc32374"/>
      <w:bookmarkStart w:id="94" w:name="_Toc6895"/>
      <w:bookmarkStart w:id="95" w:name="_Toc17509"/>
      <w:r>
        <w:rPr>
          <w:rFonts w:hint="default"/>
          <w:color w:val="auto"/>
          <w:lang w:val="en-US" w:eastAsia="zh-CN"/>
        </w:rPr>
        <w:t>2.3</w:t>
      </w:r>
      <w:r>
        <w:rPr>
          <w:rFonts w:hint="eastAsia"/>
          <w:color w:val="auto"/>
          <w:lang w:val="en-US" w:eastAsia="zh-CN"/>
        </w:rPr>
        <w:t xml:space="preserve"> </w:t>
      </w:r>
      <w:r>
        <w:rPr>
          <w:rFonts w:hint="default"/>
          <w:color w:val="auto"/>
          <w:lang w:val="en-US" w:eastAsia="zh-CN"/>
        </w:rPr>
        <w:t>尾矿库基本情况</w:t>
      </w:r>
      <w:bookmarkEnd w:id="92"/>
      <w:bookmarkEnd w:id="93"/>
      <w:bookmarkEnd w:id="94"/>
      <w:bookmarkEnd w:id="95"/>
    </w:p>
    <w:p w14:paraId="2B156120">
      <w:pPr>
        <w:rPr>
          <w:rFonts w:hint="eastAsia"/>
          <w:color w:val="auto"/>
          <w:shd w:val="clear" w:color="auto" w:fill="auto"/>
          <w:lang w:val="en-US" w:eastAsia="zh-CN"/>
        </w:rPr>
      </w:pPr>
      <w:r>
        <w:rPr>
          <w:rFonts w:hint="eastAsia"/>
          <w:color w:val="auto"/>
          <w:shd w:val="clear" w:color="auto" w:fill="auto"/>
          <w:lang w:val="en-US" w:eastAsia="zh-CN"/>
        </w:rPr>
        <w:t>江西省宜丰万国矿业有限公司共有两座尾矿库（宜丰新庄铜铅锌矿尾矿库及阴坑尾矿库），至2019年初，两座尾矿库库容均堆积至设计最终库容，为了满足企业的后续发展需要，结合企业的实际情况，矿方计划对该两座尾矿库进行加高扩容，排尾方式采用</w:t>
      </w:r>
      <w:r>
        <w:rPr>
          <w:rFonts w:hint="eastAsia"/>
          <w:color w:val="auto"/>
          <w:shd w:val="clear" w:color="auto" w:fill="auto"/>
          <w:lang w:val="en-US" w:eastAsia="zh-CN"/>
        </w:rPr>
        <w:t>干式堆排</w:t>
      </w:r>
      <w:r>
        <w:rPr>
          <w:rFonts w:hint="eastAsia"/>
          <w:color w:val="auto"/>
          <w:shd w:val="clear" w:color="auto" w:fill="auto"/>
          <w:lang w:val="en-US" w:eastAsia="zh-CN"/>
        </w:rPr>
        <w:t>。在开展尾矿库湿排改干堆工艺改造项目前期，矿方委托成都长杰科技有限公司编制了《江西宜丰万国国际矿业尾矿干排过滤方案》（2017年6月）、《江西省宜丰万国矿业有限公司分级后溢流细尾砂、充填溢流极细尾砂过滤实验报告》（2017年6月）；委托景津环保股份有限公司编制了《江西省宜丰万国矿业有限公司分级后溢流细尾砂、充填溢流极细尾砂和两种尾砂混合样过滤实验报告》（2018年4月）。</w:t>
      </w:r>
    </w:p>
    <w:p w14:paraId="31619C8C">
      <w:pPr>
        <w:rPr>
          <w:rFonts w:hint="eastAsia"/>
          <w:color w:val="auto"/>
          <w:lang w:val="en-US" w:eastAsia="zh-CN"/>
        </w:rPr>
      </w:pPr>
      <w:r>
        <w:rPr>
          <w:rFonts w:hint="eastAsia"/>
          <w:color w:val="auto"/>
          <w:shd w:val="clear" w:color="auto" w:fill="auto"/>
          <w:lang w:val="en-US" w:eastAsia="zh-CN"/>
        </w:rPr>
        <w:t>在以上报告的基础上，2020年3月中国瑞林工程技术股份有限公司编制了《江西省宜丰万国矿业有限公司宜丰新庄铜铅锌矿尾矿库湿改干工程可行性研究报告》，2021年1月中国瑞林工程技术股份有限公司编制了《江西省宜丰万国矿业有限公司宜丰新庄铜铅锌矿尾矿库加高扩容暨湿改干工程安全设施设计》，并于2021年1月21日取得江西省应急管理厅下发的《关于江西省宜丰万国矿业有限公司宜丰新庄铜铅锌矿尾矿库加高扩容暨湿改干工程的审查意见的批复》（赣安监非煤项目设审</w:t>
      </w:r>
      <w:r>
        <w:rPr>
          <w:rFonts w:hint="eastAsia" w:ascii="宋体" w:hAnsi="宋体" w:eastAsia="宋体" w:cs="宋体"/>
          <w:color w:val="auto"/>
          <w:shd w:val="clear" w:color="auto" w:fill="auto"/>
          <w:lang w:val="en-US" w:eastAsia="zh-CN"/>
        </w:rPr>
        <w:t>[</w:t>
      </w:r>
      <w:r>
        <w:rPr>
          <w:rFonts w:hint="eastAsia"/>
          <w:color w:val="auto"/>
          <w:shd w:val="clear" w:color="auto" w:fill="auto"/>
          <w:lang w:val="en-US" w:eastAsia="zh-CN"/>
        </w:rPr>
        <w:t>2021</w:t>
      </w:r>
      <w:r>
        <w:rPr>
          <w:rFonts w:hint="eastAsia" w:ascii="宋体" w:hAnsi="宋体" w:eastAsia="宋体" w:cs="宋体"/>
          <w:color w:val="auto"/>
          <w:shd w:val="clear" w:color="auto" w:fill="auto"/>
          <w:lang w:val="en-US" w:eastAsia="zh-CN"/>
        </w:rPr>
        <w:t>]</w:t>
      </w:r>
      <w:r>
        <w:rPr>
          <w:rFonts w:hint="eastAsia"/>
          <w:color w:val="auto"/>
          <w:shd w:val="clear" w:color="auto" w:fill="auto"/>
          <w:lang w:val="en-US" w:eastAsia="zh-CN"/>
        </w:rPr>
        <w:t>9号）</w:t>
      </w:r>
      <w:r>
        <w:rPr>
          <w:rFonts w:hint="default"/>
          <w:color w:val="auto"/>
          <w:lang w:val="en-US" w:eastAsia="zh-CN"/>
        </w:rPr>
        <w:t>。江西省宜丰万国矿业有限公司宜丰新庄铜铅锌矿尾矿库加高扩容暨湿改干工程由江西省华治建设有限公司进行施工，江西省新大地建设监理有限公司进行监理</w:t>
      </w:r>
      <w:r>
        <w:rPr>
          <w:rFonts w:hint="eastAsia"/>
          <w:color w:val="auto"/>
          <w:lang w:val="en-US" w:eastAsia="zh-CN"/>
        </w:rPr>
        <w:t>，</w:t>
      </w:r>
      <w:r>
        <w:rPr>
          <w:rFonts w:hint="default"/>
          <w:color w:val="auto"/>
          <w:lang w:val="en-US" w:eastAsia="zh-CN"/>
        </w:rPr>
        <w:t>于2021年11月28日竣工。</w:t>
      </w:r>
      <w:r>
        <w:rPr>
          <w:rFonts w:hint="eastAsia"/>
          <w:color w:val="auto"/>
          <w:lang w:val="en-US" w:eastAsia="zh-CN"/>
        </w:rPr>
        <w:t>2022年7月，江西省赣华安全科技有限公司进行了加高扩容暨湿改干工程</w:t>
      </w:r>
      <w:r>
        <w:rPr>
          <w:rFonts w:hint="eastAsia"/>
          <w:color w:val="auto"/>
          <w:lang w:val="en-US" w:eastAsia="zh-CN"/>
        </w:rPr>
        <w:t>安全设施</w:t>
      </w:r>
      <w:r>
        <w:rPr>
          <w:rFonts w:hint="eastAsia"/>
          <w:color w:val="auto"/>
          <w:lang w:val="en-US" w:eastAsia="zh-CN"/>
        </w:rPr>
        <w:t>验收评价，并出具了《江西省宜丰万国矿业有限公司宣丰新庄铜铅锌矿尾矿库加高扩容暨湿改干工程安全设施验收评价报告》。</w:t>
      </w:r>
    </w:p>
    <w:p w14:paraId="7A96C431">
      <w:pPr>
        <w:rPr>
          <w:rFonts w:hint="default"/>
          <w:color w:val="auto"/>
          <w:lang w:val="en-US" w:eastAsia="zh-CN"/>
        </w:rPr>
      </w:pPr>
      <w:r>
        <w:rPr>
          <w:rFonts w:hint="eastAsia"/>
          <w:color w:val="auto"/>
          <w:lang w:val="en-US" w:eastAsia="zh-CN"/>
        </w:rPr>
        <w:t>江西省宜丰万国矿业有限公司宜丰新庄铜铅锌矿尾矿库于2022年8月26日取得了江西省应急管理厅换发的安全生产许可证，证号为（赣）FM安许证字</w:t>
      </w:r>
      <w:r>
        <w:rPr>
          <w:rFonts w:hint="eastAsia" w:ascii="宋体" w:hAnsi="宋体" w:eastAsia="宋体" w:cs="宋体"/>
          <w:color w:val="auto"/>
          <w:lang w:val="en-US" w:eastAsia="zh-CN"/>
        </w:rPr>
        <w:t>[</w:t>
      </w:r>
      <w:r>
        <w:rPr>
          <w:rFonts w:hint="eastAsia"/>
          <w:color w:val="auto"/>
          <w:lang w:val="en-US" w:eastAsia="zh-CN"/>
        </w:rPr>
        <w:t>2007</w:t>
      </w:r>
      <w:r>
        <w:rPr>
          <w:rFonts w:hint="eastAsia" w:ascii="宋体" w:hAnsi="宋体" w:eastAsia="宋体" w:cs="宋体"/>
          <w:color w:val="auto"/>
          <w:lang w:val="en-US" w:eastAsia="zh-CN"/>
        </w:rPr>
        <w:t>]</w:t>
      </w:r>
      <w:r>
        <w:rPr>
          <w:rFonts w:hint="eastAsia"/>
          <w:color w:val="auto"/>
          <w:lang w:val="en-US" w:eastAsia="zh-CN"/>
        </w:rPr>
        <w:t>M1182号，许可范围：尾矿库运营（四等库，总坝高32.9m，高程+89.0m以下，干式堆存，总库容154.68万m</w:t>
      </w:r>
      <w:r>
        <w:rPr>
          <w:rFonts w:hint="eastAsia"/>
          <w:color w:val="auto"/>
          <w:vertAlign w:val="superscript"/>
          <w:lang w:val="en-US" w:eastAsia="zh-CN"/>
        </w:rPr>
        <w:t>3</w:t>
      </w:r>
      <w:r>
        <w:rPr>
          <w:rFonts w:hint="eastAsia"/>
          <w:color w:val="auto"/>
          <w:lang w:val="en-US" w:eastAsia="zh-CN"/>
        </w:rPr>
        <w:t>），有效期至2025年8月27日。</w:t>
      </w:r>
    </w:p>
    <w:p w14:paraId="67C4494A">
      <w:pPr>
        <w:rPr>
          <w:rFonts w:hint="default"/>
          <w:color w:val="auto"/>
          <w:lang w:val="en-US" w:eastAsia="zh-CN"/>
        </w:rPr>
      </w:pPr>
      <w:r>
        <w:rPr>
          <w:rFonts w:hint="eastAsia"/>
          <w:color w:val="auto"/>
          <w:lang w:val="en-US" w:eastAsia="zh-CN"/>
        </w:rPr>
        <w:t>宜丰新庄铜铅锌矿尾矿库</w:t>
      </w:r>
      <w:r>
        <w:rPr>
          <w:rFonts w:hint="default"/>
          <w:color w:val="auto"/>
          <w:lang w:val="en-US" w:eastAsia="zh-CN"/>
        </w:rPr>
        <w:t>基本情况调查见表2</w:t>
      </w:r>
      <w:r>
        <w:rPr>
          <w:rFonts w:hint="eastAsia"/>
          <w:color w:val="auto"/>
          <w:lang w:val="en-US" w:eastAsia="zh-CN"/>
        </w:rPr>
        <w:t>.3</w:t>
      </w:r>
      <w:r>
        <w:rPr>
          <w:rFonts w:hint="default"/>
          <w:color w:val="auto"/>
          <w:lang w:val="en-US" w:eastAsia="zh-CN"/>
        </w:rPr>
        <w:t>-1。</w:t>
      </w:r>
    </w:p>
    <w:p w14:paraId="1DE0269B">
      <w:pPr>
        <w:ind w:left="0" w:leftChars="0" w:firstLine="0" w:firstLineChars="0"/>
        <w:jc w:val="center"/>
        <w:rPr>
          <w:rFonts w:hint="default"/>
          <w:color w:val="auto"/>
          <w:lang w:val="en-US" w:eastAsia="zh-CN"/>
        </w:rPr>
      </w:pPr>
      <w:r>
        <w:rPr>
          <w:rFonts w:hint="default"/>
          <w:color w:val="auto"/>
          <w:lang w:val="en-US" w:eastAsia="zh-CN"/>
        </w:rPr>
        <w:t>表2</w:t>
      </w:r>
      <w:r>
        <w:rPr>
          <w:rFonts w:hint="eastAsia"/>
          <w:color w:val="auto"/>
          <w:lang w:val="en-US" w:eastAsia="zh-CN"/>
        </w:rPr>
        <w:t>.3</w:t>
      </w:r>
      <w:r>
        <w:rPr>
          <w:rFonts w:hint="default"/>
          <w:color w:val="auto"/>
          <w:lang w:val="en-US" w:eastAsia="zh-CN"/>
        </w:rPr>
        <w:t>-1</w:t>
      </w:r>
      <w:r>
        <w:rPr>
          <w:rFonts w:hint="eastAsia"/>
          <w:color w:val="auto"/>
          <w:lang w:val="en-US" w:eastAsia="zh-CN"/>
        </w:rPr>
        <w:t xml:space="preserve"> </w:t>
      </w:r>
      <w:r>
        <w:rPr>
          <w:rFonts w:hint="default"/>
          <w:color w:val="auto"/>
          <w:lang w:val="en-US" w:eastAsia="zh-CN"/>
        </w:rPr>
        <w:t>尾矿库基本情况调查表</w:t>
      </w:r>
    </w:p>
    <w:tbl>
      <w:tblPr>
        <w:tblStyle w:val="20"/>
        <w:tblW w:w="51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54"/>
        <w:gridCol w:w="2570"/>
        <w:gridCol w:w="1824"/>
        <w:gridCol w:w="2831"/>
      </w:tblGrid>
      <w:tr w14:paraId="26C8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1148" w:type="pct"/>
            <w:noWrap w:val="0"/>
            <w:tcMar>
              <w:top w:w="15" w:type="dxa"/>
              <w:left w:w="15" w:type="dxa"/>
              <w:bottom w:w="0" w:type="dxa"/>
              <w:right w:w="15" w:type="dxa"/>
            </w:tcMar>
            <w:vAlign w:val="center"/>
          </w:tcPr>
          <w:p w14:paraId="33309B3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企业名称</w:t>
            </w:r>
          </w:p>
        </w:tc>
        <w:tc>
          <w:tcPr>
            <w:tcW w:w="3851" w:type="pct"/>
            <w:gridSpan w:val="3"/>
            <w:noWrap w:val="0"/>
            <w:tcMar>
              <w:top w:w="15" w:type="dxa"/>
              <w:left w:w="15" w:type="dxa"/>
              <w:bottom w:w="0" w:type="dxa"/>
              <w:right w:w="15" w:type="dxa"/>
            </w:tcMar>
            <w:vAlign w:val="center"/>
          </w:tcPr>
          <w:p w14:paraId="7E5F443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bCs/>
                <w:color w:val="auto"/>
                <w:sz w:val="21"/>
                <w:szCs w:val="21"/>
                <w:lang w:eastAsia="zh-CN"/>
              </w:rPr>
              <w:t>江西省宜丰万国矿业有限公司</w:t>
            </w:r>
          </w:p>
        </w:tc>
      </w:tr>
      <w:tr w14:paraId="197BA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2518" w:type="pct"/>
            <w:gridSpan w:val="2"/>
            <w:noWrap w:val="0"/>
            <w:tcMar>
              <w:top w:w="15" w:type="dxa"/>
              <w:left w:w="15" w:type="dxa"/>
              <w:bottom w:w="0" w:type="dxa"/>
              <w:right w:w="15" w:type="dxa"/>
            </w:tcMar>
            <w:vAlign w:val="center"/>
          </w:tcPr>
          <w:p w14:paraId="2A83902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*行业类别</w:t>
            </w:r>
          </w:p>
        </w:tc>
        <w:tc>
          <w:tcPr>
            <w:tcW w:w="2481" w:type="pct"/>
            <w:gridSpan w:val="2"/>
            <w:noWrap w:val="0"/>
            <w:tcMar>
              <w:top w:w="15" w:type="dxa"/>
              <w:left w:w="15" w:type="dxa"/>
              <w:bottom w:w="0" w:type="dxa"/>
              <w:right w:w="15" w:type="dxa"/>
            </w:tcMar>
            <w:vAlign w:val="center"/>
          </w:tcPr>
          <w:p w14:paraId="4748DA1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ab/>
            </w:r>
            <w:r>
              <w:rPr>
                <w:rFonts w:hint="eastAsia" w:ascii="Times New Roman" w:hAnsi="Times New Roman" w:eastAsia="宋体" w:cs="Times New Roman"/>
                <w:color w:val="auto"/>
                <w:sz w:val="21"/>
                <w:szCs w:val="21"/>
                <w:lang w:val="en-US" w:eastAsia="zh-CN"/>
              </w:rPr>
              <w:t>有色金属矿采选业</w:t>
            </w:r>
          </w:p>
        </w:tc>
      </w:tr>
      <w:tr w14:paraId="2CD8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148" w:type="pct"/>
            <w:noWrap w:val="0"/>
            <w:tcMar>
              <w:top w:w="15" w:type="dxa"/>
              <w:left w:w="15" w:type="dxa"/>
              <w:bottom w:w="0" w:type="dxa"/>
              <w:right w:w="15" w:type="dxa"/>
            </w:tcMar>
            <w:vAlign w:val="center"/>
          </w:tcPr>
          <w:p w14:paraId="2FC826E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尾矿库名称</w:t>
            </w:r>
          </w:p>
        </w:tc>
        <w:tc>
          <w:tcPr>
            <w:tcW w:w="1370" w:type="pct"/>
            <w:noWrap w:val="0"/>
            <w:tcMar>
              <w:top w:w="15" w:type="dxa"/>
              <w:left w:w="15" w:type="dxa"/>
              <w:bottom w:w="0" w:type="dxa"/>
              <w:right w:w="15" w:type="dxa"/>
            </w:tcMar>
            <w:vAlign w:val="center"/>
          </w:tcPr>
          <w:p w14:paraId="1D64793C">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bCs/>
                <w:color w:val="auto"/>
                <w:sz w:val="21"/>
                <w:szCs w:val="21"/>
                <w:lang w:eastAsia="zh-CN"/>
              </w:rPr>
              <w:t>江西省宜丰万国矿业有限公司宜丰新庄铜铅锌矿尾矿库</w:t>
            </w:r>
          </w:p>
        </w:tc>
        <w:tc>
          <w:tcPr>
            <w:tcW w:w="972" w:type="pct"/>
            <w:noWrap w:val="0"/>
            <w:tcMar>
              <w:top w:w="15" w:type="dxa"/>
              <w:left w:w="15" w:type="dxa"/>
              <w:bottom w:w="0" w:type="dxa"/>
              <w:right w:w="15" w:type="dxa"/>
            </w:tcMar>
            <w:vAlign w:val="center"/>
          </w:tcPr>
          <w:p w14:paraId="495A2004">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投产时间</w:t>
            </w:r>
          </w:p>
        </w:tc>
        <w:tc>
          <w:tcPr>
            <w:tcW w:w="1509" w:type="pct"/>
            <w:noWrap w:val="0"/>
            <w:tcMar>
              <w:top w:w="15" w:type="dxa"/>
              <w:left w:w="15" w:type="dxa"/>
              <w:bottom w:w="0" w:type="dxa"/>
              <w:right w:w="15" w:type="dxa"/>
            </w:tcMar>
            <w:vAlign w:val="center"/>
          </w:tcPr>
          <w:p w14:paraId="15B7713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r>
              <w:rPr>
                <w:rFonts w:hint="eastAsia" w:cs="Times New Roman"/>
                <w:color w:val="auto"/>
                <w:sz w:val="21"/>
                <w:szCs w:val="21"/>
                <w:lang w:val="en-US" w:eastAsia="zh-CN"/>
              </w:rPr>
              <w:t>07</w:t>
            </w:r>
            <w:r>
              <w:rPr>
                <w:rFonts w:hint="default" w:ascii="Times New Roman" w:hAnsi="Times New Roman" w:eastAsia="宋体" w:cs="Times New Roman"/>
                <w:color w:val="auto"/>
                <w:sz w:val="21"/>
                <w:szCs w:val="21"/>
              </w:rPr>
              <w:t>年</w:t>
            </w:r>
          </w:p>
        </w:tc>
      </w:tr>
      <w:tr w14:paraId="0395C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jc w:val="center"/>
        </w:trPr>
        <w:tc>
          <w:tcPr>
            <w:tcW w:w="2518" w:type="pct"/>
            <w:gridSpan w:val="2"/>
            <w:noWrap w:val="0"/>
            <w:tcMar>
              <w:top w:w="15" w:type="dxa"/>
              <w:left w:w="15" w:type="dxa"/>
              <w:bottom w:w="0" w:type="dxa"/>
              <w:right w:w="15" w:type="dxa"/>
            </w:tcMar>
            <w:vAlign w:val="center"/>
          </w:tcPr>
          <w:p w14:paraId="4C1D50E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尾矿库地址</w:t>
            </w:r>
          </w:p>
        </w:tc>
        <w:tc>
          <w:tcPr>
            <w:tcW w:w="2481" w:type="pct"/>
            <w:gridSpan w:val="2"/>
            <w:noWrap w:val="0"/>
            <w:tcMar>
              <w:top w:w="15" w:type="dxa"/>
              <w:left w:w="15" w:type="dxa"/>
              <w:bottom w:w="0" w:type="dxa"/>
              <w:right w:w="15" w:type="dxa"/>
            </w:tcMar>
            <w:vAlign w:val="center"/>
          </w:tcPr>
          <w:p w14:paraId="1AF8C318">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宜丰县新庄镇</w:t>
            </w:r>
          </w:p>
        </w:tc>
      </w:tr>
      <w:tr w14:paraId="3E85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1148" w:type="pct"/>
            <w:noWrap w:val="0"/>
            <w:tcMar>
              <w:top w:w="15" w:type="dxa"/>
              <w:left w:w="15" w:type="dxa"/>
              <w:bottom w:w="0" w:type="dxa"/>
              <w:right w:w="15" w:type="dxa"/>
            </w:tcMar>
            <w:vAlign w:val="center"/>
          </w:tcPr>
          <w:p w14:paraId="3996DE2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*设计单位</w:t>
            </w:r>
          </w:p>
        </w:tc>
        <w:tc>
          <w:tcPr>
            <w:tcW w:w="1370" w:type="pct"/>
            <w:noWrap w:val="0"/>
            <w:tcMar>
              <w:top w:w="15" w:type="dxa"/>
              <w:left w:w="15" w:type="dxa"/>
              <w:bottom w:w="0" w:type="dxa"/>
              <w:right w:w="15" w:type="dxa"/>
            </w:tcMar>
            <w:vAlign w:val="center"/>
          </w:tcPr>
          <w:p w14:paraId="3C49D64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中国瑞林工程技术股份有限公司</w:t>
            </w:r>
          </w:p>
        </w:tc>
        <w:tc>
          <w:tcPr>
            <w:tcW w:w="972" w:type="pct"/>
            <w:noWrap w:val="0"/>
            <w:tcMar>
              <w:top w:w="15" w:type="dxa"/>
              <w:left w:w="15" w:type="dxa"/>
              <w:bottom w:w="0" w:type="dxa"/>
              <w:right w:w="15" w:type="dxa"/>
            </w:tcMar>
            <w:vAlign w:val="center"/>
          </w:tcPr>
          <w:p w14:paraId="67E22F9A">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*设计审批单位</w:t>
            </w:r>
          </w:p>
        </w:tc>
        <w:tc>
          <w:tcPr>
            <w:tcW w:w="1509" w:type="pct"/>
            <w:noWrap w:val="0"/>
            <w:tcMar>
              <w:top w:w="15" w:type="dxa"/>
              <w:left w:w="15" w:type="dxa"/>
              <w:bottom w:w="0" w:type="dxa"/>
              <w:right w:w="15" w:type="dxa"/>
            </w:tcMar>
            <w:vAlign w:val="center"/>
          </w:tcPr>
          <w:p w14:paraId="6B2AB98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江西省应急管理厅</w:t>
            </w:r>
          </w:p>
        </w:tc>
      </w:tr>
      <w:tr w14:paraId="4A22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148" w:type="pct"/>
            <w:noWrap w:val="0"/>
            <w:tcMar>
              <w:top w:w="15" w:type="dxa"/>
              <w:left w:w="15" w:type="dxa"/>
              <w:bottom w:w="0" w:type="dxa"/>
              <w:right w:w="15" w:type="dxa"/>
            </w:tcMar>
            <w:vAlign w:val="center"/>
          </w:tcPr>
          <w:p w14:paraId="38E6F00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总库容</w:t>
            </w:r>
            <w:r>
              <w:rPr>
                <w:rFonts w:hint="default" w:ascii="Times New Roman" w:hAnsi="Times New Roman" w:eastAsia="宋体" w:cs="Times New Roman"/>
                <w:bCs/>
                <w:color w:val="auto"/>
                <w:sz w:val="21"/>
                <w:szCs w:val="21"/>
              </w:rPr>
              <w:t>（万m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1370" w:type="pct"/>
            <w:noWrap w:val="0"/>
            <w:tcMar>
              <w:top w:w="15" w:type="dxa"/>
              <w:left w:w="15" w:type="dxa"/>
              <w:bottom w:w="0" w:type="dxa"/>
              <w:right w:w="15" w:type="dxa"/>
            </w:tcMar>
            <w:vAlign w:val="center"/>
          </w:tcPr>
          <w:p w14:paraId="67444AE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154.68</w:t>
            </w:r>
          </w:p>
        </w:tc>
        <w:tc>
          <w:tcPr>
            <w:tcW w:w="972" w:type="pct"/>
            <w:noWrap w:val="0"/>
            <w:tcMar>
              <w:top w:w="15" w:type="dxa"/>
              <w:left w:w="15" w:type="dxa"/>
              <w:bottom w:w="0" w:type="dxa"/>
              <w:right w:w="15" w:type="dxa"/>
            </w:tcMar>
            <w:vAlign w:val="center"/>
          </w:tcPr>
          <w:p w14:paraId="33175BC6">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已堆积库容（万m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1509" w:type="pct"/>
            <w:noWrap w:val="0"/>
            <w:tcMar>
              <w:top w:w="15" w:type="dxa"/>
              <w:left w:w="15" w:type="dxa"/>
              <w:bottom w:w="0" w:type="dxa"/>
              <w:right w:w="15" w:type="dxa"/>
            </w:tcMar>
            <w:vAlign w:val="center"/>
          </w:tcPr>
          <w:p w14:paraId="699179CC">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121.68</w:t>
            </w:r>
          </w:p>
        </w:tc>
      </w:tr>
      <w:tr w14:paraId="72021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148" w:type="pct"/>
            <w:noWrap w:val="0"/>
            <w:tcMar>
              <w:top w:w="15" w:type="dxa"/>
              <w:left w:w="15" w:type="dxa"/>
              <w:bottom w:w="0" w:type="dxa"/>
              <w:right w:w="15" w:type="dxa"/>
            </w:tcMar>
            <w:vAlign w:val="center"/>
          </w:tcPr>
          <w:p w14:paraId="62C8B3A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w:t>
            </w:r>
            <w:r>
              <w:rPr>
                <w:rFonts w:hint="eastAsia" w:cs="Times New Roman"/>
                <w:bCs/>
                <w:color w:val="auto"/>
                <w:sz w:val="21"/>
                <w:szCs w:val="21"/>
                <w:lang w:val="en-US" w:eastAsia="zh-CN"/>
              </w:rPr>
              <w:t>总</w:t>
            </w:r>
            <w:r>
              <w:rPr>
                <w:rFonts w:hint="default" w:ascii="Times New Roman" w:hAnsi="Times New Roman" w:eastAsia="宋体" w:cs="Times New Roman"/>
                <w:bCs/>
                <w:color w:val="auto"/>
                <w:sz w:val="21"/>
                <w:szCs w:val="21"/>
              </w:rPr>
              <w:t>坝高（m）</w:t>
            </w:r>
          </w:p>
        </w:tc>
        <w:tc>
          <w:tcPr>
            <w:tcW w:w="1370" w:type="pct"/>
            <w:noWrap w:val="0"/>
            <w:tcMar>
              <w:top w:w="15" w:type="dxa"/>
              <w:left w:w="15" w:type="dxa"/>
              <w:bottom w:w="0" w:type="dxa"/>
              <w:right w:w="15" w:type="dxa"/>
            </w:tcMar>
            <w:vAlign w:val="center"/>
          </w:tcPr>
          <w:p w14:paraId="0B42CBE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32.9</w:t>
            </w:r>
          </w:p>
        </w:tc>
        <w:tc>
          <w:tcPr>
            <w:tcW w:w="972" w:type="pct"/>
            <w:noWrap w:val="0"/>
            <w:tcMar>
              <w:top w:w="15" w:type="dxa"/>
              <w:left w:w="15" w:type="dxa"/>
              <w:bottom w:w="0" w:type="dxa"/>
              <w:right w:w="15" w:type="dxa"/>
            </w:tcMar>
            <w:vAlign w:val="center"/>
          </w:tcPr>
          <w:p w14:paraId="30C4C5D6">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*目前坝高（m）</w:t>
            </w:r>
          </w:p>
        </w:tc>
        <w:tc>
          <w:tcPr>
            <w:tcW w:w="1509" w:type="pct"/>
            <w:noWrap w:val="0"/>
            <w:tcMar>
              <w:top w:w="15" w:type="dxa"/>
              <w:left w:w="15" w:type="dxa"/>
              <w:bottom w:w="0" w:type="dxa"/>
              <w:right w:w="15" w:type="dxa"/>
            </w:tcMar>
            <w:vAlign w:val="center"/>
          </w:tcPr>
          <w:p w14:paraId="35F418E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28.4</w:t>
            </w:r>
          </w:p>
        </w:tc>
      </w:tr>
      <w:tr w14:paraId="1CD9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2518" w:type="pct"/>
            <w:gridSpan w:val="2"/>
            <w:noWrap w:val="0"/>
            <w:tcMar>
              <w:top w:w="15" w:type="dxa"/>
              <w:left w:w="15" w:type="dxa"/>
              <w:bottom w:w="0" w:type="dxa"/>
              <w:right w:w="15" w:type="dxa"/>
            </w:tcMar>
            <w:vAlign w:val="center"/>
          </w:tcPr>
          <w:p w14:paraId="010EBE6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*尾矿库等别</w:t>
            </w:r>
          </w:p>
        </w:tc>
        <w:tc>
          <w:tcPr>
            <w:tcW w:w="2481" w:type="pct"/>
            <w:gridSpan w:val="2"/>
            <w:noWrap w:val="0"/>
            <w:tcMar>
              <w:top w:w="15" w:type="dxa"/>
              <w:left w:w="15" w:type="dxa"/>
              <w:bottom w:w="0" w:type="dxa"/>
              <w:right w:w="15" w:type="dxa"/>
            </w:tcMar>
            <w:vAlign w:val="center"/>
          </w:tcPr>
          <w:p w14:paraId="00BB61E4">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四等库</w:t>
            </w:r>
          </w:p>
        </w:tc>
      </w:tr>
      <w:tr w14:paraId="2874D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148" w:type="pct"/>
            <w:noWrap w:val="0"/>
            <w:tcMar>
              <w:top w:w="15" w:type="dxa"/>
              <w:left w:w="15" w:type="dxa"/>
              <w:bottom w:w="0" w:type="dxa"/>
              <w:right w:w="15" w:type="dxa"/>
            </w:tcMar>
            <w:vAlign w:val="center"/>
          </w:tcPr>
          <w:p w14:paraId="52D7A6A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*安全度分类</w:t>
            </w:r>
          </w:p>
        </w:tc>
        <w:tc>
          <w:tcPr>
            <w:tcW w:w="1370" w:type="pct"/>
            <w:noWrap w:val="0"/>
            <w:tcMar>
              <w:top w:w="15" w:type="dxa"/>
              <w:left w:w="15" w:type="dxa"/>
              <w:bottom w:w="0" w:type="dxa"/>
              <w:right w:w="15" w:type="dxa"/>
            </w:tcMar>
            <w:vAlign w:val="center"/>
          </w:tcPr>
          <w:p w14:paraId="244B704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正常库</w:t>
            </w:r>
          </w:p>
        </w:tc>
        <w:tc>
          <w:tcPr>
            <w:tcW w:w="972" w:type="pct"/>
            <w:noWrap w:val="0"/>
            <w:tcMar>
              <w:top w:w="15" w:type="dxa"/>
              <w:left w:w="15" w:type="dxa"/>
              <w:bottom w:w="0" w:type="dxa"/>
              <w:right w:w="15" w:type="dxa"/>
            </w:tcMar>
            <w:vAlign w:val="center"/>
          </w:tcPr>
          <w:p w14:paraId="5CD6EA94">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*筑坝方式</w:t>
            </w:r>
          </w:p>
        </w:tc>
        <w:tc>
          <w:tcPr>
            <w:tcW w:w="1509" w:type="pct"/>
            <w:noWrap w:val="0"/>
            <w:tcMar>
              <w:top w:w="15" w:type="dxa"/>
              <w:left w:w="15" w:type="dxa"/>
              <w:bottom w:w="0" w:type="dxa"/>
              <w:right w:w="15" w:type="dxa"/>
            </w:tcMar>
            <w:vAlign w:val="center"/>
          </w:tcPr>
          <w:p w14:paraId="1FD2C69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干式</w:t>
            </w:r>
            <w:r>
              <w:rPr>
                <w:rFonts w:hint="eastAsia" w:cs="Times New Roman"/>
                <w:color w:val="auto"/>
                <w:sz w:val="21"/>
                <w:szCs w:val="21"/>
                <w:lang w:val="en-US" w:eastAsia="zh-CN"/>
              </w:rPr>
              <w:t>尾矿</w:t>
            </w:r>
            <w:r>
              <w:rPr>
                <w:rFonts w:hint="default" w:ascii="Times New Roman" w:hAnsi="Times New Roman" w:eastAsia="宋体" w:cs="Times New Roman"/>
                <w:color w:val="auto"/>
                <w:sz w:val="21"/>
                <w:szCs w:val="21"/>
              </w:rPr>
              <w:t>筑坝</w:t>
            </w:r>
          </w:p>
        </w:tc>
      </w:tr>
      <w:tr w14:paraId="7DF77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1148" w:type="pct"/>
            <w:noWrap w:val="0"/>
            <w:tcMar>
              <w:top w:w="15" w:type="dxa"/>
              <w:left w:w="15" w:type="dxa"/>
              <w:bottom w:w="0" w:type="dxa"/>
              <w:right w:w="15" w:type="dxa"/>
            </w:tcMar>
            <w:vAlign w:val="center"/>
          </w:tcPr>
          <w:p w14:paraId="436A427C">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*是否获得</w:t>
            </w:r>
          </w:p>
          <w:p w14:paraId="4370EEE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安全生产许可证</w:t>
            </w:r>
          </w:p>
        </w:tc>
        <w:tc>
          <w:tcPr>
            <w:tcW w:w="1370" w:type="pct"/>
            <w:noWrap w:val="0"/>
            <w:tcMar>
              <w:top w:w="15" w:type="dxa"/>
              <w:left w:w="15" w:type="dxa"/>
              <w:bottom w:w="0" w:type="dxa"/>
              <w:right w:w="15" w:type="dxa"/>
            </w:tcMar>
            <w:vAlign w:val="center"/>
          </w:tcPr>
          <w:p w14:paraId="6FD15AB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c>
          <w:tcPr>
            <w:tcW w:w="972" w:type="pct"/>
            <w:noWrap w:val="0"/>
            <w:tcMar>
              <w:top w:w="15" w:type="dxa"/>
              <w:left w:w="15" w:type="dxa"/>
              <w:bottom w:w="0" w:type="dxa"/>
              <w:right w:w="15" w:type="dxa"/>
            </w:tcMar>
            <w:vAlign w:val="center"/>
          </w:tcPr>
          <w:p w14:paraId="5D27D31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*安全评价单位</w:t>
            </w:r>
          </w:p>
        </w:tc>
        <w:tc>
          <w:tcPr>
            <w:tcW w:w="1509" w:type="pct"/>
            <w:noWrap w:val="0"/>
            <w:tcMar>
              <w:top w:w="15" w:type="dxa"/>
              <w:left w:w="15" w:type="dxa"/>
              <w:bottom w:w="0" w:type="dxa"/>
              <w:right w:w="15" w:type="dxa"/>
            </w:tcMar>
            <w:vAlign w:val="center"/>
          </w:tcPr>
          <w:p w14:paraId="0C65D59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江西赣安安全生产</w:t>
            </w:r>
          </w:p>
          <w:p w14:paraId="44615AB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科学技术咨询服务中心</w:t>
            </w:r>
          </w:p>
        </w:tc>
      </w:tr>
      <w:tr w14:paraId="2F9E3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exact"/>
          <w:jc w:val="center"/>
        </w:trPr>
        <w:tc>
          <w:tcPr>
            <w:tcW w:w="1148" w:type="pct"/>
            <w:noWrap w:val="0"/>
            <w:tcMar>
              <w:top w:w="15" w:type="dxa"/>
              <w:left w:w="15" w:type="dxa"/>
              <w:bottom w:w="0" w:type="dxa"/>
              <w:right w:w="15" w:type="dxa"/>
            </w:tcMar>
            <w:vAlign w:val="center"/>
          </w:tcPr>
          <w:p w14:paraId="1A02A78F">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安全评价意见</w:t>
            </w:r>
          </w:p>
        </w:tc>
        <w:tc>
          <w:tcPr>
            <w:tcW w:w="3851" w:type="pct"/>
            <w:gridSpan w:val="3"/>
            <w:noWrap w:val="0"/>
            <w:tcMar>
              <w:top w:w="15" w:type="dxa"/>
              <w:left w:w="15" w:type="dxa"/>
              <w:bottom w:w="0" w:type="dxa"/>
              <w:right w:w="15" w:type="dxa"/>
            </w:tcMar>
            <w:vAlign w:val="center"/>
          </w:tcPr>
          <w:p w14:paraId="3E01301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zh-CN"/>
              </w:rPr>
              <w:t>安全生产条件一般，能满足基本的安全生产活动。</w:t>
            </w:r>
          </w:p>
        </w:tc>
      </w:tr>
      <w:tr w14:paraId="2F468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 w:hRule="atLeast"/>
          <w:jc w:val="center"/>
        </w:trPr>
        <w:tc>
          <w:tcPr>
            <w:tcW w:w="1148" w:type="pct"/>
            <w:noWrap w:val="0"/>
            <w:tcMar>
              <w:top w:w="15" w:type="dxa"/>
              <w:left w:w="15" w:type="dxa"/>
              <w:bottom w:w="0" w:type="dxa"/>
              <w:right w:w="15" w:type="dxa"/>
            </w:tcMar>
            <w:vAlign w:val="center"/>
          </w:tcPr>
          <w:p w14:paraId="5C2F605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尾矿库及库区存在的</w:t>
            </w:r>
          </w:p>
          <w:p w14:paraId="1786CE0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主要安全问题</w:t>
            </w:r>
          </w:p>
        </w:tc>
        <w:tc>
          <w:tcPr>
            <w:tcW w:w="3851" w:type="pct"/>
            <w:gridSpan w:val="3"/>
            <w:noWrap w:val="0"/>
            <w:tcMar>
              <w:top w:w="15" w:type="dxa"/>
              <w:left w:w="15" w:type="dxa"/>
              <w:bottom w:w="0" w:type="dxa"/>
              <w:right w:w="15" w:type="dxa"/>
            </w:tcMar>
            <w:vAlign w:val="center"/>
          </w:tcPr>
          <w:p w14:paraId="4EE76FF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r w14:paraId="0A4DB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jc w:val="center"/>
        </w:trPr>
        <w:tc>
          <w:tcPr>
            <w:tcW w:w="1148" w:type="pct"/>
            <w:noWrap w:val="0"/>
            <w:tcMar>
              <w:top w:w="15" w:type="dxa"/>
              <w:left w:w="15" w:type="dxa"/>
              <w:bottom w:w="0" w:type="dxa"/>
              <w:right w:w="15" w:type="dxa"/>
            </w:tcMar>
            <w:vAlign w:val="center"/>
          </w:tcPr>
          <w:p w14:paraId="3E1E5C51">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近五年</w:t>
            </w:r>
          </w:p>
          <w:p w14:paraId="72A48DD6">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生产安全事故情况</w:t>
            </w:r>
          </w:p>
        </w:tc>
        <w:tc>
          <w:tcPr>
            <w:tcW w:w="3851" w:type="pct"/>
            <w:gridSpan w:val="3"/>
            <w:noWrap w:val="0"/>
            <w:tcMar>
              <w:top w:w="15" w:type="dxa"/>
              <w:left w:w="15" w:type="dxa"/>
              <w:bottom w:w="0" w:type="dxa"/>
              <w:right w:w="15" w:type="dxa"/>
            </w:tcMar>
            <w:vAlign w:val="center"/>
          </w:tcPr>
          <w:p w14:paraId="4D00FDB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bl>
    <w:p w14:paraId="239FD83C">
      <w:pPr>
        <w:pStyle w:val="3"/>
        <w:bidi w:val="0"/>
        <w:rPr>
          <w:rFonts w:hint="default"/>
          <w:color w:val="auto"/>
          <w:lang w:val="en-US" w:eastAsia="zh-CN"/>
        </w:rPr>
      </w:pPr>
      <w:bookmarkStart w:id="96" w:name="_Toc13889"/>
      <w:bookmarkStart w:id="97" w:name="_Toc7530"/>
      <w:bookmarkStart w:id="98" w:name="_Toc32291"/>
      <w:bookmarkStart w:id="99" w:name="_Toc20573"/>
      <w:r>
        <w:rPr>
          <w:rFonts w:hint="default"/>
          <w:color w:val="auto"/>
          <w:lang w:val="en-US" w:eastAsia="zh-CN"/>
        </w:rPr>
        <w:t>2.4</w:t>
      </w:r>
      <w:r>
        <w:rPr>
          <w:rFonts w:hint="eastAsia"/>
          <w:color w:val="auto"/>
          <w:lang w:val="en-US" w:eastAsia="zh-CN"/>
        </w:rPr>
        <w:t xml:space="preserve"> </w:t>
      </w:r>
      <w:r>
        <w:rPr>
          <w:rFonts w:hint="default"/>
          <w:color w:val="auto"/>
          <w:lang w:val="en-US" w:eastAsia="zh-CN"/>
        </w:rPr>
        <w:t>地质概况</w:t>
      </w:r>
      <w:bookmarkEnd w:id="96"/>
      <w:bookmarkEnd w:id="97"/>
      <w:bookmarkEnd w:id="98"/>
      <w:bookmarkEnd w:id="99"/>
    </w:p>
    <w:p w14:paraId="68B72F4D">
      <w:pPr>
        <w:rPr>
          <w:rFonts w:hint="default"/>
          <w:color w:val="auto"/>
          <w:lang w:val="en-US" w:eastAsia="zh-CN"/>
        </w:rPr>
      </w:pPr>
      <w:r>
        <w:rPr>
          <w:rFonts w:hint="default"/>
          <w:color w:val="auto"/>
          <w:lang w:val="en-US" w:eastAsia="zh-CN"/>
        </w:rPr>
        <w:t>以下内容引用自地矿赣西地质工程勘察院于201</w:t>
      </w:r>
      <w:r>
        <w:rPr>
          <w:rFonts w:hint="eastAsia"/>
          <w:color w:val="auto"/>
          <w:lang w:val="en-US" w:eastAsia="zh-CN"/>
        </w:rPr>
        <w:t>8</w:t>
      </w:r>
      <w:r>
        <w:rPr>
          <w:rFonts w:hint="default"/>
          <w:color w:val="auto"/>
          <w:lang w:val="en-US" w:eastAsia="zh-CN"/>
        </w:rPr>
        <w:t>年</w:t>
      </w:r>
      <w:r>
        <w:rPr>
          <w:rFonts w:hint="eastAsia"/>
          <w:color w:val="auto"/>
          <w:lang w:val="en-US" w:eastAsia="zh-CN"/>
        </w:rPr>
        <w:t>10</w:t>
      </w:r>
      <w:r>
        <w:rPr>
          <w:rFonts w:hint="default"/>
          <w:color w:val="auto"/>
          <w:lang w:val="en-US" w:eastAsia="zh-CN"/>
        </w:rPr>
        <w:t>月编制的《</w:t>
      </w:r>
      <w:r>
        <w:rPr>
          <w:rFonts w:hint="eastAsia"/>
          <w:color w:val="auto"/>
          <w:lang w:val="en-US" w:eastAsia="zh-CN"/>
        </w:rPr>
        <w:t>江西省宜丰万国矿业有限公司宜丰新庄铜铅锌矿90万吨/a改扩建工程尾矿库湿改干工程地质勘察报告</w:t>
      </w:r>
      <w:r>
        <w:rPr>
          <w:rFonts w:hint="default"/>
          <w:color w:val="auto"/>
          <w:lang w:val="en-US" w:eastAsia="zh-CN"/>
        </w:rPr>
        <w:t>》中的地质资料。</w:t>
      </w:r>
    </w:p>
    <w:p w14:paraId="4045BD2B">
      <w:pPr>
        <w:pStyle w:val="4"/>
        <w:bidi w:val="0"/>
        <w:rPr>
          <w:rFonts w:hint="default"/>
          <w:color w:val="auto"/>
          <w:lang w:val="en-US" w:eastAsia="zh-CN"/>
        </w:rPr>
      </w:pPr>
      <w:bookmarkStart w:id="100" w:name="_Toc31772"/>
      <w:bookmarkStart w:id="101" w:name="_Toc9643"/>
      <w:bookmarkStart w:id="102" w:name="_Toc24668"/>
      <w:bookmarkStart w:id="103" w:name="_Toc22133"/>
      <w:r>
        <w:rPr>
          <w:rFonts w:hint="default"/>
          <w:color w:val="auto"/>
          <w:lang w:val="en-US" w:eastAsia="zh-CN"/>
        </w:rPr>
        <w:t>2.4.1</w:t>
      </w:r>
      <w:r>
        <w:rPr>
          <w:rFonts w:hint="eastAsia"/>
          <w:color w:val="auto"/>
          <w:lang w:val="en-US" w:eastAsia="zh-CN"/>
        </w:rPr>
        <w:t xml:space="preserve"> </w:t>
      </w:r>
      <w:bookmarkEnd w:id="100"/>
      <w:bookmarkEnd w:id="101"/>
      <w:r>
        <w:rPr>
          <w:rFonts w:hint="default"/>
          <w:color w:val="auto"/>
          <w:lang w:val="en-US" w:eastAsia="zh-CN"/>
        </w:rPr>
        <w:t>地质构造</w:t>
      </w:r>
      <w:bookmarkEnd w:id="102"/>
      <w:bookmarkEnd w:id="103"/>
    </w:p>
    <w:p w14:paraId="27C4D83F">
      <w:pPr>
        <w:rPr>
          <w:rFonts w:hint="default"/>
          <w:color w:val="auto"/>
          <w:lang w:val="en-US" w:eastAsia="zh-CN"/>
        </w:rPr>
      </w:pPr>
      <w:r>
        <w:rPr>
          <w:rFonts w:hint="default"/>
          <w:color w:val="auto"/>
          <w:lang w:val="en-US" w:eastAsia="zh-CN"/>
        </w:rPr>
        <w:t>库区位于萍乡～乐平坳陷西段的萍乡～高安地区，复向斜褶皱轴迹总体呈反</w:t>
      </w:r>
      <w:r>
        <w:rPr>
          <w:rFonts w:hint="eastAsia"/>
          <w:color w:val="auto"/>
          <w:lang w:val="en-US" w:eastAsia="zh-CN"/>
        </w:rPr>
        <w:t>“</w:t>
      </w:r>
      <w:r>
        <w:rPr>
          <w:rFonts w:hint="default"/>
          <w:color w:val="auto"/>
          <w:lang w:val="en-US" w:eastAsia="zh-CN"/>
        </w:rPr>
        <w:t>S</w:t>
      </w:r>
      <w:r>
        <w:rPr>
          <w:rFonts w:hint="eastAsia"/>
          <w:color w:val="auto"/>
          <w:lang w:val="en-US" w:eastAsia="zh-CN"/>
        </w:rPr>
        <w:t>”</w:t>
      </w:r>
      <w:r>
        <w:rPr>
          <w:rFonts w:hint="default"/>
          <w:color w:val="auto"/>
          <w:lang w:val="en-US" w:eastAsia="zh-CN"/>
        </w:rPr>
        <w:t>型延展、以过渡型褶皱为主。区内出露地层仅有白垩系中统南雄组。主要岩性为砂砾岩。地层产状较稳定，走向北西，倾向北东，倾角30</w:t>
      </w:r>
      <w:r>
        <w:rPr>
          <w:rFonts w:hint="eastAsia" w:ascii="宋体" w:hAnsi="宋体" w:eastAsia="宋体" w:cs="宋体"/>
          <w:color w:val="auto"/>
          <w:lang w:val="en-US" w:eastAsia="zh-CN"/>
        </w:rPr>
        <w:t>°</w:t>
      </w:r>
      <w:r>
        <w:rPr>
          <w:rFonts w:hint="default"/>
          <w:color w:val="auto"/>
          <w:lang w:val="en-US" w:eastAsia="zh-CN"/>
        </w:rPr>
        <w:t>～50</w:t>
      </w:r>
      <w:r>
        <w:rPr>
          <w:rFonts w:hint="eastAsia" w:ascii="宋体" w:hAnsi="宋体" w:eastAsia="宋体" w:cs="宋体"/>
          <w:color w:val="auto"/>
          <w:lang w:val="en-US" w:eastAsia="zh-CN"/>
        </w:rPr>
        <w:t>°</w:t>
      </w:r>
      <w:r>
        <w:rPr>
          <w:rFonts w:hint="default"/>
          <w:color w:val="auto"/>
          <w:lang w:val="en-US" w:eastAsia="zh-CN"/>
        </w:rPr>
        <w:t>。</w:t>
      </w:r>
    </w:p>
    <w:p w14:paraId="3D2A7C45">
      <w:pPr>
        <w:rPr>
          <w:rFonts w:hint="default"/>
          <w:color w:val="auto"/>
          <w:lang w:val="en-US" w:eastAsia="zh-CN"/>
        </w:rPr>
      </w:pPr>
      <w:r>
        <w:rPr>
          <w:rFonts w:hint="default"/>
          <w:color w:val="auto"/>
          <w:lang w:val="en-US" w:eastAsia="zh-CN"/>
        </w:rPr>
        <w:t>区内基底褶皱、韧（脆）性变形强烈，断裂构造发育，多期次多层次交切，成群成带出现，推覆构造与断陷盆地发育，形成了该区域较复杂的构造体系。宜丰～景德镇板块对接断裂带（普宁断裂带）从库区南侧通过，呈北东向展布。北东向挤压破碎带发育。</w:t>
      </w:r>
    </w:p>
    <w:p w14:paraId="72627753">
      <w:pPr>
        <w:pStyle w:val="4"/>
        <w:bidi w:val="0"/>
        <w:rPr>
          <w:rFonts w:hint="eastAsia"/>
          <w:color w:val="auto"/>
          <w:lang w:val="en-US" w:eastAsia="zh-CN"/>
        </w:rPr>
      </w:pPr>
      <w:bookmarkStart w:id="104" w:name="_Toc14231"/>
      <w:bookmarkStart w:id="105" w:name="_Toc31240"/>
      <w:bookmarkStart w:id="106" w:name="_Toc4763"/>
      <w:bookmarkStart w:id="107" w:name="_Toc10960"/>
      <w:r>
        <w:rPr>
          <w:rFonts w:hint="eastAsia"/>
          <w:color w:val="auto"/>
          <w:lang w:val="en-US" w:eastAsia="zh-CN"/>
        </w:rPr>
        <w:t xml:space="preserve">2.4.2 </w:t>
      </w:r>
      <w:bookmarkEnd w:id="104"/>
      <w:bookmarkEnd w:id="105"/>
      <w:r>
        <w:rPr>
          <w:rFonts w:hint="eastAsia"/>
          <w:color w:val="auto"/>
          <w:lang w:val="en-US" w:eastAsia="zh-CN"/>
        </w:rPr>
        <w:t>地层岩性</w:t>
      </w:r>
      <w:bookmarkEnd w:id="106"/>
      <w:bookmarkEnd w:id="107"/>
    </w:p>
    <w:p w14:paraId="5CEB544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val="en-US" w:eastAsia="zh-CN"/>
        </w:rPr>
        <w:t>1</w:t>
      </w:r>
      <w:r>
        <w:rPr>
          <w:rFonts w:hint="eastAsia" w:ascii="Times New Roman" w:hAnsi="Times New Roman" w:eastAsia="宋体" w:cs="Times New Roman"/>
          <w:bCs/>
          <w:color w:val="auto"/>
          <w:sz w:val="28"/>
          <w:szCs w:val="28"/>
          <w:lang w:val="en-US" w:eastAsia="zh-CN"/>
        </w:rPr>
        <w:t xml:space="preserve">. </w:t>
      </w:r>
      <w:r>
        <w:rPr>
          <w:rFonts w:hint="default" w:ascii="Times New Roman" w:hAnsi="Times New Roman" w:eastAsia="宋体" w:cs="Times New Roman"/>
          <w:bCs/>
          <w:color w:val="auto"/>
          <w:sz w:val="28"/>
          <w:szCs w:val="28"/>
        </w:rPr>
        <w:t>尾矿库初期坝及副坝坝体土质条件</w:t>
      </w:r>
    </w:p>
    <w:p w14:paraId="37FF65A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宜丰新庄铜铅锌矿尾矿库修建在二小沟最狭窄地带，冲沟发育，地表切割较强烈，两岸的山体厚实。</w:t>
      </w:r>
    </w:p>
    <w:p w14:paraId="4FCD96E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根据现场地质调查及钻探的有关资料，初期坝的土料，主要取自两岸山坡砂砾岩风化残积层（砂、砾质粘性），该土层呈棕红、棕褐色，以粉质黏土为主，含较多角砾状碎石，含量10%～30%，分布不均，结构较紧密，角砾成份主要为灰岩及砂岩碎块，呈稍湿～湿，硬塑状。根据土工试验资料反映，该坝人工填土和坝基残积土，二者各项指标基本接近。初期坝的人工填土土质比较均一，夯实质量较好。多年来，填土在自重压力下，孔隙水压力基本已得到消散。目前坝体已基本固结稳定，并有草皮、干砌块石覆盖。</w:t>
      </w:r>
    </w:p>
    <w:p w14:paraId="36B7E92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cs="Times New Roman"/>
          <w:bCs/>
          <w:color w:val="auto"/>
          <w:sz w:val="28"/>
          <w:szCs w:val="28"/>
          <w:lang w:eastAsia="zh-CN"/>
        </w:rPr>
      </w:pPr>
      <w:r>
        <w:rPr>
          <w:rFonts w:hint="eastAsia"/>
          <w:color w:val="auto"/>
          <w:shd w:val="clear" w:color="auto" w:fill="auto"/>
          <w:lang w:val="en-US" w:eastAsia="zh-CN"/>
        </w:rPr>
        <w:t>宜丰新庄铜铅锌矿尾矿库</w:t>
      </w:r>
      <w:r>
        <w:rPr>
          <w:rFonts w:hint="default" w:ascii="Times New Roman" w:hAnsi="Times New Roman" w:eastAsia="宋体" w:cs="Times New Roman"/>
          <w:bCs/>
          <w:color w:val="auto"/>
          <w:sz w:val="28"/>
          <w:szCs w:val="28"/>
        </w:rPr>
        <w:t>副坝位于库区中部东侧鞍部垭口处</w:t>
      </w:r>
      <w:r>
        <w:rPr>
          <w:rFonts w:hint="eastAsia" w:cs="Times New Roman"/>
          <w:bCs/>
          <w:color w:val="auto"/>
          <w:sz w:val="28"/>
          <w:szCs w:val="28"/>
          <w:lang w:eastAsia="zh-CN"/>
        </w:rPr>
        <w:t>。</w:t>
      </w:r>
    </w:p>
    <w:p w14:paraId="38C4428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根据钻探的有关资料，上部6m为碎石矿渣填筑而成，该层土呈灰褐色，结构较紧密，成分主要由碎石组成，粒径为2cm～10cm，少数大于10cm，内含少量砂砾及粉质黏土。根据本次钻探结果反映，在施工上部6m碎石填土时，发生钻孔漏水现象，说明该层土空隙大，密实度较差，存在渗透破坏及沉降变形风险。6m以下的坝体填土为砂砾岩风化残积土，土质比较均一，夯实质量较好，填土在自重压力下，孔隙水压力基本已得到消散。</w:t>
      </w:r>
    </w:p>
    <w:p w14:paraId="7C6D21D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bookmarkStart w:id="108" w:name="_Toc526818950"/>
      <w:r>
        <w:rPr>
          <w:rFonts w:hint="default" w:ascii="Times New Roman" w:hAnsi="Times New Roman" w:eastAsia="宋体" w:cs="Times New Roman"/>
          <w:bCs/>
          <w:color w:val="auto"/>
          <w:sz w:val="28"/>
          <w:szCs w:val="28"/>
          <w:lang w:val="en-US" w:eastAsia="zh-CN"/>
        </w:rPr>
        <w:t xml:space="preserve">2. </w:t>
      </w:r>
      <w:r>
        <w:rPr>
          <w:rFonts w:hint="default" w:ascii="Times New Roman" w:hAnsi="Times New Roman" w:eastAsia="宋体" w:cs="Times New Roman"/>
          <w:bCs/>
          <w:color w:val="auto"/>
          <w:sz w:val="28"/>
          <w:szCs w:val="28"/>
        </w:rPr>
        <w:t>尾矿堆积坝坝体土质条件</w:t>
      </w:r>
      <w:bookmarkEnd w:id="108"/>
    </w:p>
    <w:p w14:paraId="4241C7C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尾矿库后期采用尾砂堆坝，</w:t>
      </w:r>
      <w:r>
        <w:rPr>
          <w:rFonts w:hint="eastAsia" w:cs="Times New Roman"/>
          <w:bCs/>
          <w:color w:val="auto"/>
          <w:sz w:val="28"/>
          <w:szCs w:val="28"/>
          <w:lang w:val="en-US" w:eastAsia="zh-CN"/>
        </w:rPr>
        <w:t>原先</w:t>
      </w:r>
      <w:r>
        <w:rPr>
          <w:rFonts w:hint="default" w:ascii="Times New Roman" w:hAnsi="Times New Roman" w:eastAsia="宋体" w:cs="Times New Roman"/>
          <w:bCs/>
          <w:color w:val="auto"/>
          <w:sz w:val="28"/>
          <w:szCs w:val="28"/>
        </w:rPr>
        <w:t>采用上游放矿法冲积成坝，堆积坝外坡采用粘土护坡，并在子坝外坡上植被。</w:t>
      </w:r>
    </w:p>
    <w:p w14:paraId="79F6338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根据钻孔揭露的地层尾砂堆坝基底座落在残积砾质粘性土层上，坝体顶部1m～3m采用碎石填筑，往下为尾矿（尾粉砂、尾粉土、尾泥）堆填而成。尾砂堆填受重力分选作用，尾矿浆经放矿管排出，不同粒径的尾矿逐渐分离，从垂直轴线方向上，粗颗粒首先沉积在排放管附近，远离排放管沉积颗粒逐渐变细。由于采用上游法筑坝，排放管和子坝随沉积滩的增高不断向库内移动，原来堆填的细颗粒逐渐为后来的粗颗粒覆盖，随时间推移在垂直方向上形成上部粗，下部细的沉积规律；同时，水平方向上从坝向库内尾砂颗粒分布由粗到细。排放尾矿的间歇性、放尾矿形式、矿浆流量、流速及尾矿池内水边线的变化、原矿浆的尾矿粒度、化学成分及尾矿浓度等均影响尾矿的沉积，也使得尾矿的沉积层次复杂多变。</w:t>
      </w:r>
    </w:p>
    <w:p w14:paraId="18A000F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bookmarkStart w:id="109" w:name="_Toc340732548"/>
      <w:bookmarkStart w:id="110" w:name="_Toc526818953"/>
      <w:r>
        <w:rPr>
          <w:rFonts w:hint="default" w:ascii="Times New Roman" w:hAnsi="Times New Roman" w:eastAsia="宋体" w:cs="Times New Roman"/>
          <w:bCs/>
          <w:color w:val="auto"/>
          <w:sz w:val="28"/>
          <w:szCs w:val="28"/>
          <w:lang w:val="en-US" w:eastAsia="zh-CN"/>
        </w:rPr>
        <w:t>3</w:t>
      </w:r>
      <w:r>
        <w:rPr>
          <w:rFonts w:hint="eastAsia" w:ascii="Times New Roman" w:hAnsi="Times New Roman" w:eastAsia="宋体" w:cs="Times New Roman"/>
          <w:bCs/>
          <w:color w:val="auto"/>
          <w:sz w:val="28"/>
          <w:szCs w:val="28"/>
          <w:lang w:val="en-US" w:eastAsia="zh-CN"/>
        </w:rPr>
        <w:t xml:space="preserve">. </w:t>
      </w:r>
      <w:r>
        <w:rPr>
          <w:rFonts w:hint="default" w:ascii="Times New Roman" w:hAnsi="Times New Roman" w:eastAsia="宋体" w:cs="Times New Roman"/>
          <w:bCs/>
          <w:color w:val="auto"/>
          <w:sz w:val="28"/>
          <w:szCs w:val="28"/>
        </w:rPr>
        <w:t>库区岩（土）层工程地质特征</w:t>
      </w:r>
      <w:bookmarkEnd w:id="109"/>
      <w:bookmarkEnd w:id="110"/>
    </w:p>
    <w:p w14:paraId="5751E42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根据钻探及土工试验分析结果，按《岩土工程勘察规范》等规范的规定，堆积库内的岩土类可分为人工填土（分①-1碎石填土及①-2坝体素填土两种）；②尾粉砂；③尾粉土；④尾矿泥；⑤砾质粘性土及⑥强风化砂砾岩。按自上而下的顺序将各土层的结构和特性综合描述如下：</w:t>
      </w:r>
    </w:p>
    <w:p w14:paraId="4C58D68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1</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人工填土（Q</w:t>
      </w:r>
      <w:r>
        <w:rPr>
          <w:rFonts w:hint="default" w:ascii="Times New Roman" w:hAnsi="Times New Roman" w:eastAsia="宋体" w:cs="Times New Roman"/>
          <w:bCs/>
          <w:color w:val="auto"/>
          <w:sz w:val="28"/>
          <w:szCs w:val="28"/>
          <w:vertAlign w:val="subscript"/>
        </w:rPr>
        <w:t>4</w:t>
      </w:r>
      <w:r>
        <w:rPr>
          <w:rFonts w:hint="default" w:ascii="Times New Roman" w:hAnsi="Times New Roman" w:eastAsia="宋体" w:cs="Times New Roman"/>
          <w:bCs/>
          <w:color w:val="auto"/>
          <w:sz w:val="28"/>
          <w:szCs w:val="28"/>
          <w:vertAlign w:val="superscript"/>
        </w:rPr>
        <w:t>ml</w:t>
      </w:r>
      <w:r>
        <w:rPr>
          <w:rFonts w:hint="default" w:ascii="Times New Roman" w:hAnsi="Times New Roman" w:eastAsia="宋体" w:cs="Times New Roman"/>
          <w:bCs/>
          <w:color w:val="auto"/>
          <w:sz w:val="28"/>
          <w:szCs w:val="28"/>
        </w:rPr>
        <w:t>）：根据其组成成分可分为碎石回填土及素回填土两种。</w:t>
      </w:r>
    </w:p>
    <w:p w14:paraId="1900FB3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①-1碎石填土：灰褐色，结构较紧密，成分主要由碎石组成，粒径为2～10cm，少数大于10cm，内含少量砂砾及粉质黏土，为新近堆填的填土，主要分布于初始坝及子坝表层，揭露层厚1.20m～6.50m，平均厚2.73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56.12m～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72.77m。土、石等级为</w:t>
      </w:r>
      <w:r>
        <w:rPr>
          <w:rFonts w:hint="eastAsia" w:ascii="宋体" w:hAnsi="宋体" w:eastAsia="宋体" w:cs="宋体"/>
          <w:bCs/>
          <w:color w:val="auto"/>
          <w:sz w:val="28"/>
          <w:szCs w:val="28"/>
        </w:rPr>
        <w:t>Ⅱ</w:t>
      </w:r>
      <w:r>
        <w:rPr>
          <w:rFonts w:hint="default" w:ascii="Times New Roman" w:hAnsi="Times New Roman" w:eastAsia="宋体" w:cs="Times New Roman"/>
          <w:bCs/>
          <w:color w:val="auto"/>
          <w:sz w:val="28"/>
          <w:szCs w:val="28"/>
        </w:rPr>
        <w:t>级，土、石类别为普通土。</w:t>
      </w:r>
    </w:p>
    <w:p w14:paraId="6F5D4C7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①-2坝体素填土：棕红、棕褐色，以粉质黏土为主，含较多角砾状碎石，含量10%～20%，分布不均，结构较紧密，角砾成份主要为灰岩及砂岩碎块，为新近堆填的填土。主要分布于初始坝坝体及子坝表层，揭露层厚2.50m～19.40m，平均厚6.44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50.56m～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75.92m。土、石等级为</w:t>
      </w:r>
      <w:r>
        <w:rPr>
          <w:rFonts w:hint="eastAsia" w:ascii="宋体" w:hAnsi="宋体" w:eastAsia="宋体" w:cs="宋体"/>
          <w:bCs/>
          <w:color w:val="auto"/>
          <w:sz w:val="28"/>
          <w:szCs w:val="28"/>
        </w:rPr>
        <w:t>Ⅱ</w:t>
      </w:r>
      <w:r>
        <w:rPr>
          <w:rFonts w:hint="default" w:ascii="Times New Roman" w:hAnsi="Times New Roman" w:eastAsia="宋体" w:cs="Times New Roman"/>
          <w:bCs/>
          <w:color w:val="auto"/>
          <w:sz w:val="28"/>
          <w:szCs w:val="28"/>
        </w:rPr>
        <w:t>级，土、石类别为普通土。</w:t>
      </w:r>
    </w:p>
    <w:p w14:paraId="30A8406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2</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尾粉砂（Q</w:t>
      </w:r>
      <w:r>
        <w:rPr>
          <w:rFonts w:hint="default" w:ascii="Times New Roman" w:hAnsi="Times New Roman" w:eastAsia="宋体" w:cs="Times New Roman"/>
          <w:bCs/>
          <w:color w:val="auto"/>
          <w:sz w:val="28"/>
          <w:szCs w:val="28"/>
          <w:vertAlign w:val="subscript"/>
        </w:rPr>
        <w:t>4</w:t>
      </w:r>
      <w:r>
        <w:rPr>
          <w:rFonts w:hint="default" w:ascii="Times New Roman" w:hAnsi="Times New Roman" w:eastAsia="宋体" w:cs="Times New Roman"/>
          <w:bCs/>
          <w:color w:val="auto"/>
          <w:sz w:val="28"/>
          <w:szCs w:val="28"/>
          <w:vertAlign w:val="superscript"/>
        </w:rPr>
        <w:t>ml</w:t>
      </w:r>
      <w:r>
        <w:rPr>
          <w:rFonts w:hint="default" w:ascii="Times New Roman" w:hAnsi="Times New Roman" w:eastAsia="宋体" w:cs="Times New Roman"/>
          <w:bCs/>
          <w:color w:val="auto"/>
          <w:sz w:val="28"/>
          <w:szCs w:val="28"/>
        </w:rPr>
        <w:t>）：灰色，潮湿～饱和，松散～稍密，成份主要由粉砂组成，内含少量薄层状细砂及尾矿泥，见近水平层理，为新近堆填的冲填土。主要分布于库区前段及子坝上部，揭露层厚1.60m～11.80m，平均厚4.86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65.15m～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72.12m。土、石等级为</w:t>
      </w:r>
      <w:r>
        <w:rPr>
          <w:rFonts w:hint="eastAsia" w:ascii="宋体" w:hAnsi="宋体" w:eastAsia="宋体" w:cs="宋体"/>
          <w:bCs/>
          <w:color w:val="auto"/>
          <w:sz w:val="28"/>
          <w:szCs w:val="28"/>
        </w:rPr>
        <w:t>Ⅰ</w:t>
      </w:r>
      <w:r>
        <w:rPr>
          <w:rFonts w:hint="default" w:ascii="Times New Roman" w:hAnsi="Times New Roman" w:eastAsia="宋体" w:cs="Times New Roman"/>
          <w:bCs/>
          <w:color w:val="auto"/>
          <w:sz w:val="28"/>
          <w:szCs w:val="28"/>
        </w:rPr>
        <w:t>级，土、石类别为松土。</w:t>
      </w:r>
    </w:p>
    <w:p w14:paraId="3E666D1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3</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尾粉土（Q</w:t>
      </w:r>
      <w:r>
        <w:rPr>
          <w:rFonts w:hint="default" w:ascii="Times New Roman" w:hAnsi="Times New Roman" w:eastAsia="宋体" w:cs="Times New Roman"/>
          <w:bCs/>
          <w:color w:val="auto"/>
          <w:sz w:val="28"/>
          <w:szCs w:val="28"/>
          <w:vertAlign w:val="subscript"/>
        </w:rPr>
        <w:t>4</w:t>
      </w:r>
      <w:r>
        <w:rPr>
          <w:rFonts w:hint="default" w:ascii="Times New Roman" w:hAnsi="Times New Roman" w:eastAsia="宋体" w:cs="Times New Roman"/>
          <w:bCs/>
          <w:color w:val="auto"/>
          <w:sz w:val="28"/>
          <w:szCs w:val="28"/>
          <w:vertAlign w:val="superscript"/>
        </w:rPr>
        <w:t>ml</w:t>
      </w:r>
      <w:r>
        <w:rPr>
          <w:rFonts w:hint="default" w:ascii="Times New Roman" w:hAnsi="Times New Roman" w:eastAsia="宋体" w:cs="Times New Roman"/>
          <w:bCs/>
          <w:color w:val="auto"/>
          <w:sz w:val="28"/>
          <w:szCs w:val="28"/>
        </w:rPr>
        <w:t>）：灰色，饱和，以软塑～可塑为主，局部呈流塑状，松散～稍密，成份主要由粘粒及粉粒组成，内含少量薄层状细砂及粉砂，见近水平层理，为新近堆填的冲填土。主要分布于库区及子坝中下部，揭露层厚1.80m～10.70m，平均厚6.80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57.12m～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70.32m。土、石等级为</w:t>
      </w:r>
      <w:r>
        <w:rPr>
          <w:rFonts w:hint="eastAsia" w:ascii="宋体" w:hAnsi="宋体" w:eastAsia="宋体" w:cs="宋体"/>
          <w:bCs/>
          <w:color w:val="auto"/>
          <w:sz w:val="28"/>
          <w:szCs w:val="28"/>
        </w:rPr>
        <w:t>Ⅱ</w:t>
      </w:r>
      <w:r>
        <w:rPr>
          <w:rFonts w:hint="default" w:ascii="Times New Roman" w:hAnsi="Times New Roman" w:eastAsia="宋体" w:cs="Times New Roman"/>
          <w:bCs/>
          <w:color w:val="auto"/>
          <w:sz w:val="28"/>
          <w:szCs w:val="28"/>
        </w:rPr>
        <w:t>级，土、石类别为普通土。</w:t>
      </w:r>
    </w:p>
    <w:p w14:paraId="6D3954B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4</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尾泥（Q</w:t>
      </w:r>
      <w:r>
        <w:rPr>
          <w:rFonts w:hint="default" w:ascii="Times New Roman" w:hAnsi="Times New Roman" w:eastAsia="宋体" w:cs="Times New Roman"/>
          <w:bCs/>
          <w:color w:val="auto"/>
          <w:sz w:val="28"/>
          <w:szCs w:val="28"/>
          <w:vertAlign w:val="subscript"/>
        </w:rPr>
        <w:t>4</w:t>
      </w:r>
      <w:r>
        <w:rPr>
          <w:rFonts w:hint="default" w:ascii="Times New Roman" w:hAnsi="Times New Roman" w:eastAsia="宋体" w:cs="Times New Roman"/>
          <w:bCs/>
          <w:color w:val="auto"/>
          <w:sz w:val="28"/>
          <w:szCs w:val="28"/>
          <w:vertAlign w:val="superscript"/>
        </w:rPr>
        <w:t>ml</w:t>
      </w:r>
      <w:r>
        <w:rPr>
          <w:rFonts w:hint="default" w:ascii="Times New Roman" w:hAnsi="Times New Roman" w:eastAsia="宋体" w:cs="Times New Roman"/>
          <w:bCs/>
          <w:color w:val="auto"/>
          <w:sz w:val="28"/>
          <w:szCs w:val="28"/>
        </w:rPr>
        <w:t>）：灰色，湿，流塑～软塑状，成份主要由粘粒及粉粒组成，内含少量薄层状细砂及粉砂，见近水平层理，为新近堆填的冲填土。主要分布于主要分布于库区后段上部，揭露层厚1.70m～8.60m，平均厚6.64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66.03m～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73.76m。土、石等级为</w:t>
      </w:r>
      <w:r>
        <w:rPr>
          <w:rFonts w:hint="eastAsia" w:ascii="宋体" w:hAnsi="宋体" w:eastAsia="宋体" w:cs="宋体"/>
          <w:bCs/>
          <w:color w:val="auto"/>
          <w:sz w:val="28"/>
          <w:szCs w:val="28"/>
        </w:rPr>
        <w:t>Ⅱ</w:t>
      </w:r>
      <w:r>
        <w:rPr>
          <w:rFonts w:hint="default" w:ascii="Times New Roman" w:hAnsi="Times New Roman" w:eastAsia="宋体" w:cs="Times New Roman"/>
          <w:bCs/>
          <w:color w:val="auto"/>
          <w:sz w:val="28"/>
          <w:szCs w:val="28"/>
        </w:rPr>
        <w:t>级，土、石类别为普通土。</w:t>
      </w:r>
    </w:p>
    <w:p w14:paraId="22BD02E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5</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砾质粘性土（Q</w:t>
      </w:r>
      <w:r>
        <w:rPr>
          <w:rFonts w:hint="default" w:ascii="Times New Roman" w:hAnsi="Times New Roman" w:eastAsia="宋体" w:cs="Times New Roman"/>
          <w:bCs/>
          <w:color w:val="auto"/>
          <w:sz w:val="28"/>
          <w:szCs w:val="28"/>
          <w:vertAlign w:val="superscript"/>
        </w:rPr>
        <w:t>el</w:t>
      </w:r>
      <w:r>
        <w:rPr>
          <w:rFonts w:hint="default" w:ascii="Times New Roman" w:hAnsi="Times New Roman" w:eastAsia="宋体" w:cs="Times New Roman"/>
          <w:bCs/>
          <w:color w:val="auto"/>
          <w:sz w:val="28"/>
          <w:szCs w:val="28"/>
        </w:rPr>
        <w:t>）：褐红色，硬塑，主要成份为粘粉粒及砂砾的砂砾石，干强度低，韧性一般，粘性差，为砂砾岩风化残积。为坝基土及库基土，揭露层厚2.70m～10.70m，平均厚4.64m，层底标高约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45.42m～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70.81m。土、石等级为</w:t>
      </w:r>
      <w:r>
        <w:rPr>
          <w:rFonts w:hint="eastAsia" w:ascii="宋体" w:hAnsi="宋体" w:eastAsia="宋体" w:cs="宋体"/>
          <w:bCs/>
          <w:color w:val="auto"/>
          <w:sz w:val="28"/>
          <w:szCs w:val="28"/>
        </w:rPr>
        <w:t>Ⅱ</w:t>
      </w:r>
      <w:r>
        <w:rPr>
          <w:rFonts w:hint="default" w:ascii="Times New Roman" w:hAnsi="Times New Roman" w:eastAsia="宋体" w:cs="Times New Roman"/>
          <w:bCs/>
          <w:color w:val="auto"/>
          <w:sz w:val="28"/>
          <w:szCs w:val="28"/>
        </w:rPr>
        <w:t>级，土、石类别为普通土。</w:t>
      </w:r>
    </w:p>
    <w:p w14:paraId="51B92E6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6</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rPr>
        <w:t>强风化砂砾岩（K</w:t>
      </w:r>
      <w:r>
        <w:rPr>
          <w:rFonts w:hint="default" w:ascii="Times New Roman" w:hAnsi="Times New Roman" w:eastAsia="宋体" w:cs="Times New Roman"/>
          <w:bCs/>
          <w:color w:val="auto"/>
          <w:sz w:val="28"/>
          <w:szCs w:val="28"/>
          <w:vertAlign w:val="subscript"/>
        </w:rPr>
        <w:t>2</w:t>
      </w:r>
      <w:r>
        <w:rPr>
          <w:rFonts w:hint="default" w:ascii="Times New Roman" w:hAnsi="Times New Roman" w:eastAsia="宋体" w:cs="Times New Roman"/>
          <w:bCs/>
          <w:color w:val="auto"/>
          <w:sz w:val="28"/>
          <w:szCs w:val="28"/>
        </w:rPr>
        <w:t>n）：褐红色，岩石风化强烈，岩芯呈半岩半土状，含少量碎块，岩质极软，遇水易软化崩解，岩石质量等级为</w:t>
      </w:r>
      <w:r>
        <w:rPr>
          <w:rFonts w:hint="eastAsia" w:ascii="宋体" w:hAnsi="宋体" w:eastAsia="宋体" w:cs="宋体"/>
          <w:bCs/>
          <w:color w:val="auto"/>
          <w:sz w:val="28"/>
          <w:szCs w:val="28"/>
        </w:rPr>
        <w:t>Ⅴ</w:t>
      </w:r>
      <w:r>
        <w:rPr>
          <w:rFonts w:hint="default" w:ascii="Times New Roman" w:hAnsi="Times New Roman" w:eastAsia="宋体" w:cs="Times New Roman"/>
          <w:bCs/>
          <w:color w:val="auto"/>
          <w:sz w:val="28"/>
          <w:szCs w:val="28"/>
        </w:rPr>
        <w:t>级。为坝基土及库基土下卧层，钻孔未揭穿该层，揭露层厚2.10m～12.60m，平均厚5.40m，层底标高约</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40.56m～</w:t>
      </w:r>
      <w:r>
        <w:rPr>
          <w:rFonts w:hint="eastAsia" w:ascii="Times New Roman" w:hAnsi="Times New Roman" w:eastAsia="宋体" w:cs="Times New Roman"/>
          <w:bCs/>
          <w:color w:val="auto"/>
          <w:sz w:val="28"/>
          <w:szCs w:val="28"/>
          <w:lang w:val="en-US" w:eastAsia="zh-CN"/>
        </w:rPr>
        <w:t>+</w:t>
      </w:r>
      <w:r>
        <w:rPr>
          <w:rFonts w:hint="default" w:ascii="Times New Roman" w:hAnsi="Times New Roman" w:eastAsia="宋体" w:cs="Times New Roman"/>
          <w:bCs/>
          <w:color w:val="auto"/>
          <w:sz w:val="28"/>
          <w:szCs w:val="28"/>
        </w:rPr>
        <w:t>63.96m。土、石等级为</w:t>
      </w:r>
      <w:r>
        <w:rPr>
          <w:rFonts w:hint="eastAsia" w:ascii="宋体" w:hAnsi="宋体" w:eastAsia="宋体" w:cs="宋体"/>
          <w:bCs/>
          <w:color w:val="auto"/>
          <w:sz w:val="28"/>
          <w:szCs w:val="28"/>
        </w:rPr>
        <w:t>Ⅲ</w:t>
      </w:r>
      <w:r>
        <w:rPr>
          <w:rFonts w:hint="default" w:ascii="Times New Roman" w:hAnsi="Times New Roman" w:eastAsia="宋体" w:cs="Times New Roman"/>
          <w:bCs/>
          <w:color w:val="auto"/>
          <w:sz w:val="28"/>
          <w:szCs w:val="28"/>
        </w:rPr>
        <w:t>级，土、石类别为硬土。</w:t>
      </w:r>
    </w:p>
    <w:p w14:paraId="7FE94211">
      <w:pPr>
        <w:pStyle w:val="4"/>
        <w:bidi w:val="0"/>
        <w:rPr>
          <w:rFonts w:hint="eastAsia"/>
          <w:color w:val="auto"/>
          <w:lang w:val="en-US" w:eastAsia="zh-CN"/>
        </w:rPr>
      </w:pPr>
      <w:bookmarkStart w:id="111" w:name="_Toc11384"/>
      <w:bookmarkStart w:id="112" w:name="_Toc7002"/>
      <w:r>
        <w:rPr>
          <w:rFonts w:hint="eastAsia"/>
          <w:color w:val="auto"/>
          <w:lang w:val="en-US" w:eastAsia="zh-CN"/>
        </w:rPr>
        <w:t>2.4.3 水文地质条件</w:t>
      </w:r>
      <w:bookmarkEnd w:id="111"/>
      <w:bookmarkEnd w:id="112"/>
    </w:p>
    <w:p w14:paraId="20BC9466">
      <w:pPr>
        <w:rPr>
          <w:rFonts w:hint="eastAsia"/>
          <w:color w:val="auto"/>
          <w:lang w:val="en-US" w:eastAsia="zh-CN"/>
        </w:rPr>
      </w:pPr>
      <w:r>
        <w:rPr>
          <w:rFonts w:hint="eastAsia"/>
          <w:color w:val="auto"/>
          <w:lang w:val="en-US" w:eastAsia="zh-CN"/>
        </w:rPr>
        <w:t>库区基底地下水类型可分为第四系孔隙水、基岩裂隙水两类，其特征简述如下：</w:t>
      </w:r>
    </w:p>
    <w:p w14:paraId="1ADB40DD">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w:t>
      </w:r>
      <w:r>
        <w:rPr>
          <w:rFonts w:hint="eastAsia" w:cs="Times New Roman"/>
          <w:color w:val="auto"/>
          <w:sz w:val="28"/>
          <w:szCs w:val="28"/>
          <w:lang w:val="en-US" w:eastAsia="zh-CN"/>
        </w:rPr>
        <w:t xml:space="preserve">. </w:t>
      </w:r>
      <w:r>
        <w:rPr>
          <w:rFonts w:hint="default" w:ascii="Times New Roman" w:hAnsi="Times New Roman" w:eastAsia="宋体" w:cs="Times New Roman"/>
          <w:color w:val="auto"/>
          <w:sz w:val="28"/>
          <w:szCs w:val="28"/>
        </w:rPr>
        <w:t>第四系孔隙含水岩组</w:t>
      </w:r>
    </w:p>
    <w:p w14:paraId="1FFCFCBB">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岩性有残积砾质粘性土组成，分布于沟谷表层，富水性或渗透性弱，地下水主要来源于大气降水的入渗补给，其次为基岩裂隙水的侧向补给，地下水沿沟谷向下游区排泄。该孔隙水特点是：水位随沟谷坡降变化大；雨季水位随溪流上涨，第四系呈饱水状态；枯季溪水断流，地下水位下降或出现干涸现象。</w:t>
      </w:r>
    </w:p>
    <w:p w14:paraId="1A26A697">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w:t>
      </w:r>
      <w:r>
        <w:rPr>
          <w:rFonts w:hint="eastAsia" w:cs="Times New Roman"/>
          <w:color w:val="auto"/>
          <w:sz w:val="28"/>
          <w:szCs w:val="28"/>
          <w:lang w:val="en-US" w:eastAsia="zh-CN"/>
        </w:rPr>
        <w:t xml:space="preserve">. </w:t>
      </w:r>
      <w:r>
        <w:rPr>
          <w:rFonts w:hint="default" w:ascii="Times New Roman" w:hAnsi="Times New Roman" w:eastAsia="宋体" w:cs="Times New Roman"/>
          <w:color w:val="auto"/>
          <w:sz w:val="28"/>
          <w:szCs w:val="28"/>
        </w:rPr>
        <w:t>基岩裂隙含水岩组</w:t>
      </w:r>
    </w:p>
    <w:p w14:paraId="0BF30503">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区基岩裂隙水水文地质条件较为简单。岩性主要有白垩系中统南雄组砂砾岩组成，分布于整个库区，隐伏于第四系之下，出露于两侧山体，地下水主要赋存于岩石的风化裂隙、构造裂隙之中。其中：强风化岩含弱裂隙水，局部岩石坚硬、裂隙发育处富水性或渗透性稍强。该区基岩地下水主要来源于大气降水入渗和区域地下水的侧向补给，水位受地形影响变化大，地下水径流条件较滞缓，地下水主要向下游第四系或冲沟下切部位渗溢。</w:t>
      </w:r>
    </w:p>
    <w:p w14:paraId="4841E863">
      <w:pPr>
        <w:pStyle w:val="4"/>
        <w:bidi w:val="0"/>
        <w:rPr>
          <w:rFonts w:hint="eastAsia"/>
          <w:color w:val="auto"/>
          <w:lang w:val="en-US" w:eastAsia="zh-CN"/>
        </w:rPr>
      </w:pPr>
      <w:bookmarkStart w:id="113" w:name="_Toc29640"/>
      <w:bookmarkStart w:id="114" w:name="_Toc4119"/>
      <w:r>
        <w:rPr>
          <w:rFonts w:hint="eastAsia"/>
          <w:color w:val="auto"/>
          <w:lang w:val="en-US" w:eastAsia="zh-CN"/>
        </w:rPr>
        <w:t>2.4.4 尾矿库不良地质现象</w:t>
      </w:r>
      <w:bookmarkEnd w:id="113"/>
      <w:bookmarkEnd w:id="114"/>
    </w:p>
    <w:p w14:paraId="6B6034B6">
      <w:pPr>
        <w:rPr>
          <w:rFonts w:hint="default"/>
          <w:color w:val="auto"/>
          <w:lang w:val="en-US" w:eastAsia="zh-CN"/>
        </w:rPr>
      </w:pPr>
      <w:r>
        <w:rPr>
          <w:rFonts w:hint="default"/>
          <w:color w:val="auto"/>
          <w:lang w:val="en-US" w:eastAsia="zh-CN"/>
        </w:rPr>
        <w:t>库区原始地貌为丘陵地貌，地势起伏较大。场地内未发现全新世以来的活动性断裂，勘察深度范围内未发现崩塌、滑坡、泥石流等对工程不利的不良地质现象。</w:t>
      </w:r>
    </w:p>
    <w:p w14:paraId="04D94EF7">
      <w:pPr>
        <w:pStyle w:val="3"/>
        <w:bidi w:val="0"/>
        <w:rPr>
          <w:rFonts w:hint="default"/>
          <w:color w:val="auto"/>
          <w:lang w:val="en-US" w:eastAsia="zh-CN"/>
        </w:rPr>
      </w:pPr>
      <w:bookmarkStart w:id="115" w:name="_Toc31907"/>
      <w:bookmarkStart w:id="116" w:name="_Toc19291"/>
      <w:bookmarkStart w:id="117" w:name="_Toc594"/>
      <w:bookmarkStart w:id="118" w:name="_Toc8108"/>
      <w:r>
        <w:rPr>
          <w:rFonts w:hint="default"/>
          <w:color w:val="auto"/>
          <w:lang w:val="en-US" w:eastAsia="zh-CN"/>
        </w:rPr>
        <w:t>2.5</w:t>
      </w:r>
      <w:r>
        <w:rPr>
          <w:rFonts w:hint="eastAsia"/>
          <w:color w:val="auto"/>
          <w:lang w:val="en-US" w:eastAsia="zh-CN"/>
        </w:rPr>
        <w:t xml:space="preserve"> </w:t>
      </w:r>
      <w:r>
        <w:rPr>
          <w:rFonts w:hint="default"/>
          <w:color w:val="auto"/>
          <w:lang w:val="en-US" w:eastAsia="zh-CN"/>
        </w:rPr>
        <w:t>尾矿库等别</w:t>
      </w:r>
      <w:bookmarkEnd w:id="115"/>
      <w:bookmarkEnd w:id="116"/>
      <w:bookmarkEnd w:id="117"/>
      <w:bookmarkEnd w:id="118"/>
    </w:p>
    <w:p w14:paraId="4376AC2A">
      <w:pPr>
        <w:bidi w:val="0"/>
        <w:rPr>
          <w:rFonts w:hint="default"/>
          <w:color w:val="auto"/>
          <w:lang w:val="en-US" w:eastAsia="zh-CN"/>
        </w:rPr>
      </w:pPr>
      <w:r>
        <w:rPr>
          <w:rFonts w:hint="default"/>
          <w:color w:val="auto"/>
          <w:lang w:val="en-US" w:eastAsia="zh-CN"/>
        </w:rPr>
        <w:t>江西省宜丰万国矿业有限公司宜丰新庄铜铅锌矿尾矿库最终尾矿坝顶高程为</w:t>
      </w:r>
      <w:r>
        <w:rPr>
          <w:rFonts w:hint="eastAsia"/>
          <w:color w:val="auto"/>
          <w:lang w:val="en-US" w:eastAsia="zh-CN"/>
        </w:rPr>
        <w:t>+</w:t>
      </w:r>
      <w:r>
        <w:rPr>
          <w:rFonts w:hint="default"/>
          <w:color w:val="auto"/>
          <w:lang w:val="en-US" w:eastAsia="zh-CN"/>
        </w:rPr>
        <w:t>89.0m，总库容为154.68×10</w:t>
      </w:r>
      <w:r>
        <w:rPr>
          <w:rFonts w:hint="default"/>
          <w:color w:val="auto"/>
          <w:vertAlign w:val="superscript"/>
          <w:lang w:val="en-US" w:eastAsia="zh-CN"/>
        </w:rPr>
        <w:t>4</w:t>
      </w:r>
      <w:r>
        <w:rPr>
          <w:rFonts w:hint="default"/>
          <w:color w:val="auto"/>
          <w:lang w:val="en-US" w:eastAsia="zh-CN"/>
        </w:rPr>
        <w:t>m</w:t>
      </w:r>
      <w:r>
        <w:rPr>
          <w:rFonts w:hint="eastAsia"/>
          <w:color w:val="auto"/>
          <w:vertAlign w:val="superscript"/>
          <w:lang w:val="en-US" w:eastAsia="zh-CN"/>
        </w:rPr>
        <w:t>3</w:t>
      </w:r>
      <w:r>
        <w:rPr>
          <w:rFonts w:hint="default"/>
          <w:color w:val="auto"/>
          <w:lang w:val="en-US" w:eastAsia="zh-CN"/>
        </w:rPr>
        <w:t>，设计总坝高32.9m，为四等库，防洪标准按100年一遇设防，主要构筑物为4级，次要构筑物为4级。</w:t>
      </w:r>
    </w:p>
    <w:p w14:paraId="17C76362">
      <w:pPr>
        <w:pStyle w:val="3"/>
        <w:bidi w:val="0"/>
        <w:rPr>
          <w:rFonts w:hint="default"/>
          <w:color w:val="auto"/>
          <w:lang w:val="en-US" w:eastAsia="zh-CN"/>
        </w:rPr>
      </w:pPr>
      <w:bookmarkStart w:id="119" w:name="_Toc8826"/>
      <w:bookmarkStart w:id="120" w:name="_Toc21587"/>
      <w:bookmarkStart w:id="121" w:name="_Toc12202"/>
      <w:bookmarkStart w:id="122" w:name="_Toc26587"/>
      <w:r>
        <w:rPr>
          <w:rFonts w:hint="default"/>
          <w:color w:val="auto"/>
          <w:lang w:val="en-US" w:eastAsia="zh-CN"/>
        </w:rPr>
        <w:t>2.6</w:t>
      </w:r>
      <w:r>
        <w:rPr>
          <w:rFonts w:hint="eastAsia"/>
          <w:color w:val="auto"/>
          <w:lang w:val="en-US" w:eastAsia="zh-CN"/>
        </w:rPr>
        <w:t xml:space="preserve"> </w:t>
      </w:r>
      <w:r>
        <w:rPr>
          <w:rFonts w:hint="default"/>
          <w:color w:val="auto"/>
          <w:lang w:val="en-US" w:eastAsia="zh-CN"/>
        </w:rPr>
        <w:t>尾矿库安全设施</w:t>
      </w:r>
      <w:bookmarkEnd w:id="119"/>
      <w:bookmarkEnd w:id="120"/>
      <w:bookmarkEnd w:id="121"/>
      <w:bookmarkEnd w:id="122"/>
    </w:p>
    <w:p w14:paraId="1EA9D1B9">
      <w:pPr>
        <w:pStyle w:val="4"/>
        <w:bidi w:val="0"/>
        <w:rPr>
          <w:rFonts w:hint="default"/>
          <w:color w:val="auto"/>
          <w:lang w:val="en-US" w:eastAsia="zh-CN"/>
        </w:rPr>
      </w:pPr>
      <w:bookmarkStart w:id="123" w:name="_Toc8916"/>
      <w:bookmarkStart w:id="124" w:name="_Toc13874"/>
      <w:bookmarkStart w:id="125" w:name="_Toc25027"/>
      <w:bookmarkStart w:id="126" w:name="_Toc11759"/>
      <w:r>
        <w:rPr>
          <w:rFonts w:hint="default"/>
          <w:color w:val="auto"/>
          <w:lang w:val="en-US" w:eastAsia="zh-CN"/>
        </w:rPr>
        <w:t>2.6.1</w:t>
      </w:r>
      <w:r>
        <w:rPr>
          <w:rFonts w:hint="eastAsia"/>
          <w:color w:val="auto"/>
          <w:lang w:val="en-US" w:eastAsia="zh-CN"/>
        </w:rPr>
        <w:t xml:space="preserve"> </w:t>
      </w:r>
      <w:r>
        <w:rPr>
          <w:rFonts w:hint="default"/>
          <w:color w:val="auto"/>
          <w:lang w:val="en-US" w:eastAsia="zh-CN"/>
        </w:rPr>
        <w:t>尾矿坝</w:t>
      </w:r>
      <w:bookmarkEnd w:id="123"/>
      <w:bookmarkEnd w:id="124"/>
      <w:bookmarkEnd w:id="125"/>
      <w:bookmarkEnd w:id="126"/>
    </w:p>
    <w:p w14:paraId="6A2300D6">
      <w:pP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一、</w:t>
      </w:r>
      <w:r>
        <w:rPr>
          <w:rFonts w:hint="eastAsia" w:cs="Times New Roman"/>
          <w:b w:val="0"/>
          <w:bCs w:val="0"/>
          <w:color w:val="auto"/>
          <w:lang w:val="en-US" w:eastAsia="zh-CN"/>
        </w:rPr>
        <w:t>初期坝</w:t>
      </w:r>
    </w:p>
    <w:p w14:paraId="29CE5DD6">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设计情况</w:t>
      </w:r>
    </w:p>
    <w:p w14:paraId="1A77DA8E">
      <w:pPr>
        <w:bidi w:val="0"/>
        <w:rPr>
          <w:rFonts w:hint="eastAsia"/>
          <w:color w:val="auto"/>
          <w:lang w:val="en-US" w:eastAsia="zh-CN"/>
        </w:rPr>
      </w:pPr>
      <w:r>
        <w:rPr>
          <w:rFonts w:hint="eastAsia"/>
          <w:color w:val="auto"/>
          <w:lang w:val="en-US" w:eastAsia="zh-CN"/>
        </w:rPr>
        <w:t>尾矿库初期坝为碾压土石坝，坝顶标高+71.6m，坝轴线长102.8m，坝高15.5m，坝顶宽3.5m，坝体上、下游边坡均为1</w:t>
      </w:r>
      <w:r>
        <w:rPr>
          <w:rFonts w:hint="eastAsia" w:ascii="宋体" w:hAnsi="宋体"/>
          <w:color w:val="auto"/>
          <w:szCs w:val="28"/>
        </w:rPr>
        <w:t>∶</w:t>
      </w:r>
      <w:r>
        <w:rPr>
          <w:rFonts w:hint="eastAsia"/>
          <w:color w:val="auto"/>
          <w:lang w:val="en-US" w:eastAsia="zh-CN"/>
        </w:rPr>
        <w:t>2.5。坝脚处设置了块石排水棱体，棱体顶标高+56.1m，高2.0m，棱体上游坡比1</w:t>
      </w:r>
      <w:r>
        <w:rPr>
          <w:rFonts w:hint="eastAsia" w:ascii="宋体" w:hAnsi="宋体"/>
          <w:color w:val="auto"/>
          <w:szCs w:val="28"/>
        </w:rPr>
        <w:t>∶</w:t>
      </w:r>
      <w:r>
        <w:rPr>
          <w:rFonts w:hint="eastAsia"/>
          <w:color w:val="auto"/>
          <w:lang w:val="en-US" w:eastAsia="zh-CN"/>
        </w:rPr>
        <w:t>1.0，下游坡比1</w:t>
      </w:r>
      <w:r>
        <w:rPr>
          <w:rFonts w:hint="eastAsia" w:ascii="宋体" w:hAnsi="宋体"/>
          <w:color w:val="auto"/>
          <w:szCs w:val="28"/>
        </w:rPr>
        <w:t>∶</w:t>
      </w:r>
      <w:r>
        <w:rPr>
          <w:rFonts w:hint="eastAsia"/>
          <w:color w:val="auto"/>
          <w:lang w:val="en-US" w:eastAsia="zh-CN"/>
        </w:rPr>
        <w:t>1.75。在初期坝下游采用废石压坡，压坡体顶标高+59.1m，顶宽10.0m，下游坡比1</w:t>
      </w:r>
      <w:r>
        <w:rPr>
          <w:rFonts w:hint="eastAsia" w:ascii="宋体" w:hAnsi="宋体"/>
          <w:color w:val="auto"/>
          <w:szCs w:val="28"/>
        </w:rPr>
        <w:t>∶</w:t>
      </w:r>
      <w:r>
        <w:rPr>
          <w:rFonts w:hint="eastAsia"/>
          <w:color w:val="auto"/>
          <w:lang w:val="en-US" w:eastAsia="zh-CN"/>
        </w:rPr>
        <w:t>2.5。</w:t>
      </w:r>
    </w:p>
    <w:p w14:paraId="42DA9143">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现场检查情况</w:t>
      </w:r>
    </w:p>
    <w:p w14:paraId="5D39DF4A">
      <w:pPr>
        <w:rPr>
          <w:rFonts w:hint="default"/>
          <w:color w:val="auto"/>
          <w:lang w:val="en-US" w:eastAsia="zh-CN"/>
        </w:rPr>
      </w:pPr>
      <w:r>
        <w:rPr>
          <w:rFonts w:hint="eastAsia"/>
          <w:color w:val="auto"/>
          <w:lang w:val="en-US" w:eastAsia="zh-CN"/>
        </w:rPr>
        <w:t>现场检查和查阅图纸，</w:t>
      </w:r>
      <w:r>
        <w:rPr>
          <w:rFonts w:hint="default"/>
          <w:color w:val="auto"/>
          <w:lang w:val="en-US" w:eastAsia="zh-CN"/>
        </w:rPr>
        <w:t>初期坝为碾压土石坝，坝顶标高</w:t>
      </w:r>
      <w:r>
        <w:rPr>
          <w:rFonts w:hint="eastAsia"/>
          <w:color w:val="auto"/>
          <w:lang w:val="en-US" w:eastAsia="zh-CN"/>
        </w:rPr>
        <w:t>+71.6m</w:t>
      </w:r>
      <w:r>
        <w:rPr>
          <w:rFonts w:hint="default"/>
          <w:color w:val="auto"/>
          <w:lang w:val="en-US" w:eastAsia="zh-CN"/>
        </w:rPr>
        <w:t>，坝高15.5m，坝顶宽3.5m，坝轴线长102.8m，坝体上游坡比为1</w:t>
      </w:r>
      <w:r>
        <w:rPr>
          <w:rFonts w:hint="eastAsia" w:ascii="宋体" w:hAnsi="宋体"/>
          <w:color w:val="auto"/>
          <w:szCs w:val="28"/>
        </w:rPr>
        <w:t>∶</w:t>
      </w:r>
      <w:r>
        <w:rPr>
          <w:rFonts w:hint="default"/>
          <w:color w:val="auto"/>
          <w:lang w:val="en-US" w:eastAsia="zh-CN"/>
        </w:rPr>
        <w:t>2.5</w:t>
      </w:r>
      <w:r>
        <w:rPr>
          <w:rFonts w:hint="eastAsia"/>
          <w:color w:val="auto"/>
          <w:lang w:val="en-US" w:eastAsia="zh-CN"/>
        </w:rPr>
        <w:t>，</w:t>
      </w:r>
      <w:r>
        <w:rPr>
          <w:rFonts w:hint="default"/>
          <w:color w:val="auto"/>
          <w:lang w:val="en-US" w:eastAsia="zh-CN"/>
        </w:rPr>
        <w:t>下游坡比为1</w:t>
      </w:r>
      <w:r>
        <w:rPr>
          <w:rFonts w:hint="eastAsia" w:ascii="宋体" w:hAnsi="宋体"/>
          <w:color w:val="auto"/>
          <w:szCs w:val="28"/>
        </w:rPr>
        <w:t>∶</w:t>
      </w:r>
      <w:r>
        <w:rPr>
          <w:rFonts w:hint="eastAsia"/>
          <w:color w:val="auto"/>
          <w:lang w:val="en-US" w:eastAsia="zh-CN"/>
        </w:rPr>
        <w:t>3</w:t>
      </w:r>
      <w:r>
        <w:rPr>
          <w:rFonts w:hint="default"/>
          <w:color w:val="auto"/>
          <w:lang w:val="en-US" w:eastAsia="zh-CN"/>
        </w:rPr>
        <w:t>；坝脚处设置了块石排水棱体，棱体顶标高</w:t>
      </w:r>
      <w:r>
        <w:rPr>
          <w:rFonts w:hint="eastAsia"/>
          <w:color w:val="auto"/>
          <w:lang w:val="en-US" w:eastAsia="zh-CN"/>
        </w:rPr>
        <w:t>+</w:t>
      </w:r>
      <w:r>
        <w:rPr>
          <w:rFonts w:hint="default"/>
          <w:color w:val="auto"/>
          <w:lang w:val="en-US" w:eastAsia="zh-CN"/>
        </w:rPr>
        <w:t>5</w:t>
      </w:r>
      <w:r>
        <w:rPr>
          <w:rFonts w:hint="eastAsia"/>
          <w:color w:val="auto"/>
          <w:lang w:val="en-US" w:eastAsia="zh-CN"/>
        </w:rPr>
        <w:t>6</w:t>
      </w:r>
      <w:r>
        <w:rPr>
          <w:rFonts w:hint="default"/>
          <w:color w:val="auto"/>
          <w:lang w:val="en-US" w:eastAsia="zh-CN"/>
        </w:rPr>
        <w:t>.1m，高</w:t>
      </w:r>
      <w:r>
        <w:rPr>
          <w:rFonts w:hint="eastAsia"/>
          <w:color w:val="auto"/>
          <w:lang w:val="en-US" w:eastAsia="zh-CN"/>
        </w:rPr>
        <w:t>2</w:t>
      </w:r>
      <w:r>
        <w:rPr>
          <w:rFonts w:hint="default"/>
          <w:color w:val="auto"/>
          <w:lang w:val="en-US" w:eastAsia="zh-CN"/>
        </w:rPr>
        <w:t>.0m，棱体上游坡比1∶1.0，下游坡比1∶1.75。初期坝下游</w:t>
      </w:r>
      <w:r>
        <w:rPr>
          <w:rFonts w:hint="eastAsia"/>
          <w:color w:val="auto"/>
          <w:lang w:val="en-US" w:eastAsia="zh-CN"/>
        </w:rPr>
        <w:t>已</w:t>
      </w:r>
      <w:r>
        <w:rPr>
          <w:rFonts w:hint="default"/>
          <w:color w:val="auto"/>
          <w:lang w:val="en-US" w:eastAsia="zh-CN"/>
        </w:rPr>
        <w:t>采用废石压坡，压坡体顶标高+59.1m，顶宽10.0m，下游坡比1∶</w:t>
      </w:r>
      <w:r>
        <w:rPr>
          <w:rFonts w:hint="eastAsia"/>
          <w:color w:val="auto"/>
          <w:lang w:val="en-US" w:eastAsia="zh-CN"/>
        </w:rPr>
        <w:t>3</w:t>
      </w:r>
      <w:r>
        <w:rPr>
          <w:rFonts w:hint="default"/>
          <w:color w:val="auto"/>
          <w:lang w:val="en-US" w:eastAsia="zh-CN"/>
        </w:rPr>
        <w:t>。</w:t>
      </w:r>
    </w:p>
    <w:p w14:paraId="34A3B711">
      <w:pPr>
        <w:rPr>
          <w:rFonts w:hint="default"/>
          <w:color w:val="auto"/>
          <w:lang w:val="en-US" w:eastAsia="zh-CN"/>
        </w:rPr>
      </w:pPr>
      <w:r>
        <w:rPr>
          <w:rFonts w:hint="default"/>
          <w:color w:val="auto"/>
          <w:lang w:val="en-US" w:eastAsia="zh-CN"/>
        </w:rPr>
        <w:t>经现场检查，初期坝坝体无裂缝、沉陷、渗漏等现象。</w:t>
      </w:r>
    </w:p>
    <w:p w14:paraId="55537021">
      <w:pP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二、副坝</w:t>
      </w:r>
    </w:p>
    <w:p w14:paraId="195BE36A">
      <w:pPr>
        <w:numPr>
          <w:ilvl w:val="0"/>
          <w:numId w:val="3"/>
        </w:numPr>
        <w:rPr>
          <w:rFonts w:hint="default"/>
          <w:color w:val="auto"/>
          <w:lang w:val="en-US" w:eastAsia="zh-CN"/>
        </w:rPr>
      </w:pPr>
      <w:r>
        <w:rPr>
          <w:rFonts w:hint="default"/>
          <w:color w:val="auto"/>
          <w:lang w:val="en-US" w:eastAsia="zh-CN"/>
        </w:rPr>
        <w:t>设计情况</w:t>
      </w:r>
    </w:p>
    <w:p w14:paraId="4086D0D1">
      <w:pPr>
        <w:rPr>
          <w:rFonts w:hint="default"/>
          <w:color w:val="auto"/>
          <w:lang w:val="en-US" w:eastAsia="zh-CN"/>
        </w:rPr>
      </w:pPr>
      <w:r>
        <w:rPr>
          <w:rFonts w:hint="default"/>
          <w:color w:val="auto"/>
          <w:lang w:val="en-US" w:eastAsia="zh-CN"/>
        </w:rPr>
        <w:t>库区东侧天然垭口设置一座副坝</w:t>
      </w:r>
      <w:r>
        <w:rPr>
          <w:rFonts w:hint="eastAsia"/>
          <w:color w:val="auto"/>
          <w:lang w:val="en-US" w:eastAsia="zh-CN"/>
        </w:rPr>
        <w:t>（</w:t>
      </w:r>
      <w:r>
        <w:rPr>
          <w:rFonts w:hint="default"/>
          <w:color w:val="auto"/>
          <w:lang w:val="en-US" w:eastAsia="zh-CN"/>
        </w:rPr>
        <w:t>1#副坝</w:t>
      </w:r>
      <w:r>
        <w:rPr>
          <w:rFonts w:hint="eastAsia"/>
          <w:color w:val="auto"/>
          <w:lang w:val="en-US" w:eastAsia="zh-CN"/>
        </w:rPr>
        <w:t>）</w:t>
      </w:r>
      <w:r>
        <w:rPr>
          <w:rFonts w:hint="default"/>
          <w:color w:val="auto"/>
          <w:lang w:val="en-US" w:eastAsia="zh-CN"/>
        </w:rPr>
        <w:t>，为碾压土石坝。坝顶标高</w:t>
      </w:r>
      <w:r>
        <w:rPr>
          <w:rFonts w:hint="eastAsia"/>
          <w:color w:val="auto"/>
          <w:lang w:val="en-US" w:eastAsia="zh-CN"/>
        </w:rPr>
        <w:t>+</w:t>
      </w:r>
      <w:r>
        <w:rPr>
          <w:rFonts w:hint="default"/>
          <w:color w:val="auto"/>
          <w:lang w:val="en-US" w:eastAsia="zh-CN"/>
        </w:rPr>
        <w:t>75.6m，坝轴线长37.5m，坝高4.4m，坝顶宽2.0m，上、下游边坡均为1∶2.5。</w:t>
      </w:r>
    </w:p>
    <w:p w14:paraId="0723CEFF">
      <w:pPr>
        <w:rPr>
          <w:rFonts w:hint="default"/>
          <w:color w:val="auto"/>
          <w:lang w:val="en-US" w:eastAsia="zh-CN"/>
        </w:rPr>
      </w:pPr>
      <w:r>
        <w:rPr>
          <w:rFonts w:hint="default"/>
          <w:color w:val="auto"/>
          <w:lang w:val="en-US" w:eastAsia="zh-CN"/>
        </w:rPr>
        <w:t>南侧库尾的天然垭口处设置</w:t>
      </w:r>
      <w:r>
        <w:rPr>
          <w:rFonts w:hint="eastAsia"/>
          <w:color w:val="auto"/>
          <w:lang w:val="en-US" w:eastAsia="zh-CN"/>
        </w:rPr>
        <w:t>有</w:t>
      </w:r>
      <w:r>
        <w:rPr>
          <w:rFonts w:hint="default"/>
          <w:color w:val="auto"/>
          <w:lang w:val="en-US" w:eastAsia="zh-CN"/>
        </w:rPr>
        <w:t>2#副坝，为混凝土坝，坝顶标高</w:t>
      </w:r>
      <w:r>
        <w:rPr>
          <w:rFonts w:hint="eastAsia"/>
          <w:color w:val="auto"/>
          <w:lang w:val="en-US" w:eastAsia="zh-CN"/>
        </w:rPr>
        <w:t>+</w:t>
      </w:r>
      <w:r>
        <w:rPr>
          <w:rFonts w:hint="default"/>
          <w:color w:val="auto"/>
          <w:lang w:val="en-US" w:eastAsia="zh-CN"/>
        </w:rPr>
        <w:t>79.4m，坝轴线长53.2m，坝高5.5m，坝顶宽1.0m，上游坡比为1∶0.5，下游坡比为1∶0.75。</w:t>
      </w:r>
    </w:p>
    <w:p w14:paraId="5F4122EB">
      <w:pPr>
        <w:numPr>
          <w:ilvl w:val="0"/>
          <w:numId w:val="3"/>
        </w:numPr>
        <w:ind w:left="0" w:leftChars="0" w:firstLine="560" w:firstLineChars="200"/>
        <w:rPr>
          <w:rFonts w:hint="default"/>
          <w:color w:val="auto"/>
          <w:lang w:val="en-US" w:eastAsia="zh-CN"/>
        </w:rPr>
      </w:pPr>
      <w:r>
        <w:rPr>
          <w:rFonts w:hint="default"/>
          <w:color w:val="auto"/>
          <w:lang w:val="en-US" w:eastAsia="zh-CN"/>
        </w:rPr>
        <w:t>现场检查情况</w:t>
      </w:r>
    </w:p>
    <w:p w14:paraId="5AEE0619">
      <w:pPr>
        <w:rPr>
          <w:rFonts w:hint="eastAsia"/>
          <w:color w:val="auto"/>
          <w:lang w:val="en-US" w:eastAsia="zh-CN"/>
        </w:rPr>
      </w:pPr>
      <w:r>
        <w:rPr>
          <w:rFonts w:hint="eastAsia"/>
          <w:color w:val="auto"/>
          <w:lang w:val="en-US" w:eastAsia="zh-CN"/>
        </w:rPr>
        <w:t>现场检查和查阅图纸，库区东侧天然垭口设有1#副坝，坝型为碾压土石坝。坝顶标高+75.6m，坝轴线长37.5m，坝高4.4m，坝顶宽2.0m，上游边坡为1</w:t>
      </w:r>
      <w:r>
        <w:rPr>
          <w:rFonts w:hint="default"/>
          <w:color w:val="auto"/>
          <w:lang w:val="en-US" w:eastAsia="zh-CN"/>
        </w:rPr>
        <w:t>∶</w:t>
      </w:r>
      <w:r>
        <w:rPr>
          <w:rFonts w:hint="eastAsia"/>
          <w:color w:val="auto"/>
          <w:lang w:val="en-US" w:eastAsia="zh-CN"/>
        </w:rPr>
        <w:t>2.5，下游边坡为1</w:t>
      </w:r>
      <w:r>
        <w:rPr>
          <w:rFonts w:hint="default"/>
          <w:color w:val="auto"/>
          <w:lang w:val="en-US" w:eastAsia="zh-CN"/>
        </w:rPr>
        <w:t>∶</w:t>
      </w:r>
      <w:r>
        <w:rPr>
          <w:rFonts w:hint="eastAsia"/>
          <w:color w:val="auto"/>
          <w:lang w:val="en-US" w:eastAsia="zh-CN"/>
        </w:rPr>
        <w:t>3。</w:t>
      </w:r>
    </w:p>
    <w:p w14:paraId="245DF993">
      <w:pPr>
        <w:rPr>
          <w:rFonts w:hint="default"/>
          <w:color w:val="auto"/>
          <w:lang w:val="en-US" w:eastAsia="zh-CN"/>
        </w:rPr>
      </w:pPr>
      <w:r>
        <w:rPr>
          <w:rFonts w:hint="eastAsia"/>
          <w:color w:val="auto"/>
          <w:lang w:val="en-US" w:eastAsia="zh-CN"/>
        </w:rPr>
        <w:t>南侧库尾的天然垭口处设有2#副坝，坝型为混凝土坝，坝顶标高+79.4m，坝轴线长53.2m，坝高5.5m，坝顶宽1.0m，上游坡比为1</w:t>
      </w:r>
      <w:r>
        <w:rPr>
          <w:rFonts w:hint="default"/>
          <w:color w:val="auto"/>
          <w:lang w:val="en-US" w:eastAsia="zh-CN"/>
        </w:rPr>
        <w:t>∶</w:t>
      </w:r>
      <w:r>
        <w:rPr>
          <w:rFonts w:hint="eastAsia"/>
          <w:color w:val="auto"/>
          <w:lang w:val="en-US" w:eastAsia="zh-CN"/>
        </w:rPr>
        <w:t>0.5，下游坡比为1</w:t>
      </w:r>
      <w:r>
        <w:rPr>
          <w:rFonts w:hint="default"/>
          <w:color w:val="auto"/>
          <w:lang w:val="en-US" w:eastAsia="zh-CN"/>
        </w:rPr>
        <w:t>∶</w:t>
      </w:r>
      <w:r>
        <w:rPr>
          <w:rFonts w:hint="eastAsia"/>
          <w:color w:val="auto"/>
          <w:lang w:val="en-US" w:eastAsia="zh-CN"/>
        </w:rPr>
        <w:t>0.75。</w:t>
      </w:r>
    </w:p>
    <w:p w14:paraId="237B9263">
      <w:pPr>
        <w:rPr>
          <w:rFonts w:hint="default"/>
          <w:color w:val="auto"/>
          <w:lang w:val="en-US" w:eastAsia="zh-CN"/>
        </w:rPr>
      </w:pPr>
      <w:r>
        <w:rPr>
          <w:rFonts w:hint="default"/>
          <w:color w:val="auto"/>
          <w:lang w:val="en-US" w:eastAsia="zh-CN"/>
        </w:rPr>
        <w:t>经现场检查，</w:t>
      </w:r>
      <w:r>
        <w:rPr>
          <w:rFonts w:hint="eastAsia"/>
          <w:color w:val="auto"/>
          <w:lang w:val="en-US" w:eastAsia="zh-CN"/>
        </w:rPr>
        <w:t>两座</w:t>
      </w:r>
      <w:r>
        <w:rPr>
          <w:rFonts w:hint="default"/>
          <w:color w:val="auto"/>
          <w:lang w:val="en-US" w:eastAsia="zh-CN"/>
        </w:rPr>
        <w:t>副坝坝体</w:t>
      </w:r>
      <w:r>
        <w:rPr>
          <w:rFonts w:hint="eastAsia"/>
          <w:color w:val="auto"/>
          <w:lang w:val="en-US" w:eastAsia="zh-CN"/>
        </w:rPr>
        <w:t>均</w:t>
      </w:r>
      <w:r>
        <w:rPr>
          <w:rFonts w:hint="default"/>
          <w:color w:val="auto"/>
          <w:lang w:val="en-US" w:eastAsia="zh-CN"/>
        </w:rPr>
        <w:t>无裂缝、沉陷、渗漏等现象。</w:t>
      </w:r>
    </w:p>
    <w:p w14:paraId="392C52C5">
      <w:pP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三、堆积坝</w:t>
      </w:r>
    </w:p>
    <w:p w14:paraId="5AA9712B">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default"/>
          <w:color w:val="auto"/>
          <w:lang w:val="en-US" w:eastAsia="zh-CN"/>
        </w:rPr>
        <w:t>设计情况</w:t>
      </w:r>
    </w:p>
    <w:p w14:paraId="35E4A616">
      <w:pPr>
        <w:rPr>
          <w:rFonts w:hint="default"/>
          <w:color w:val="auto"/>
          <w:lang w:val="en-US" w:eastAsia="zh-CN"/>
        </w:rPr>
      </w:pPr>
      <w:r>
        <w:rPr>
          <w:rFonts w:hint="eastAsia"/>
          <w:color w:val="auto"/>
          <w:lang w:val="en-US" w:eastAsia="zh-CN"/>
        </w:rPr>
        <w:t>原</w:t>
      </w:r>
      <w:r>
        <w:rPr>
          <w:rFonts w:hint="default"/>
          <w:color w:val="auto"/>
          <w:lang w:val="en-US" w:eastAsia="zh-CN"/>
        </w:rPr>
        <w:t>设计</w:t>
      </w:r>
      <w:r>
        <w:rPr>
          <w:rFonts w:hint="eastAsia"/>
          <w:color w:val="auto"/>
          <w:lang w:val="en-US" w:eastAsia="zh-CN"/>
        </w:rPr>
        <w:t>：</w:t>
      </w:r>
      <w:r>
        <w:rPr>
          <w:rFonts w:hint="default"/>
          <w:color w:val="auto"/>
          <w:lang w:val="en-US" w:eastAsia="zh-CN"/>
        </w:rPr>
        <w:t>堆积坝</w:t>
      </w:r>
      <w:r>
        <w:rPr>
          <w:rFonts w:hint="default"/>
          <w:color w:val="auto"/>
          <w:lang w:val="en-US" w:eastAsia="zh-CN"/>
        </w:rPr>
        <w:t>最终堆积标高为</w:t>
      </w:r>
      <w:r>
        <w:rPr>
          <w:rFonts w:hint="eastAsia"/>
          <w:color w:val="auto"/>
          <w:lang w:val="en-US" w:eastAsia="zh-CN"/>
        </w:rPr>
        <w:t>+</w:t>
      </w:r>
      <w:r>
        <w:rPr>
          <w:rFonts w:hint="default"/>
          <w:color w:val="auto"/>
          <w:lang w:val="en-US" w:eastAsia="zh-CN"/>
        </w:rPr>
        <w:t>80.6m，堆积坝高9.0m，平均堆积坡度为1∶4。在</w:t>
      </w:r>
      <w:r>
        <w:rPr>
          <w:rFonts w:hint="eastAsia"/>
          <w:color w:val="auto"/>
          <w:lang w:val="en-US" w:eastAsia="zh-CN"/>
        </w:rPr>
        <w:t>+</w:t>
      </w:r>
      <w:r>
        <w:rPr>
          <w:rFonts w:hint="default"/>
          <w:color w:val="auto"/>
          <w:lang w:val="en-US" w:eastAsia="zh-CN"/>
        </w:rPr>
        <w:t>7</w:t>
      </w:r>
      <w:r>
        <w:rPr>
          <w:rFonts w:hint="eastAsia"/>
          <w:color w:val="auto"/>
          <w:lang w:val="en-US" w:eastAsia="zh-CN"/>
        </w:rPr>
        <w:t>4.2</w:t>
      </w:r>
      <w:r>
        <w:rPr>
          <w:rFonts w:hint="default"/>
          <w:color w:val="auto"/>
          <w:lang w:val="en-US" w:eastAsia="zh-CN"/>
        </w:rPr>
        <w:t>m</w:t>
      </w:r>
      <w:r>
        <w:rPr>
          <w:rFonts w:hint="default"/>
          <w:color w:val="auto"/>
          <w:lang w:val="en-US" w:eastAsia="zh-CN"/>
        </w:rPr>
        <w:t>标高有长约160m，宽约65m的平台。</w:t>
      </w:r>
    </w:p>
    <w:p w14:paraId="010C76AC">
      <w:pPr>
        <w:rPr>
          <w:rFonts w:hint="eastAsia"/>
          <w:color w:val="auto"/>
          <w:lang w:val="en-US" w:eastAsia="zh-CN"/>
        </w:rPr>
      </w:pPr>
      <w:r>
        <w:rPr>
          <w:rFonts w:hint="eastAsia"/>
          <w:color w:val="auto"/>
          <w:lang w:val="en-US" w:eastAsia="zh-CN"/>
        </w:rPr>
        <w:t>加高扩容暨湿改干设计：结合尾矿库周边地形，干堆作业时，整体呈由南至北的堆存方式，并逐步往初期坝前推进；然后环库一圈将堆积体堆积至+84.0m标高，再预留5.0m宽平台，往上按1</w:t>
      </w:r>
      <w:r>
        <w:rPr>
          <w:rFonts w:hint="default"/>
          <w:color w:val="auto"/>
          <w:lang w:val="en-US" w:eastAsia="zh-CN"/>
        </w:rPr>
        <w:t>∶</w:t>
      </w:r>
      <w:r>
        <w:rPr>
          <w:rFonts w:hint="eastAsia"/>
          <w:color w:val="auto"/>
          <w:lang w:val="en-US" w:eastAsia="zh-CN"/>
        </w:rPr>
        <w:t>3.0坡度堆积5.0m高，至最终堆积标高+89.0m。</w:t>
      </w:r>
    </w:p>
    <w:p w14:paraId="6D8B9F06">
      <w:pPr>
        <w:rPr>
          <w:rFonts w:hint="default"/>
          <w:color w:val="auto"/>
          <w:lang w:val="en-US" w:eastAsia="zh-CN"/>
        </w:rPr>
      </w:pPr>
      <w:r>
        <w:rPr>
          <w:rFonts w:hint="eastAsia"/>
          <w:color w:val="auto"/>
          <w:lang w:val="en-US" w:eastAsia="zh-CN"/>
        </w:rPr>
        <w:t>为确保排洪安全，连接井两侧20m至坝前区域不进行干堆。</w:t>
      </w:r>
    </w:p>
    <w:p w14:paraId="3D6AEB3A">
      <w:pPr>
        <w:numPr>
          <w:ilvl w:val="0"/>
          <w:numId w:val="0"/>
        </w:numPr>
        <w:ind w:left="0" w:leftChars="0"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2.</w:t>
      </w:r>
      <w:r>
        <w:rPr>
          <w:rFonts w:hint="eastAsia" w:cs="Times New Roman"/>
          <w:color w:val="auto"/>
          <w:kern w:val="2"/>
          <w:sz w:val="28"/>
          <w:szCs w:val="24"/>
          <w:lang w:val="en-US" w:eastAsia="zh-CN" w:bidi="ar-SA"/>
        </w:rPr>
        <w:t xml:space="preserve"> </w:t>
      </w:r>
      <w:r>
        <w:rPr>
          <w:rFonts w:hint="default"/>
          <w:color w:val="auto"/>
          <w:lang w:val="en-US" w:eastAsia="zh-CN"/>
        </w:rPr>
        <w:t>现场检查情况</w:t>
      </w:r>
    </w:p>
    <w:p w14:paraId="2CE2D503">
      <w:pPr>
        <w:rPr>
          <w:rFonts w:hint="eastAsia"/>
          <w:color w:val="auto"/>
          <w:lang w:val="en-US" w:eastAsia="zh-CN"/>
        </w:rPr>
      </w:pPr>
      <w:r>
        <w:rPr>
          <w:rFonts w:hint="default"/>
          <w:color w:val="auto"/>
          <w:lang w:val="en-US" w:eastAsia="zh-CN"/>
        </w:rPr>
        <w:t>现场检查</w:t>
      </w:r>
      <w:r>
        <w:rPr>
          <w:rFonts w:hint="eastAsia"/>
          <w:color w:val="auto"/>
          <w:lang w:val="en-US" w:eastAsia="zh-CN"/>
        </w:rPr>
        <w:t>和查阅图纸，原主坝上游采用分散均匀放矿筑坝，共形成5级子坝。受地形限制，主坝上游后期堆积坝向库内推移65m形成+74.2m平台，已在+72.6m、+74.2m、+75.7m、+79.0m堆筑了四级马道，</w:t>
      </w:r>
      <w:r>
        <w:rPr>
          <w:rFonts w:hint="eastAsia"/>
          <w:color w:val="auto"/>
          <w:lang w:val="en-US" w:eastAsia="zh-CN"/>
        </w:rPr>
        <w:t>原</w:t>
      </w:r>
      <w:r>
        <w:rPr>
          <w:rFonts w:hint="eastAsia"/>
          <w:color w:val="auto"/>
          <w:lang w:val="en-US" w:eastAsia="zh-CN"/>
        </w:rPr>
        <w:t>堆积坝坝顶高程为+80.6m，堆高为9.0m，堆积坝平均外坡比1∶4.3。</w:t>
      </w:r>
    </w:p>
    <w:p w14:paraId="21699BE1">
      <w:pPr>
        <w:rPr>
          <w:rFonts w:hint="default"/>
          <w:color w:val="auto"/>
          <w:lang w:val="en-US" w:eastAsia="zh-CN"/>
        </w:rPr>
      </w:pPr>
      <w:r>
        <w:rPr>
          <w:rFonts w:hint="default"/>
          <w:color w:val="auto"/>
          <w:lang w:val="en-US" w:eastAsia="zh-CN"/>
        </w:rPr>
        <w:t>目前</w:t>
      </w:r>
      <w:r>
        <w:rPr>
          <w:rFonts w:hint="default"/>
          <w:color w:val="auto"/>
          <w:lang w:val="en-US" w:eastAsia="zh-CN"/>
        </w:rPr>
        <w:t>主坝</w:t>
      </w:r>
      <w:r>
        <w:rPr>
          <w:rFonts w:hint="eastAsia"/>
          <w:color w:val="auto"/>
          <w:lang w:val="en-US" w:eastAsia="zh-CN"/>
        </w:rPr>
        <w:t>方向</w:t>
      </w:r>
      <w:r>
        <w:rPr>
          <w:rFonts w:hint="default"/>
          <w:color w:val="auto"/>
          <w:lang w:val="en-US" w:eastAsia="zh-CN"/>
        </w:rPr>
        <w:t>干式堆存堆积坝坝顶标高约</w:t>
      </w:r>
      <w:r>
        <w:rPr>
          <w:rFonts w:hint="eastAsia"/>
          <w:color w:val="auto"/>
          <w:lang w:val="en-US" w:eastAsia="zh-CN"/>
        </w:rPr>
        <w:t>+</w:t>
      </w:r>
      <w:r>
        <w:rPr>
          <w:rFonts w:hint="default"/>
          <w:color w:val="auto"/>
          <w:lang w:val="en-US" w:eastAsia="zh-CN"/>
        </w:rPr>
        <w:t>84.5m，堆高</w:t>
      </w:r>
      <w:r>
        <w:rPr>
          <w:rFonts w:hint="eastAsia"/>
          <w:color w:val="auto"/>
          <w:lang w:val="en-US" w:eastAsia="zh-CN"/>
        </w:rPr>
        <w:t>3</w:t>
      </w:r>
      <w:r>
        <w:rPr>
          <w:rFonts w:hint="default"/>
          <w:color w:val="auto"/>
          <w:lang w:val="en-US" w:eastAsia="zh-CN"/>
        </w:rPr>
        <w:t>.9m，坡度为1</w:t>
      </w:r>
      <w:r>
        <w:rPr>
          <w:rFonts w:hint="eastAsia"/>
          <w:color w:val="auto"/>
          <w:lang w:val="en-US" w:eastAsia="zh-CN"/>
        </w:rPr>
        <w:t>∶</w:t>
      </w:r>
      <w:r>
        <w:rPr>
          <w:rFonts w:hint="default"/>
          <w:color w:val="auto"/>
          <w:lang w:val="en-US" w:eastAsia="zh-CN"/>
        </w:rPr>
        <w:t>3.0。</w:t>
      </w:r>
      <w:r>
        <w:rPr>
          <w:rFonts w:hint="eastAsia"/>
          <w:color w:val="auto"/>
          <w:lang w:val="en-US" w:eastAsia="zh-CN"/>
        </w:rPr>
        <w:t>1</w:t>
      </w:r>
      <w:r>
        <w:rPr>
          <w:rFonts w:hint="default"/>
          <w:color w:val="auto"/>
          <w:lang w:val="en-US" w:eastAsia="zh-CN"/>
        </w:rPr>
        <w:t>#副坝</w:t>
      </w:r>
      <w:r>
        <w:rPr>
          <w:rFonts w:hint="eastAsia"/>
          <w:color w:val="auto"/>
          <w:lang w:val="en-US" w:eastAsia="zh-CN"/>
        </w:rPr>
        <w:t>方向</w:t>
      </w:r>
      <w:r>
        <w:rPr>
          <w:rFonts w:hint="default"/>
          <w:color w:val="auto"/>
          <w:lang w:val="en-US" w:eastAsia="zh-CN"/>
        </w:rPr>
        <w:t>干式堆存堆积坝坝顶标高约</w:t>
      </w:r>
      <w:r>
        <w:rPr>
          <w:rFonts w:hint="eastAsia"/>
          <w:color w:val="auto"/>
          <w:lang w:val="en-US" w:eastAsia="zh-CN"/>
        </w:rPr>
        <w:t>+</w:t>
      </w:r>
      <w:r>
        <w:rPr>
          <w:rFonts w:hint="default"/>
          <w:color w:val="auto"/>
          <w:lang w:val="en-US" w:eastAsia="zh-CN"/>
        </w:rPr>
        <w:t>8</w:t>
      </w:r>
      <w:r>
        <w:rPr>
          <w:rFonts w:hint="eastAsia"/>
          <w:color w:val="auto"/>
          <w:lang w:val="en-US" w:eastAsia="zh-CN"/>
        </w:rPr>
        <w:t>3.48</w:t>
      </w:r>
      <w:r>
        <w:rPr>
          <w:rFonts w:hint="default"/>
          <w:color w:val="auto"/>
          <w:lang w:val="en-US" w:eastAsia="zh-CN"/>
        </w:rPr>
        <w:t>m，堆高</w:t>
      </w:r>
      <w:r>
        <w:rPr>
          <w:rFonts w:hint="eastAsia"/>
          <w:color w:val="auto"/>
          <w:lang w:val="en-US" w:eastAsia="zh-CN"/>
        </w:rPr>
        <w:t>1.6</w:t>
      </w:r>
      <w:r>
        <w:rPr>
          <w:rFonts w:hint="default"/>
          <w:color w:val="auto"/>
          <w:lang w:val="en-US" w:eastAsia="zh-CN"/>
        </w:rPr>
        <w:t>m，坡度为1</w:t>
      </w:r>
      <w:r>
        <w:rPr>
          <w:rFonts w:hint="eastAsia"/>
          <w:color w:val="auto"/>
          <w:lang w:val="en-US" w:eastAsia="zh-CN"/>
        </w:rPr>
        <w:t>∶</w:t>
      </w:r>
      <w:r>
        <w:rPr>
          <w:rFonts w:hint="default"/>
          <w:color w:val="auto"/>
          <w:lang w:val="en-US" w:eastAsia="zh-CN"/>
        </w:rPr>
        <w:t>3.0。</w:t>
      </w:r>
      <w:r>
        <w:rPr>
          <w:rFonts w:hint="default"/>
          <w:color w:val="auto"/>
          <w:lang w:val="en-US" w:eastAsia="zh-CN"/>
        </w:rPr>
        <w:t>2#副坝</w:t>
      </w:r>
      <w:r>
        <w:rPr>
          <w:rFonts w:hint="eastAsia"/>
          <w:color w:val="auto"/>
          <w:lang w:val="en-US" w:eastAsia="zh-CN"/>
        </w:rPr>
        <w:t>方向</w:t>
      </w:r>
      <w:r>
        <w:rPr>
          <w:rFonts w:hint="default"/>
          <w:color w:val="auto"/>
          <w:lang w:val="en-US" w:eastAsia="zh-CN"/>
        </w:rPr>
        <w:t>干式堆存堆积坝坝顶标高约</w:t>
      </w:r>
      <w:r>
        <w:rPr>
          <w:rFonts w:hint="eastAsia"/>
          <w:color w:val="auto"/>
          <w:lang w:val="en-US" w:eastAsia="zh-CN"/>
        </w:rPr>
        <w:t>+85.5m</w:t>
      </w:r>
      <w:r>
        <w:rPr>
          <w:rFonts w:hint="default"/>
          <w:color w:val="auto"/>
          <w:lang w:val="en-US" w:eastAsia="zh-CN"/>
        </w:rPr>
        <w:t>，堆高</w:t>
      </w:r>
      <w:r>
        <w:rPr>
          <w:rFonts w:hint="eastAsia"/>
          <w:color w:val="auto"/>
          <w:lang w:val="en-US" w:eastAsia="zh-CN"/>
        </w:rPr>
        <w:t>4.9</w:t>
      </w:r>
      <w:r>
        <w:rPr>
          <w:rFonts w:hint="default"/>
          <w:color w:val="auto"/>
          <w:lang w:val="en-US" w:eastAsia="zh-CN"/>
        </w:rPr>
        <w:t>m，坡度为1</w:t>
      </w:r>
      <w:r>
        <w:rPr>
          <w:rFonts w:hint="eastAsia"/>
          <w:color w:val="auto"/>
          <w:lang w:val="en-US" w:eastAsia="zh-CN"/>
        </w:rPr>
        <w:t>∶</w:t>
      </w:r>
      <w:r>
        <w:rPr>
          <w:rFonts w:hint="default"/>
          <w:color w:val="auto"/>
          <w:lang w:val="en-US" w:eastAsia="zh-CN"/>
        </w:rPr>
        <w:t>3.0。库尾至2#副坝北侧段库尾非筑坝区已整平，覆盖30cm</w:t>
      </w:r>
      <w:r>
        <w:rPr>
          <w:rFonts w:hint="eastAsia"/>
          <w:color w:val="auto"/>
          <w:lang w:val="en-US" w:eastAsia="zh-CN"/>
        </w:rPr>
        <w:t>天然土壤</w:t>
      </w:r>
      <w:r>
        <w:rPr>
          <w:rFonts w:hint="default"/>
          <w:color w:val="auto"/>
          <w:lang w:val="en-US" w:eastAsia="zh-CN"/>
        </w:rPr>
        <w:t>后进行了植草绿化，</w:t>
      </w:r>
      <w:r>
        <w:rPr>
          <w:rFonts w:hint="default"/>
          <w:color w:val="auto"/>
          <w:lang w:val="en-US" w:eastAsia="zh-CN"/>
        </w:rPr>
        <w:t>东南侧设置</w:t>
      </w:r>
      <w:r>
        <w:rPr>
          <w:rFonts w:hint="eastAsia"/>
          <w:color w:val="auto"/>
          <w:lang w:val="en-US" w:eastAsia="zh-CN"/>
        </w:rPr>
        <w:t>有</w:t>
      </w:r>
      <w:r>
        <w:rPr>
          <w:rFonts w:hint="default"/>
          <w:color w:val="auto"/>
          <w:lang w:val="en-US" w:eastAsia="zh-CN"/>
        </w:rPr>
        <w:t>排水沟，场内雨水引至2#副坝坝肩沟</w:t>
      </w:r>
      <w:r>
        <w:rPr>
          <w:rFonts w:hint="default"/>
          <w:color w:val="auto"/>
          <w:lang w:val="en-US" w:eastAsia="zh-CN"/>
        </w:rPr>
        <w:t>。</w:t>
      </w:r>
    </w:p>
    <w:p w14:paraId="60702BFC">
      <w:pPr>
        <w:rPr>
          <w:rFonts w:hint="default"/>
          <w:color w:val="auto"/>
          <w:lang w:val="en-US" w:eastAsia="zh-CN"/>
        </w:rPr>
      </w:pPr>
      <w:r>
        <w:rPr>
          <w:rFonts w:hint="default"/>
          <w:color w:val="auto"/>
          <w:lang w:val="en-US" w:eastAsia="zh-CN"/>
        </w:rPr>
        <w:t>经现场检查，主坝段、副坝段堆积坝体</w:t>
      </w:r>
      <w:r>
        <w:rPr>
          <w:rFonts w:hint="eastAsia"/>
          <w:color w:val="auto"/>
          <w:lang w:val="en-US" w:eastAsia="zh-CN"/>
        </w:rPr>
        <w:t>均</w:t>
      </w:r>
      <w:r>
        <w:rPr>
          <w:rFonts w:hint="default"/>
          <w:color w:val="auto"/>
          <w:lang w:val="en-US" w:eastAsia="zh-CN"/>
        </w:rPr>
        <w:t>稳固，</w:t>
      </w:r>
      <w:r>
        <w:rPr>
          <w:rFonts w:hint="eastAsia"/>
          <w:color w:val="auto"/>
          <w:lang w:val="en-US" w:eastAsia="zh-CN"/>
        </w:rPr>
        <w:t>均</w:t>
      </w:r>
      <w:r>
        <w:rPr>
          <w:rFonts w:hint="default"/>
          <w:color w:val="auto"/>
          <w:lang w:val="en-US" w:eastAsia="zh-CN"/>
        </w:rPr>
        <w:t>无移位、错动、沉陷、拉裂、滑塌等不良现象。</w:t>
      </w:r>
    </w:p>
    <w:p w14:paraId="1631F0EB">
      <w:pPr>
        <w:pStyle w:val="4"/>
        <w:bidi w:val="0"/>
        <w:rPr>
          <w:rFonts w:hint="eastAsia"/>
          <w:color w:val="auto"/>
          <w:lang w:val="en-US" w:eastAsia="zh-CN"/>
        </w:rPr>
      </w:pPr>
      <w:bookmarkStart w:id="127" w:name="_Toc29416"/>
      <w:r>
        <w:rPr>
          <w:rFonts w:hint="eastAsia"/>
          <w:color w:val="auto"/>
          <w:lang w:val="en-US" w:eastAsia="zh-CN"/>
        </w:rPr>
        <w:t>2.6.2 排水系统</w:t>
      </w:r>
      <w:bookmarkEnd w:id="127"/>
    </w:p>
    <w:p w14:paraId="2BB96E6F">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default"/>
          <w:color w:val="auto"/>
          <w:lang w:val="en-US" w:eastAsia="zh-CN"/>
        </w:rPr>
        <w:t>设计情况</w:t>
      </w:r>
    </w:p>
    <w:p w14:paraId="1CEE9927">
      <w:pPr>
        <w:rPr>
          <w:rFonts w:hint="default"/>
          <w:color w:val="auto"/>
          <w:lang w:val="en-US" w:eastAsia="zh-CN"/>
        </w:rPr>
      </w:pPr>
      <w:r>
        <w:rPr>
          <w:rFonts w:hint="default"/>
          <w:color w:val="auto"/>
          <w:lang w:val="en-US" w:eastAsia="zh-CN"/>
        </w:rPr>
        <w:t>尾矿堆积坝及初期坝上设置坝面排水纵沟及坝肩排水沟的排水系统。初期坝及堆积坝纵排水沟净断面尺寸为净宽</w:t>
      </w:r>
      <w:r>
        <w:rPr>
          <w:rFonts w:hint="eastAsia" w:ascii="宋体" w:hAnsi="宋体" w:eastAsia="宋体" w:cs="宋体"/>
          <w:color w:val="auto"/>
          <w:lang w:val="en-US" w:eastAsia="zh-CN"/>
        </w:rPr>
        <w:t>×</w:t>
      </w:r>
      <w:r>
        <w:rPr>
          <w:rFonts w:hint="default"/>
          <w:color w:val="auto"/>
          <w:lang w:val="en-US" w:eastAsia="zh-CN"/>
        </w:rPr>
        <w:t>净高=0.3m</w:t>
      </w:r>
      <w:r>
        <w:rPr>
          <w:rFonts w:hint="eastAsia" w:ascii="宋体" w:hAnsi="宋体" w:eastAsia="宋体" w:cs="宋体"/>
          <w:color w:val="auto"/>
          <w:lang w:val="en-US" w:eastAsia="zh-CN"/>
        </w:rPr>
        <w:t>×</w:t>
      </w:r>
      <w:r>
        <w:rPr>
          <w:rFonts w:hint="default"/>
          <w:color w:val="auto"/>
          <w:lang w:val="en-US" w:eastAsia="zh-CN"/>
        </w:rPr>
        <w:t>0.3m，水泥砂浆砌普通红砖砌筑。左、右坝肩排水沟净断面尺寸为净宽</w:t>
      </w:r>
      <w:r>
        <w:rPr>
          <w:rFonts w:hint="eastAsia" w:ascii="宋体" w:hAnsi="宋体" w:eastAsia="宋体" w:cs="宋体"/>
          <w:color w:val="auto"/>
          <w:lang w:val="en-US" w:eastAsia="zh-CN"/>
        </w:rPr>
        <w:t>×</w:t>
      </w:r>
      <w:r>
        <w:rPr>
          <w:rFonts w:hint="default"/>
          <w:color w:val="auto"/>
          <w:lang w:val="en-US" w:eastAsia="zh-CN"/>
        </w:rPr>
        <w:t>净高=0.4m</w:t>
      </w:r>
      <w:r>
        <w:rPr>
          <w:rFonts w:hint="eastAsia" w:ascii="宋体" w:hAnsi="宋体" w:eastAsia="宋体" w:cs="宋体"/>
          <w:color w:val="auto"/>
          <w:lang w:val="en-US" w:eastAsia="zh-CN"/>
        </w:rPr>
        <w:t>×</w:t>
      </w:r>
      <w:r>
        <w:rPr>
          <w:rFonts w:hint="default"/>
          <w:color w:val="auto"/>
          <w:lang w:val="en-US" w:eastAsia="zh-CN"/>
        </w:rPr>
        <w:t>0.6m</w:t>
      </w:r>
      <w:r>
        <w:rPr>
          <w:rFonts w:hint="eastAsia"/>
          <w:color w:val="auto"/>
          <w:lang w:val="en-US" w:eastAsia="zh-CN"/>
        </w:rPr>
        <w:t>，</w:t>
      </w:r>
      <w:r>
        <w:rPr>
          <w:rFonts w:hint="default"/>
          <w:color w:val="auto"/>
          <w:lang w:val="en-US" w:eastAsia="zh-CN"/>
        </w:rPr>
        <w:t>钢筋混凝土结构。坝面雨水通过坝面排水沟汇流至坝肩排水沟，最终排至坝脚下游。</w:t>
      </w:r>
    </w:p>
    <w:p w14:paraId="442C9A8F">
      <w:pPr>
        <w:numPr>
          <w:ilvl w:val="0"/>
          <w:numId w:val="0"/>
        </w:numPr>
        <w:ind w:left="0" w:leftChars="0"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2.</w:t>
      </w:r>
      <w:r>
        <w:rPr>
          <w:rFonts w:hint="eastAsia" w:cs="Times New Roman"/>
          <w:color w:val="auto"/>
          <w:kern w:val="2"/>
          <w:sz w:val="28"/>
          <w:szCs w:val="24"/>
          <w:lang w:val="en-US" w:eastAsia="zh-CN" w:bidi="ar-SA"/>
        </w:rPr>
        <w:t xml:space="preserve"> </w:t>
      </w:r>
      <w:r>
        <w:rPr>
          <w:rFonts w:hint="default"/>
          <w:color w:val="auto"/>
          <w:lang w:val="en-US" w:eastAsia="zh-CN"/>
        </w:rPr>
        <w:t>现场检查情况</w:t>
      </w:r>
    </w:p>
    <w:p w14:paraId="40C8557A">
      <w:pPr>
        <w:rPr>
          <w:rFonts w:hint="default"/>
          <w:color w:val="auto"/>
          <w:lang w:val="en-US" w:eastAsia="zh-CN"/>
        </w:rPr>
      </w:pPr>
      <w:r>
        <w:rPr>
          <w:rFonts w:hint="default"/>
          <w:color w:val="auto"/>
          <w:lang w:val="en-US" w:eastAsia="zh-CN"/>
        </w:rPr>
        <w:t>现场检查，尾矿堆积坝及初期坝上设置了坝面排水纵沟及坝肩排水沟的排水系统。初期坝及堆积坝纵排水沟净断面尺寸为净宽×净高=0.3m×0.3m，水泥砂浆砌普通红砖砌筑。左、右坝肩排水沟净断面尺寸为净宽×净高=0.4m×0.6m，钢筋混凝土结构。坝面雨水通过坝面排水沟汇流至坝肩排水沟，最终排至坝脚下游。</w:t>
      </w:r>
    </w:p>
    <w:p w14:paraId="5DB87B69">
      <w:pPr>
        <w:pStyle w:val="4"/>
        <w:bidi w:val="0"/>
        <w:rPr>
          <w:rFonts w:hint="default"/>
          <w:color w:val="auto"/>
          <w:lang w:val="en-US" w:eastAsia="zh-CN"/>
        </w:rPr>
      </w:pPr>
      <w:bookmarkStart w:id="128" w:name="_Toc12674"/>
      <w:bookmarkStart w:id="129" w:name="_Toc3018"/>
      <w:bookmarkStart w:id="130" w:name="_Toc3314"/>
      <w:bookmarkStart w:id="131" w:name="_Toc2656"/>
      <w:r>
        <w:rPr>
          <w:rFonts w:hint="default"/>
          <w:color w:val="auto"/>
          <w:lang w:val="en-US" w:eastAsia="zh-CN"/>
        </w:rPr>
        <w:t>2.6.</w:t>
      </w:r>
      <w:r>
        <w:rPr>
          <w:rFonts w:hint="eastAsia"/>
          <w:color w:val="auto"/>
          <w:lang w:val="en-US" w:eastAsia="zh-CN"/>
        </w:rPr>
        <w:t xml:space="preserve">3 </w:t>
      </w:r>
      <w:bookmarkEnd w:id="128"/>
      <w:bookmarkEnd w:id="129"/>
      <w:r>
        <w:rPr>
          <w:rFonts w:hint="default"/>
          <w:color w:val="auto"/>
          <w:lang w:val="en-US" w:eastAsia="zh-CN"/>
        </w:rPr>
        <w:t>防排洪系统</w:t>
      </w:r>
      <w:bookmarkEnd w:id="130"/>
      <w:bookmarkEnd w:id="131"/>
    </w:p>
    <w:p w14:paraId="459E7089">
      <w:pPr>
        <w:rPr>
          <w:rFonts w:hint="default"/>
          <w:color w:val="auto"/>
          <w:lang w:val="en-US" w:eastAsia="zh-CN"/>
        </w:rPr>
      </w:pPr>
      <w:r>
        <w:rPr>
          <w:rFonts w:hint="default"/>
          <w:color w:val="auto"/>
          <w:lang w:val="en-US" w:eastAsia="zh-CN"/>
        </w:rPr>
        <w:t>一、设计情况</w:t>
      </w:r>
    </w:p>
    <w:p w14:paraId="7A7F714A">
      <w:pPr>
        <w:rPr>
          <w:rFonts w:hint="default"/>
          <w:color w:val="auto"/>
          <w:lang w:val="en-US" w:eastAsia="zh-CN"/>
        </w:rPr>
      </w:pPr>
      <w:r>
        <w:rPr>
          <w:rFonts w:hint="eastAsia"/>
          <w:color w:val="auto"/>
          <w:lang w:val="en-US" w:eastAsia="zh-CN"/>
        </w:rPr>
        <w:t>1. 原排洪系统</w:t>
      </w:r>
    </w:p>
    <w:p w14:paraId="6EE684AF">
      <w:pPr>
        <w:rPr>
          <w:rFonts w:hint="default"/>
          <w:color w:val="auto"/>
          <w:lang w:val="en-US" w:eastAsia="zh-CN"/>
        </w:rPr>
      </w:pPr>
      <w:r>
        <w:rPr>
          <w:rFonts w:hint="eastAsia"/>
          <w:color w:val="auto"/>
          <w:lang w:val="en-US" w:eastAsia="zh-CN"/>
        </w:rPr>
        <w:t>（1）排水斜槽+涵洞</w:t>
      </w:r>
    </w:p>
    <w:p w14:paraId="13E2DAC8">
      <w:pPr>
        <w:rPr>
          <w:rFonts w:hint="default"/>
          <w:color w:val="auto"/>
          <w:lang w:val="en-US" w:eastAsia="zh-CN"/>
        </w:rPr>
      </w:pPr>
      <w:r>
        <w:rPr>
          <w:rFonts w:hint="default"/>
          <w:color w:val="auto"/>
          <w:lang w:val="en-US" w:eastAsia="zh-CN"/>
        </w:rPr>
        <w:t>斜槽采用拱盖板型式，槽身为现浇C20钢筋混凝土结构，盖板为预制C20钢筋混凝土结构。排水斜槽总长230m，净断面尺寸净宽</w:t>
      </w:r>
      <w:r>
        <w:rPr>
          <w:rFonts w:hint="eastAsia" w:ascii="宋体" w:hAnsi="宋体" w:eastAsia="宋体" w:cs="宋体"/>
          <w:color w:val="auto"/>
          <w:lang w:val="en-US" w:eastAsia="zh-CN"/>
        </w:rPr>
        <w:t>×</w:t>
      </w:r>
      <w:r>
        <w:rPr>
          <w:rFonts w:hint="default"/>
          <w:color w:val="auto"/>
          <w:lang w:val="en-US" w:eastAsia="zh-CN"/>
        </w:rPr>
        <w:t>净高=0.8m</w:t>
      </w:r>
      <w:r>
        <w:rPr>
          <w:rFonts w:hint="eastAsia" w:ascii="宋体" w:hAnsi="宋体" w:eastAsia="宋体" w:cs="宋体"/>
          <w:color w:val="auto"/>
          <w:lang w:val="en-US" w:eastAsia="zh-CN"/>
        </w:rPr>
        <w:t>×</w:t>
      </w:r>
      <w:r>
        <w:rPr>
          <w:rFonts w:hint="default"/>
          <w:color w:val="auto"/>
          <w:lang w:val="en-US" w:eastAsia="zh-CN"/>
        </w:rPr>
        <w:t>0.4m</w:t>
      </w:r>
      <w:r>
        <w:rPr>
          <w:rFonts w:hint="eastAsia"/>
          <w:color w:val="auto"/>
          <w:lang w:val="en-US" w:eastAsia="zh-CN"/>
        </w:rPr>
        <w:t>，</w:t>
      </w:r>
      <w:r>
        <w:rPr>
          <w:rFonts w:hint="default"/>
          <w:color w:val="auto"/>
          <w:lang w:val="en-US" w:eastAsia="zh-CN"/>
        </w:rPr>
        <w:t>半圆形拱盖板半径为0.4m</w:t>
      </w:r>
      <w:r>
        <w:rPr>
          <w:rFonts w:hint="eastAsia"/>
          <w:color w:val="auto"/>
          <w:lang w:val="en-US" w:eastAsia="zh-CN"/>
        </w:rPr>
        <w:t>，</w:t>
      </w:r>
      <w:r>
        <w:rPr>
          <w:rFonts w:hint="default"/>
          <w:color w:val="auto"/>
          <w:lang w:val="en-US" w:eastAsia="zh-CN"/>
        </w:rPr>
        <w:t>斜槽纵坡为5%</w:t>
      </w:r>
      <w:r>
        <w:rPr>
          <w:rFonts w:hint="default" w:ascii="Times New Roman" w:hAnsi="Times New Roman" w:eastAsia="宋体" w:cs="Times New Roman"/>
          <w:color w:val="auto"/>
          <w:sz w:val="28"/>
          <w:szCs w:val="28"/>
        </w:rPr>
        <w:t>～</w:t>
      </w:r>
      <w:r>
        <w:rPr>
          <w:rFonts w:hint="default"/>
          <w:color w:val="auto"/>
          <w:lang w:val="en-US" w:eastAsia="zh-CN"/>
        </w:rPr>
        <w:t>8%。涵洞尺寸与斜槽尺寸相同，采用现浇钢筋混凝土结构，纵坡约为3.5%，总长约30m，涵洞出口标高为</w:t>
      </w:r>
      <w:r>
        <w:rPr>
          <w:rFonts w:hint="eastAsia"/>
          <w:color w:val="auto"/>
          <w:lang w:val="en-US" w:eastAsia="zh-CN"/>
        </w:rPr>
        <w:t>+</w:t>
      </w:r>
      <w:r>
        <w:rPr>
          <w:rFonts w:hint="default"/>
          <w:color w:val="auto"/>
          <w:lang w:val="en-US" w:eastAsia="zh-CN"/>
        </w:rPr>
        <w:t>70.2m。涵洞后接倒梯形状的消力池</w:t>
      </w:r>
      <w:r>
        <w:rPr>
          <w:rFonts w:hint="eastAsia"/>
          <w:color w:val="auto"/>
          <w:lang w:val="en-US" w:eastAsia="zh-CN"/>
        </w:rPr>
        <w:t>（</w:t>
      </w:r>
      <w:r>
        <w:rPr>
          <w:rFonts w:hint="default"/>
          <w:color w:val="auto"/>
          <w:lang w:val="en-US" w:eastAsia="zh-CN"/>
        </w:rPr>
        <w:t>位于1#副坝下游</w:t>
      </w:r>
      <w:r>
        <w:rPr>
          <w:rFonts w:hint="eastAsia"/>
          <w:color w:val="auto"/>
          <w:lang w:val="en-US" w:eastAsia="zh-CN"/>
        </w:rPr>
        <w:t>）</w:t>
      </w:r>
      <w:r>
        <w:rPr>
          <w:rFonts w:hint="default"/>
          <w:color w:val="auto"/>
          <w:lang w:val="en-US" w:eastAsia="zh-CN"/>
        </w:rPr>
        <w:t>，并最终排至下游的回水池。</w:t>
      </w:r>
    </w:p>
    <w:p w14:paraId="51FDA7F8">
      <w:pPr>
        <w:rPr>
          <w:rFonts w:hint="default"/>
          <w:color w:val="auto"/>
          <w:lang w:val="en-US" w:eastAsia="zh-CN"/>
        </w:rPr>
      </w:pPr>
      <w:r>
        <w:rPr>
          <w:rFonts w:hint="eastAsia"/>
          <w:color w:val="auto"/>
          <w:lang w:val="en-US" w:eastAsia="zh-CN"/>
        </w:rPr>
        <w:t>（2）应急溢洪道</w:t>
      </w:r>
    </w:p>
    <w:p w14:paraId="57EA9F12">
      <w:pPr>
        <w:rPr>
          <w:rFonts w:hint="default"/>
          <w:color w:val="auto"/>
          <w:lang w:val="en-US" w:eastAsia="zh-CN"/>
        </w:rPr>
      </w:pPr>
      <w:r>
        <w:rPr>
          <w:rFonts w:hint="default"/>
          <w:color w:val="auto"/>
          <w:lang w:val="en-US" w:eastAsia="zh-CN"/>
        </w:rPr>
        <w:t>在尾矿库东部1#副坝与2#副坝之间的山体低洼处设置了一座应急溢洪道，采用浆砌块石结构。该应急溢洪道进水口标高为</w:t>
      </w:r>
      <w:r>
        <w:rPr>
          <w:rFonts w:hint="eastAsia"/>
          <w:color w:val="auto"/>
          <w:lang w:val="en-US" w:eastAsia="zh-CN"/>
        </w:rPr>
        <w:t>+</w:t>
      </w:r>
      <w:r>
        <w:rPr>
          <w:rFonts w:hint="default"/>
          <w:color w:val="auto"/>
          <w:lang w:val="en-US" w:eastAsia="zh-CN"/>
        </w:rPr>
        <w:t>77.0m，纵坡坡度1%。底宽1.0m，高2.0m，两侧坡比为1∶0.5。</w:t>
      </w:r>
    </w:p>
    <w:p w14:paraId="746B5DCA">
      <w:pPr>
        <w:rPr>
          <w:rFonts w:hint="default"/>
          <w:color w:val="auto"/>
          <w:lang w:val="en-US" w:eastAsia="zh-CN"/>
        </w:rPr>
      </w:pPr>
      <w:r>
        <w:rPr>
          <w:rFonts w:hint="eastAsia"/>
          <w:color w:val="auto"/>
          <w:lang w:val="en-US" w:eastAsia="zh-CN"/>
        </w:rPr>
        <w:t>（3）原</w:t>
      </w:r>
      <w:r>
        <w:rPr>
          <w:rFonts w:hint="default"/>
          <w:color w:val="auto"/>
          <w:lang w:val="en-US" w:eastAsia="zh-CN"/>
        </w:rPr>
        <w:t>排洪系统封堵</w:t>
      </w:r>
    </w:p>
    <w:p w14:paraId="498A1063">
      <w:pPr>
        <w:rPr>
          <w:rFonts w:hint="default"/>
          <w:color w:val="auto"/>
          <w:lang w:val="en-US" w:eastAsia="zh-CN"/>
        </w:rPr>
      </w:pPr>
      <w:r>
        <w:rPr>
          <w:rFonts w:hint="default"/>
          <w:color w:val="auto"/>
          <w:lang w:val="en-US" w:eastAsia="zh-CN"/>
        </w:rPr>
        <w:t>结合今后实际生产运行，尾矿库现有排水斜槽+排水涵洞进行封堵，同时对应急溢洪道进行重新封堵。</w:t>
      </w:r>
    </w:p>
    <w:p w14:paraId="02561019">
      <w:pPr>
        <w:rPr>
          <w:rFonts w:hint="default"/>
          <w:color w:val="auto"/>
          <w:lang w:val="en-US" w:eastAsia="zh-CN"/>
        </w:rPr>
      </w:pPr>
      <w:r>
        <w:rPr>
          <w:rFonts w:hint="default"/>
          <w:color w:val="auto"/>
          <w:lang w:val="en-US" w:eastAsia="zh-CN"/>
        </w:rPr>
        <w:t>针对现有排水斜槽+</w:t>
      </w:r>
      <w:r>
        <w:rPr>
          <w:rFonts w:hint="eastAsia"/>
          <w:color w:val="auto"/>
          <w:lang w:val="en-US" w:eastAsia="zh-CN"/>
        </w:rPr>
        <w:t>涵洞</w:t>
      </w:r>
      <w:r>
        <w:rPr>
          <w:rFonts w:hint="default"/>
          <w:color w:val="auto"/>
          <w:lang w:val="en-US" w:eastAsia="zh-CN"/>
        </w:rPr>
        <w:t>封堵，封堵段分两部分，对排水涵洞</w:t>
      </w:r>
      <w:r>
        <w:rPr>
          <w:rFonts w:hint="default"/>
          <w:color w:val="auto"/>
          <w:lang w:val="en-US" w:eastAsia="zh-CN"/>
        </w:rPr>
        <w:t>末端5m范围采用C20细石混凝土进行封堵，对前端的排水斜槽以及排水涵洞采用尾砂充灌封堵。首先从排水涵洞出口往里塞袋装尾砂，形成约1m宽堵塞体；然后将DN76钢管预埋至排水涵洞内，端头塞至袋装砂下方，末端延伸至排水涵管外，并设置闸阀。钢管采用梅花型开孔，孔径8mm，外包300g/m</w:t>
      </w:r>
      <w:r>
        <w:rPr>
          <w:rFonts w:hint="default"/>
          <w:color w:val="auto"/>
          <w:vertAlign w:val="superscript"/>
          <w:lang w:val="en-US" w:eastAsia="zh-CN"/>
        </w:rPr>
        <w:t>2</w:t>
      </w:r>
      <w:r>
        <w:rPr>
          <w:rFonts w:hint="default"/>
          <w:color w:val="auto"/>
          <w:lang w:val="en-US" w:eastAsia="zh-CN"/>
        </w:rPr>
        <w:t>土工布三层；在排水涵洞出口设置挡板，并往排水涵洞内灌注细石混凝土，并进行接触灌浆处理；最后再从排水斜槽进口处往里充灌尾砂，直至整个排水涵洞及排水斜槽均为尾砂充填满。</w:t>
      </w:r>
    </w:p>
    <w:p w14:paraId="1432B10E">
      <w:pPr>
        <w:rPr>
          <w:rFonts w:hint="default"/>
          <w:color w:val="auto"/>
          <w:lang w:val="en-US" w:eastAsia="zh-CN"/>
        </w:rPr>
      </w:pPr>
      <w:r>
        <w:rPr>
          <w:rFonts w:hint="default"/>
          <w:color w:val="auto"/>
          <w:lang w:val="en-US" w:eastAsia="zh-CN"/>
        </w:rPr>
        <w:t>为施工方便，也可直接对排水斜槽及排水涵洞采用泡沫混凝土或者素混凝土充灌封堵。</w:t>
      </w:r>
    </w:p>
    <w:p w14:paraId="06785C62">
      <w:pPr>
        <w:rPr>
          <w:rFonts w:hint="default"/>
          <w:color w:val="auto"/>
          <w:lang w:val="en-US" w:eastAsia="zh-CN"/>
        </w:rPr>
      </w:pPr>
      <w:r>
        <w:rPr>
          <w:rFonts w:hint="default"/>
          <w:color w:val="auto"/>
          <w:lang w:val="en-US" w:eastAsia="zh-CN"/>
        </w:rPr>
        <w:t>考虑到应急溢洪道</w:t>
      </w:r>
      <w:r>
        <w:rPr>
          <w:rFonts w:hint="eastAsia"/>
          <w:color w:val="auto"/>
          <w:lang w:val="en-US" w:eastAsia="zh-CN"/>
        </w:rPr>
        <w:t>的</w:t>
      </w:r>
      <w:r>
        <w:rPr>
          <w:rFonts w:hint="default"/>
          <w:color w:val="auto"/>
          <w:lang w:val="en-US" w:eastAsia="zh-CN"/>
        </w:rPr>
        <w:t>封堵材料为土石料，在进口端采用毛石混凝土重新进行封堵。</w:t>
      </w:r>
    </w:p>
    <w:p w14:paraId="041385FA">
      <w:pPr>
        <w:rPr>
          <w:rFonts w:hint="eastAsia"/>
          <w:color w:val="auto"/>
          <w:lang w:val="en-US" w:eastAsia="zh-CN"/>
        </w:rPr>
      </w:pPr>
      <w:r>
        <w:rPr>
          <w:rFonts w:hint="eastAsia"/>
          <w:color w:val="auto"/>
          <w:lang w:val="en-US" w:eastAsia="zh-CN"/>
        </w:rPr>
        <w:t xml:space="preserve">2. </w:t>
      </w:r>
      <w:r>
        <w:rPr>
          <w:rFonts w:hint="default"/>
          <w:color w:val="auto"/>
          <w:lang w:val="en-US" w:eastAsia="zh-CN"/>
        </w:rPr>
        <w:t>新增排洪系统</w:t>
      </w:r>
    </w:p>
    <w:p w14:paraId="0E8B8040">
      <w:pPr>
        <w:rPr>
          <w:rFonts w:hint="default"/>
          <w:color w:val="auto"/>
          <w:lang w:val="en-US" w:eastAsia="zh-CN"/>
        </w:rPr>
      </w:pPr>
      <w:r>
        <w:rPr>
          <w:rFonts w:hint="default"/>
          <w:color w:val="auto"/>
          <w:lang w:val="en-US" w:eastAsia="zh-CN"/>
        </w:rPr>
        <w:t>新增排洪系统为排水斜槽+连接井+涵管+明渠，采用C25钢筋混凝土结构，其中斜槽长26.4m，净断面尺寸净宽</w:t>
      </w:r>
      <w:r>
        <w:rPr>
          <w:rFonts w:hint="eastAsia" w:ascii="宋体" w:hAnsi="宋体" w:eastAsia="宋体" w:cs="宋体"/>
          <w:color w:val="auto"/>
          <w:lang w:val="en-US" w:eastAsia="zh-CN"/>
        </w:rPr>
        <w:t>×</w:t>
      </w:r>
      <w:r>
        <w:rPr>
          <w:rFonts w:hint="default"/>
          <w:color w:val="auto"/>
          <w:lang w:val="en-US" w:eastAsia="zh-CN"/>
        </w:rPr>
        <w:t>净高=1.0m</w:t>
      </w:r>
      <w:r>
        <w:rPr>
          <w:rFonts w:hint="eastAsia" w:ascii="宋体" w:hAnsi="宋体" w:eastAsia="宋体" w:cs="宋体"/>
          <w:color w:val="auto"/>
          <w:lang w:val="en-US" w:eastAsia="zh-CN"/>
        </w:rPr>
        <w:t>×</w:t>
      </w:r>
      <w:r>
        <w:rPr>
          <w:rFonts w:hint="default"/>
          <w:color w:val="auto"/>
          <w:lang w:val="en-US" w:eastAsia="zh-CN"/>
        </w:rPr>
        <w:t>1.0m（半圆形拱盖板半径为0.5m），坡比为0.484；连接井内径φ2.0m，净高2.8m；排水涵洞长82.5m，净断面尺寸净宽</w:t>
      </w:r>
      <w:r>
        <w:rPr>
          <w:rFonts w:hint="eastAsia" w:ascii="宋体" w:hAnsi="宋体" w:eastAsia="宋体" w:cs="宋体"/>
          <w:color w:val="auto"/>
          <w:lang w:val="en-US" w:eastAsia="zh-CN"/>
        </w:rPr>
        <w:t>×</w:t>
      </w:r>
      <w:r>
        <w:rPr>
          <w:rFonts w:hint="default"/>
          <w:color w:val="auto"/>
          <w:lang w:val="en-US" w:eastAsia="zh-CN"/>
        </w:rPr>
        <w:t>净高=1.0m</w:t>
      </w:r>
      <w:r>
        <w:rPr>
          <w:rFonts w:hint="eastAsia" w:ascii="宋体" w:hAnsi="宋体" w:eastAsia="宋体" w:cs="宋体"/>
          <w:color w:val="auto"/>
          <w:lang w:val="en-US" w:eastAsia="zh-CN"/>
        </w:rPr>
        <w:t>×</w:t>
      </w:r>
      <w:r>
        <w:rPr>
          <w:rFonts w:hint="default"/>
          <w:color w:val="auto"/>
          <w:lang w:val="en-US" w:eastAsia="zh-CN"/>
        </w:rPr>
        <w:t>1.0m（圆拱直墙型），坡比为0.025；排水涵洞末端接入明渠，将水引至1#副坝下游的消力池内，明渠长30.8m，净断面尺寸净宽×净高=1.0m×0.5m，坡比为0.1。</w:t>
      </w:r>
      <w:r>
        <w:rPr>
          <w:rFonts w:hint="eastAsia"/>
          <w:color w:val="auto"/>
          <w:lang w:val="en-US" w:eastAsia="zh-CN"/>
        </w:rPr>
        <w:t>排水斜槽最低进水口标高为+79.0m，最高进水口标高为+89.0m。</w:t>
      </w:r>
    </w:p>
    <w:p w14:paraId="27DA2B43">
      <w:pPr>
        <w:rPr>
          <w:rFonts w:hint="default"/>
          <w:color w:val="auto"/>
          <w:lang w:val="en-US" w:eastAsia="zh-CN"/>
        </w:rPr>
      </w:pPr>
      <w:r>
        <w:rPr>
          <w:rFonts w:hint="default"/>
          <w:color w:val="auto"/>
          <w:lang w:val="en-US" w:eastAsia="zh-CN"/>
        </w:rPr>
        <w:t>二、现场检查情况</w:t>
      </w:r>
    </w:p>
    <w:p w14:paraId="69A04A53">
      <w:pPr>
        <w:rPr>
          <w:rFonts w:hint="eastAsia"/>
          <w:color w:val="auto"/>
          <w:lang w:val="en-US" w:eastAsia="zh-CN"/>
        </w:rPr>
      </w:pPr>
      <w:r>
        <w:rPr>
          <w:rFonts w:hint="default"/>
          <w:color w:val="auto"/>
          <w:lang w:val="en-US" w:eastAsia="zh-CN"/>
        </w:rPr>
        <w:t>1. 原排洪系统</w:t>
      </w:r>
      <w:r>
        <w:rPr>
          <w:rFonts w:hint="eastAsia"/>
          <w:color w:val="auto"/>
          <w:lang w:val="en-US" w:eastAsia="zh-CN"/>
        </w:rPr>
        <w:t>封堵</w:t>
      </w:r>
    </w:p>
    <w:p w14:paraId="2E38FBAE">
      <w:pPr>
        <w:rPr>
          <w:rFonts w:hint="eastAsia"/>
          <w:color w:val="auto"/>
          <w:lang w:val="en-US" w:eastAsia="zh-CN"/>
        </w:rPr>
      </w:pPr>
      <w:r>
        <w:rPr>
          <w:rFonts w:hint="eastAsia"/>
          <w:color w:val="auto"/>
          <w:lang w:val="en-US" w:eastAsia="zh-CN"/>
        </w:rPr>
        <w:t>（1）排水斜槽+涵管</w:t>
      </w:r>
    </w:p>
    <w:p w14:paraId="6C0AFD41">
      <w:pPr>
        <w:rPr>
          <w:rFonts w:hint="default"/>
          <w:b w:val="0"/>
          <w:bCs w:val="0"/>
          <w:color w:val="auto"/>
          <w:lang w:val="en-US" w:eastAsia="zh-CN"/>
        </w:rPr>
      </w:pPr>
      <w:r>
        <w:rPr>
          <w:rFonts w:hint="eastAsia"/>
          <w:b w:val="0"/>
          <w:bCs w:val="0"/>
          <w:color w:val="auto"/>
          <w:lang w:val="en-US" w:eastAsia="zh-CN"/>
        </w:rPr>
        <w:t>经查看现场和施工资料，</w:t>
      </w:r>
      <w:r>
        <w:rPr>
          <w:rFonts w:hint="eastAsia"/>
          <w:b w:val="0"/>
          <w:bCs w:val="0"/>
          <w:color w:val="auto"/>
          <w:lang w:val="en-US" w:eastAsia="zh-CN"/>
        </w:rPr>
        <w:t>2023年4月20日江西省宜丰万国矿业有限公司对原排水斜槽+涵管进行了封堵</w:t>
      </w:r>
      <w:r>
        <w:rPr>
          <w:rFonts w:hint="eastAsia"/>
          <w:b w:val="0"/>
          <w:bCs w:val="0"/>
          <w:color w:val="auto"/>
          <w:lang w:val="en-US" w:eastAsia="zh-CN"/>
        </w:rPr>
        <w:t>，封堵方式：首先从排水涵洞出口往里塞袋装尾砂，形成约1m宽堵塞体；然后将DN76钢管预埋至排水涵洞内，端头塞至袋装砂下方，末端延伸至排水涵管外，并设置了闸阀。钢管采用梅花型开孔，孔径8mm，外包300g/m</w:t>
      </w:r>
      <w:r>
        <w:rPr>
          <w:rFonts w:hint="eastAsia"/>
          <w:b w:val="0"/>
          <w:bCs w:val="0"/>
          <w:color w:val="auto"/>
          <w:vertAlign w:val="superscript"/>
          <w:lang w:val="en-US" w:eastAsia="zh-CN"/>
        </w:rPr>
        <w:t>2</w:t>
      </w:r>
      <w:r>
        <w:rPr>
          <w:rFonts w:hint="eastAsia"/>
          <w:b w:val="0"/>
          <w:bCs w:val="0"/>
          <w:color w:val="auto"/>
          <w:lang w:val="en-US" w:eastAsia="zh-CN"/>
        </w:rPr>
        <w:t>土工布三层；在排水涵洞出口设置了挡板，并往排水涵洞内灌注细石混凝土，并进行接触灌浆处理；最后再从排水斜槽进口处往里充灌尾砂，直至整个排水涵洞及排水斜槽均为尾砂充填满。封堵符合设计要求，</w:t>
      </w:r>
      <w:r>
        <w:rPr>
          <w:rFonts w:hint="eastAsia"/>
          <w:b w:val="0"/>
          <w:bCs w:val="0"/>
          <w:color w:val="auto"/>
          <w:lang w:val="en-US" w:eastAsia="zh-CN"/>
        </w:rPr>
        <w:t>封堵效果良好。</w:t>
      </w:r>
    </w:p>
    <w:p w14:paraId="00D41B30">
      <w:pPr>
        <w:rPr>
          <w:rFonts w:hint="eastAsia"/>
          <w:color w:val="auto"/>
          <w:lang w:val="en-US" w:eastAsia="zh-CN"/>
        </w:rPr>
      </w:pPr>
      <w:r>
        <w:rPr>
          <w:rFonts w:hint="eastAsia"/>
          <w:color w:val="auto"/>
          <w:lang w:val="en-US" w:eastAsia="zh-CN"/>
        </w:rPr>
        <w:t>（2）应急溢洪道</w:t>
      </w:r>
    </w:p>
    <w:p w14:paraId="70EF5992">
      <w:pPr>
        <w:rPr>
          <w:rFonts w:hint="eastAsia"/>
          <w:color w:val="auto"/>
          <w:lang w:val="en-US" w:eastAsia="zh-CN"/>
        </w:rPr>
      </w:pPr>
      <w:r>
        <w:rPr>
          <w:rFonts w:hint="default"/>
          <w:color w:val="auto"/>
          <w:lang w:val="en-US" w:eastAsia="zh-CN"/>
        </w:rPr>
        <w:t>经查看施工资料，溢洪道已采用毛石混凝土进行</w:t>
      </w:r>
      <w:r>
        <w:rPr>
          <w:rFonts w:hint="eastAsia"/>
          <w:color w:val="auto"/>
          <w:lang w:val="en-US" w:eastAsia="zh-CN"/>
        </w:rPr>
        <w:t>了</w:t>
      </w:r>
      <w:r>
        <w:rPr>
          <w:rFonts w:hint="default"/>
          <w:color w:val="auto"/>
          <w:lang w:val="en-US" w:eastAsia="zh-CN"/>
        </w:rPr>
        <w:t>封堵</w:t>
      </w:r>
      <w:r>
        <w:rPr>
          <w:rFonts w:hint="eastAsia"/>
          <w:color w:val="auto"/>
          <w:lang w:val="en-US" w:eastAsia="zh-CN"/>
        </w:rPr>
        <w:t>。</w:t>
      </w:r>
      <w:r>
        <w:rPr>
          <w:rFonts w:hint="default"/>
          <w:color w:val="auto"/>
          <w:lang w:val="en-US" w:eastAsia="zh-CN"/>
        </w:rPr>
        <w:t>经</w:t>
      </w:r>
      <w:r>
        <w:rPr>
          <w:rFonts w:hint="eastAsia"/>
          <w:color w:val="auto"/>
          <w:lang w:val="en-US" w:eastAsia="zh-CN"/>
        </w:rPr>
        <w:t>现场勘察，溢洪道早已被</w:t>
      </w:r>
      <w:r>
        <w:rPr>
          <w:rFonts w:hint="eastAsia"/>
          <w:color w:val="auto"/>
          <w:lang w:val="en-US" w:eastAsia="zh-CN"/>
        </w:rPr>
        <w:t>尾砂</w:t>
      </w:r>
      <w:r>
        <w:rPr>
          <w:rFonts w:hint="eastAsia"/>
          <w:color w:val="auto"/>
          <w:lang w:val="en-US" w:eastAsia="zh-CN"/>
        </w:rPr>
        <w:t>掩埋。</w:t>
      </w:r>
    </w:p>
    <w:p w14:paraId="5BBEDF39">
      <w:pPr>
        <w:rPr>
          <w:rFonts w:hint="default"/>
          <w:color w:val="auto"/>
          <w:lang w:val="en-US" w:eastAsia="zh-CN"/>
        </w:rPr>
      </w:pPr>
      <w:r>
        <w:rPr>
          <w:rFonts w:hint="default"/>
          <w:color w:val="auto"/>
          <w:lang w:val="en-US" w:eastAsia="zh-CN"/>
        </w:rPr>
        <w:t>2. 新增排洪系统</w:t>
      </w:r>
    </w:p>
    <w:p w14:paraId="1E2910F0">
      <w:pPr>
        <w:rPr>
          <w:rFonts w:hint="eastAsia"/>
          <w:color w:val="auto"/>
          <w:lang w:val="en-US" w:eastAsia="zh-CN"/>
        </w:rPr>
      </w:pPr>
      <w:r>
        <w:rPr>
          <w:rFonts w:hint="default"/>
          <w:color w:val="auto"/>
          <w:lang w:val="en-US" w:eastAsia="zh-CN"/>
        </w:rPr>
        <w:t>现场检查</w:t>
      </w:r>
      <w:r>
        <w:rPr>
          <w:rFonts w:hint="eastAsia"/>
          <w:color w:val="auto"/>
          <w:lang w:val="en-US" w:eastAsia="zh-CN"/>
        </w:rPr>
        <w:t>，目前库区排洪系统由排水斜槽+连接井+排水涵洞+排水明渠组成。</w:t>
      </w:r>
    </w:p>
    <w:p w14:paraId="4F929B2A">
      <w:pPr>
        <w:rPr>
          <w:rFonts w:hint="default"/>
          <w:color w:val="auto"/>
          <w:lang w:val="en-US" w:eastAsia="zh-CN"/>
        </w:rPr>
      </w:pPr>
      <w:r>
        <w:rPr>
          <w:rFonts w:hint="default"/>
          <w:color w:val="auto"/>
          <w:lang w:val="en-US" w:eastAsia="zh-CN"/>
        </w:rPr>
        <w:t>（1）排水斜槽</w:t>
      </w:r>
    </w:p>
    <w:p w14:paraId="0A6284A6">
      <w:pPr>
        <w:rPr>
          <w:rFonts w:hint="eastAsia"/>
          <w:color w:val="auto"/>
          <w:lang w:val="en-US" w:eastAsia="zh-CN"/>
        </w:rPr>
      </w:pPr>
      <w:r>
        <w:rPr>
          <w:rFonts w:hint="default"/>
          <w:color w:val="auto"/>
          <w:lang w:val="en-US" w:eastAsia="zh-CN"/>
        </w:rPr>
        <w:t>斜槽采用C25钢筋混凝土结构，斜槽长26.4m，断面尺寸为B</w:t>
      </w:r>
      <w:r>
        <w:rPr>
          <w:rFonts w:hint="eastAsia" w:ascii="宋体" w:hAnsi="宋体" w:eastAsia="宋体" w:cs="宋体"/>
          <w:color w:val="auto"/>
          <w:lang w:val="en-US" w:eastAsia="zh-CN"/>
        </w:rPr>
        <w:t>×</w:t>
      </w:r>
      <w:r>
        <w:rPr>
          <w:rFonts w:hint="default"/>
          <w:color w:val="auto"/>
          <w:lang w:val="en-US" w:eastAsia="zh-CN"/>
        </w:rPr>
        <w:t>H=1.0m</w:t>
      </w:r>
      <w:r>
        <w:rPr>
          <w:rFonts w:hint="eastAsia" w:ascii="宋体" w:hAnsi="宋体" w:eastAsia="宋体" w:cs="宋体"/>
          <w:color w:val="auto"/>
          <w:lang w:val="en-US" w:eastAsia="zh-CN"/>
        </w:rPr>
        <w:t>×</w:t>
      </w:r>
      <w:r>
        <w:rPr>
          <w:rFonts w:hint="default"/>
          <w:color w:val="auto"/>
          <w:lang w:val="en-US" w:eastAsia="zh-CN"/>
        </w:rPr>
        <w:t>1.0m（</w:t>
      </w:r>
      <w:r>
        <w:rPr>
          <w:rFonts w:hint="default"/>
          <w:color w:val="auto"/>
          <w:lang w:val="en-US" w:eastAsia="zh-CN"/>
        </w:rPr>
        <w:t>半圆形拱盖板半径为0.5m</w:t>
      </w:r>
      <w:r>
        <w:rPr>
          <w:rFonts w:hint="default"/>
          <w:color w:val="auto"/>
          <w:lang w:val="en-US" w:eastAsia="zh-CN"/>
        </w:rPr>
        <w:t>），坡比为0.</w:t>
      </w:r>
      <w:r>
        <w:rPr>
          <w:rFonts w:hint="eastAsia"/>
          <w:color w:val="auto"/>
          <w:lang w:val="en-US" w:eastAsia="zh-CN"/>
        </w:rPr>
        <w:t>454</w:t>
      </w:r>
      <w:r>
        <w:rPr>
          <w:rFonts w:hint="default"/>
          <w:color w:val="auto"/>
          <w:lang w:val="en-US" w:eastAsia="zh-CN"/>
        </w:rPr>
        <w:t>，目前</w:t>
      </w:r>
      <w:r>
        <w:rPr>
          <w:rFonts w:hint="eastAsia"/>
          <w:color w:val="auto"/>
          <w:lang w:val="en-US" w:eastAsia="zh-CN"/>
        </w:rPr>
        <w:t>尾矿库内水面</w:t>
      </w:r>
      <w:r>
        <w:rPr>
          <w:rFonts w:hint="default"/>
          <w:color w:val="auto"/>
          <w:lang w:val="en-US" w:eastAsia="zh-CN"/>
        </w:rPr>
        <w:t>标高为</w:t>
      </w:r>
      <w:r>
        <w:rPr>
          <w:rFonts w:hint="eastAsia"/>
          <w:color w:val="auto"/>
          <w:lang w:val="en-US" w:eastAsia="zh-CN"/>
        </w:rPr>
        <w:t>+</w:t>
      </w:r>
      <w:r>
        <w:rPr>
          <w:rFonts w:hint="default"/>
          <w:color w:val="auto"/>
          <w:lang w:val="en-US" w:eastAsia="zh-CN"/>
        </w:rPr>
        <w:t>7</w:t>
      </w:r>
      <w:r>
        <w:rPr>
          <w:rFonts w:hint="eastAsia"/>
          <w:color w:val="auto"/>
          <w:lang w:val="en-US" w:eastAsia="zh-CN"/>
        </w:rPr>
        <w:t>8.75</w:t>
      </w:r>
      <w:r>
        <w:rPr>
          <w:rFonts w:hint="default"/>
          <w:color w:val="auto"/>
          <w:lang w:val="en-US" w:eastAsia="zh-CN"/>
        </w:rPr>
        <w:t>m。</w:t>
      </w:r>
    </w:p>
    <w:p w14:paraId="041A2A07">
      <w:pPr>
        <w:rPr>
          <w:rFonts w:hint="default"/>
          <w:color w:val="auto"/>
          <w:lang w:val="en-US" w:eastAsia="zh-CN"/>
        </w:rPr>
      </w:pPr>
      <w:r>
        <w:rPr>
          <w:rFonts w:hint="default"/>
          <w:color w:val="auto"/>
          <w:lang w:val="en-US" w:eastAsia="zh-CN"/>
        </w:rPr>
        <w:t>（2）连接井</w:t>
      </w:r>
    </w:p>
    <w:p w14:paraId="64D08E44">
      <w:pPr>
        <w:rPr>
          <w:rFonts w:hint="default"/>
          <w:color w:val="auto"/>
          <w:lang w:val="en-US" w:eastAsia="zh-CN"/>
        </w:rPr>
      </w:pPr>
      <w:r>
        <w:rPr>
          <w:rFonts w:hint="default"/>
          <w:color w:val="auto"/>
          <w:lang w:val="en-US" w:eastAsia="zh-CN"/>
        </w:rPr>
        <w:t>连接井采用C25钢筋混凝土结构，内径为2.0m，净高2.8m。</w:t>
      </w:r>
    </w:p>
    <w:p w14:paraId="23A018A8">
      <w:pPr>
        <w:rPr>
          <w:rFonts w:hint="default"/>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）排水涵洞</w:t>
      </w:r>
    </w:p>
    <w:p w14:paraId="5F9C7535">
      <w:pPr>
        <w:rPr>
          <w:rFonts w:hint="default"/>
          <w:color w:val="auto"/>
          <w:lang w:val="en-US" w:eastAsia="zh-CN"/>
        </w:rPr>
      </w:pPr>
      <w:r>
        <w:rPr>
          <w:rFonts w:hint="default"/>
          <w:color w:val="auto"/>
          <w:lang w:val="en-US" w:eastAsia="zh-CN"/>
        </w:rPr>
        <w:t>排水涵洞采用C25钢筋混凝土结构，长82.5m，断面尺寸为B</w:t>
      </w:r>
      <w:r>
        <w:rPr>
          <w:rFonts w:hint="eastAsia" w:ascii="宋体" w:hAnsi="宋体" w:eastAsia="宋体" w:cs="宋体"/>
          <w:color w:val="auto"/>
          <w:lang w:val="en-US" w:eastAsia="zh-CN"/>
        </w:rPr>
        <w:t>×</w:t>
      </w:r>
      <w:r>
        <w:rPr>
          <w:rFonts w:hint="default"/>
          <w:color w:val="auto"/>
          <w:lang w:val="en-US" w:eastAsia="zh-CN"/>
        </w:rPr>
        <w:t>H=1.0m</w:t>
      </w:r>
      <w:r>
        <w:rPr>
          <w:rFonts w:hint="eastAsia" w:ascii="宋体" w:hAnsi="宋体" w:eastAsia="宋体" w:cs="宋体"/>
          <w:color w:val="auto"/>
          <w:lang w:val="en-US" w:eastAsia="zh-CN"/>
        </w:rPr>
        <w:t>×</w:t>
      </w:r>
      <w:r>
        <w:rPr>
          <w:rFonts w:hint="default"/>
          <w:color w:val="auto"/>
          <w:lang w:val="en-US" w:eastAsia="zh-CN"/>
        </w:rPr>
        <w:t>1.0m（圆拱直墙型），坡比为0.025，排水涵洞出水口底板标高为</w:t>
      </w:r>
      <w:r>
        <w:rPr>
          <w:rFonts w:hint="eastAsia"/>
          <w:color w:val="auto"/>
          <w:lang w:val="en-US" w:eastAsia="zh-CN"/>
        </w:rPr>
        <w:t>+</w:t>
      </w:r>
      <w:r>
        <w:rPr>
          <w:rFonts w:hint="default"/>
          <w:color w:val="auto"/>
          <w:lang w:val="en-US" w:eastAsia="zh-CN"/>
        </w:rPr>
        <w:t>74.6m。</w:t>
      </w:r>
    </w:p>
    <w:p w14:paraId="168C4303">
      <w:pPr>
        <w:rPr>
          <w:rFonts w:hint="default"/>
          <w:color w:val="auto"/>
          <w:lang w:val="en-US" w:eastAsia="zh-CN"/>
        </w:rPr>
      </w:pPr>
      <w:r>
        <w:rPr>
          <w:rFonts w:hint="default"/>
          <w:color w:val="auto"/>
          <w:lang w:val="en-US" w:eastAsia="zh-CN"/>
        </w:rPr>
        <w:t>（</w:t>
      </w:r>
      <w:r>
        <w:rPr>
          <w:rFonts w:hint="eastAsia"/>
          <w:color w:val="auto"/>
          <w:lang w:val="en-US" w:eastAsia="zh-CN"/>
        </w:rPr>
        <w:t>4</w:t>
      </w:r>
      <w:r>
        <w:rPr>
          <w:rFonts w:hint="default"/>
          <w:color w:val="auto"/>
          <w:lang w:val="en-US" w:eastAsia="zh-CN"/>
        </w:rPr>
        <w:t>）排水明渠</w:t>
      </w:r>
    </w:p>
    <w:p w14:paraId="6E2B4892">
      <w:pPr>
        <w:rPr>
          <w:rFonts w:hint="default"/>
          <w:color w:val="auto"/>
          <w:lang w:val="en-US" w:eastAsia="zh-CN"/>
        </w:rPr>
      </w:pPr>
      <w:r>
        <w:rPr>
          <w:rFonts w:hint="default"/>
          <w:color w:val="auto"/>
          <w:lang w:val="en-US" w:eastAsia="zh-CN"/>
        </w:rPr>
        <w:t>排水涵洞末端接入明渠，将水引至1#副坝下游的消力池内，明渠长30.8m，断面尺寸为B</w:t>
      </w:r>
      <w:r>
        <w:rPr>
          <w:rFonts w:hint="eastAsia" w:ascii="宋体" w:hAnsi="宋体" w:eastAsia="宋体" w:cs="宋体"/>
          <w:color w:val="auto"/>
          <w:lang w:val="en-US" w:eastAsia="zh-CN"/>
        </w:rPr>
        <w:t>×</w:t>
      </w:r>
      <w:r>
        <w:rPr>
          <w:rFonts w:hint="default"/>
          <w:color w:val="auto"/>
          <w:lang w:val="en-US" w:eastAsia="zh-CN"/>
        </w:rPr>
        <w:t>H=1.0m</w:t>
      </w:r>
      <w:r>
        <w:rPr>
          <w:rFonts w:hint="eastAsia" w:ascii="宋体" w:hAnsi="宋体" w:eastAsia="宋体" w:cs="宋体"/>
          <w:color w:val="auto"/>
          <w:lang w:val="en-US" w:eastAsia="zh-CN"/>
        </w:rPr>
        <w:t>×</w:t>
      </w:r>
      <w:r>
        <w:rPr>
          <w:rFonts w:hint="default"/>
          <w:color w:val="auto"/>
          <w:lang w:val="en-US" w:eastAsia="zh-CN"/>
        </w:rPr>
        <w:t>0.5m，坡比为0.1。</w:t>
      </w:r>
    </w:p>
    <w:p w14:paraId="75CE5CCC">
      <w:pPr>
        <w:rPr>
          <w:rFonts w:hint="default"/>
          <w:color w:val="auto"/>
          <w:lang w:val="en-US" w:eastAsia="zh-CN"/>
        </w:rPr>
      </w:pPr>
      <w:r>
        <w:rPr>
          <w:rFonts w:hint="default"/>
          <w:color w:val="auto"/>
          <w:lang w:val="en-US" w:eastAsia="zh-CN"/>
        </w:rPr>
        <w:t>（</w:t>
      </w:r>
      <w:r>
        <w:rPr>
          <w:rFonts w:hint="eastAsia"/>
          <w:color w:val="auto"/>
          <w:lang w:val="en-US" w:eastAsia="zh-CN"/>
        </w:rPr>
        <w:t>5</w:t>
      </w:r>
      <w:r>
        <w:rPr>
          <w:rFonts w:hint="default"/>
          <w:color w:val="auto"/>
          <w:lang w:val="en-US" w:eastAsia="zh-CN"/>
        </w:rPr>
        <w:t>）集水池</w:t>
      </w:r>
    </w:p>
    <w:p w14:paraId="42886886">
      <w:pPr>
        <w:rPr>
          <w:rFonts w:hint="default"/>
          <w:color w:val="auto"/>
          <w:lang w:val="en-US" w:eastAsia="zh-CN"/>
        </w:rPr>
      </w:pPr>
      <w:r>
        <w:rPr>
          <w:rFonts w:hint="default"/>
          <w:color w:val="auto"/>
          <w:lang w:val="en-US" w:eastAsia="zh-CN"/>
        </w:rPr>
        <w:t>在1#副坝下游已设置一座39m</w:t>
      </w:r>
      <w:r>
        <w:rPr>
          <w:rFonts w:hint="eastAsia" w:ascii="宋体" w:hAnsi="宋体" w:eastAsia="宋体" w:cs="宋体"/>
          <w:color w:val="auto"/>
          <w:lang w:val="en-US" w:eastAsia="zh-CN"/>
        </w:rPr>
        <w:t>×</w:t>
      </w:r>
      <w:r>
        <w:rPr>
          <w:rFonts w:hint="default"/>
          <w:color w:val="auto"/>
          <w:lang w:val="en-US" w:eastAsia="zh-CN"/>
        </w:rPr>
        <w:t>20m</w:t>
      </w:r>
      <w:r>
        <w:rPr>
          <w:rFonts w:hint="eastAsia" w:ascii="宋体" w:hAnsi="宋体" w:eastAsia="宋体" w:cs="宋体"/>
          <w:color w:val="auto"/>
          <w:lang w:val="en-US" w:eastAsia="zh-CN"/>
        </w:rPr>
        <w:t>×</w:t>
      </w:r>
      <w:r>
        <w:rPr>
          <w:rFonts w:hint="default"/>
          <w:color w:val="auto"/>
          <w:lang w:val="en-US" w:eastAsia="zh-CN"/>
        </w:rPr>
        <w:t>5m的集水池</w:t>
      </w:r>
      <w:r>
        <w:rPr>
          <w:rFonts w:hint="eastAsia"/>
          <w:color w:val="auto"/>
          <w:lang w:val="en-US" w:eastAsia="zh-CN"/>
        </w:rPr>
        <w:t xml:space="preserve"> </w:t>
      </w:r>
      <w:r>
        <w:rPr>
          <w:rFonts w:hint="default"/>
          <w:color w:val="auto"/>
          <w:lang w:val="en-US" w:eastAsia="zh-CN"/>
        </w:rPr>
        <w:t>平时生产运行过程中的雨水进入集水池内澄清，处理后根据水质情况和生产需要达标外排或回用。</w:t>
      </w:r>
    </w:p>
    <w:p w14:paraId="2A70245F">
      <w:pPr>
        <w:rPr>
          <w:rFonts w:hint="default"/>
          <w:color w:val="auto"/>
          <w:lang w:val="en-US" w:eastAsia="zh-CN"/>
        </w:rPr>
      </w:pPr>
      <w:r>
        <w:rPr>
          <w:rFonts w:hint="default"/>
          <w:color w:val="auto"/>
          <w:lang w:val="en-US" w:eastAsia="zh-CN"/>
        </w:rPr>
        <w:t>2024年3月</w:t>
      </w:r>
      <w:r>
        <w:rPr>
          <w:rFonts w:hint="eastAsia"/>
          <w:color w:val="auto"/>
          <w:lang w:val="en-US" w:eastAsia="zh-CN"/>
        </w:rPr>
        <w:t>，江西省宜丰万国矿业有限公司</w:t>
      </w:r>
      <w:r>
        <w:rPr>
          <w:rFonts w:hint="default"/>
          <w:strike w:val="0"/>
          <w:dstrike w:val="0"/>
          <w:color w:val="auto"/>
          <w:lang w:val="en-US" w:eastAsia="zh-CN"/>
        </w:rPr>
        <w:t>委托</w:t>
      </w:r>
      <w:r>
        <w:rPr>
          <w:rFonts w:hint="default"/>
          <w:color w:val="auto"/>
          <w:lang w:val="en-US" w:eastAsia="zh-CN"/>
        </w:rPr>
        <w:t>江西恒拓建设工程检测有限公司</w:t>
      </w:r>
      <w:r>
        <w:rPr>
          <w:rFonts w:hint="eastAsia"/>
          <w:color w:val="auto"/>
          <w:lang w:val="en-US" w:eastAsia="zh-CN"/>
        </w:rPr>
        <w:t>对宜丰新庄铜铅锌矿尾矿库</w:t>
      </w:r>
      <w:r>
        <w:rPr>
          <w:rFonts w:hint="eastAsia"/>
          <w:strike w:val="0"/>
          <w:dstrike w:val="0"/>
          <w:color w:val="auto"/>
          <w:lang w:val="en-US" w:eastAsia="zh-CN"/>
        </w:rPr>
        <w:t>排洪系统</w:t>
      </w:r>
      <w:r>
        <w:rPr>
          <w:rFonts w:hint="default"/>
          <w:strike w:val="0"/>
          <w:dstrike w:val="0"/>
          <w:color w:val="auto"/>
          <w:lang w:val="en-US" w:eastAsia="zh-CN"/>
        </w:rPr>
        <w:t>进行了检测</w:t>
      </w:r>
      <w:r>
        <w:rPr>
          <w:rFonts w:hint="eastAsia"/>
          <w:strike w:val="0"/>
          <w:dstrike w:val="0"/>
          <w:color w:val="auto"/>
          <w:lang w:val="en-US" w:eastAsia="zh-CN"/>
        </w:rPr>
        <w:t>，出具了</w:t>
      </w:r>
      <w:r>
        <w:rPr>
          <w:rFonts w:hint="default"/>
          <w:color w:val="auto"/>
          <w:lang w:val="en-US" w:eastAsia="zh-CN"/>
        </w:rPr>
        <w:t>《江西省宜丰万国矿业有限公司宜丰新庄铜铅锌矿尾矿库排水系统混凝土质量检测报告》</w:t>
      </w:r>
      <w:r>
        <w:rPr>
          <w:rFonts w:hint="eastAsia"/>
          <w:color w:val="auto"/>
          <w:lang w:val="en-US" w:eastAsia="zh-CN"/>
        </w:rPr>
        <w:t>，检测成果表明：</w:t>
      </w:r>
      <w:r>
        <w:rPr>
          <w:rFonts w:hint="default"/>
          <w:color w:val="auto"/>
          <w:lang w:val="en-US" w:eastAsia="zh-CN"/>
        </w:rPr>
        <w:t>江西省宜丰万国矿业有限公司</w:t>
      </w:r>
      <w:r>
        <w:rPr>
          <w:rFonts w:hint="default"/>
          <w:color w:val="auto"/>
          <w:lang w:val="en-US" w:eastAsia="zh-CN"/>
        </w:rPr>
        <w:t>宜丰新庄铜铅锌矿尾矿库</w:t>
      </w:r>
      <w:r>
        <w:rPr>
          <w:rFonts w:hint="eastAsia"/>
          <w:color w:val="auto"/>
          <w:lang w:val="en-US" w:eastAsia="zh-CN"/>
        </w:rPr>
        <w:t>排水斜槽、连接井、排水涵洞均满足C25的强度要求，达到设计标准，均未发现裂缝、漏砂、淤堵等不良工况。</w:t>
      </w:r>
    </w:p>
    <w:p w14:paraId="01B37967">
      <w:pPr>
        <w:rPr>
          <w:rFonts w:hint="default"/>
          <w:color w:val="auto"/>
          <w:lang w:val="en-US" w:eastAsia="zh-CN"/>
        </w:rPr>
      </w:pPr>
      <w:r>
        <w:rPr>
          <w:rFonts w:hint="eastAsia"/>
          <w:color w:val="auto"/>
          <w:lang w:val="en-US" w:eastAsia="zh-CN"/>
        </w:rPr>
        <w:t>经现场检查，宜丰新庄铜铅锌矿尾矿库各排洪构筑物未出现堵塞、坍塌、裂缝、变形、位移、倾斜、磨蚀、漏砂等现象，运行工况正常</w:t>
      </w:r>
      <w:r>
        <w:rPr>
          <w:rFonts w:hint="default"/>
          <w:color w:val="auto"/>
          <w:lang w:val="en-US" w:eastAsia="zh-CN"/>
        </w:rPr>
        <w:t>。</w:t>
      </w:r>
    </w:p>
    <w:p w14:paraId="04978678">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132" w:name="_Toc26356"/>
      <w:bookmarkStart w:id="133" w:name="_Toc12928"/>
      <w:bookmarkStart w:id="134" w:name="_Toc27680"/>
      <w:r>
        <w:rPr>
          <w:rFonts w:hint="eastAsia" w:ascii="Times New Roman" w:hAnsi="Times New Roman" w:eastAsia="黑体" w:cs="Times New Roman"/>
          <w:b/>
          <w:color w:val="auto"/>
          <w:kern w:val="2"/>
          <w:sz w:val="28"/>
          <w:szCs w:val="24"/>
          <w:lang w:val="en-US" w:eastAsia="zh-CN" w:bidi="ar-SA"/>
        </w:rPr>
        <w:t>2.6.</w:t>
      </w:r>
      <w:r>
        <w:rPr>
          <w:rFonts w:hint="eastAsia" w:eastAsia="黑体" w:cs="Times New Roman"/>
          <w:b/>
          <w:color w:val="auto"/>
          <w:kern w:val="2"/>
          <w:sz w:val="28"/>
          <w:szCs w:val="24"/>
          <w:lang w:val="en-US" w:eastAsia="zh-CN" w:bidi="ar-SA"/>
        </w:rPr>
        <w:t>4</w:t>
      </w:r>
      <w:r>
        <w:rPr>
          <w:rFonts w:hint="eastAsia" w:ascii="Times New Roman" w:hAnsi="Times New Roman" w:eastAsia="黑体" w:cs="Times New Roman"/>
          <w:b/>
          <w:color w:val="auto"/>
          <w:kern w:val="2"/>
          <w:sz w:val="28"/>
          <w:szCs w:val="24"/>
          <w:lang w:val="en-US" w:eastAsia="zh-CN" w:bidi="ar-SA"/>
        </w:rPr>
        <w:t xml:space="preserve"> 尾砂干堆工艺</w:t>
      </w:r>
      <w:bookmarkEnd w:id="132"/>
      <w:bookmarkEnd w:id="133"/>
    </w:p>
    <w:p w14:paraId="266B6A0E">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 设计情况</w:t>
      </w:r>
    </w:p>
    <w:p w14:paraId="681E29B6">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干堆区采用分层摊铺、往返碾压的作业工艺。</w:t>
      </w:r>
    </w:p>
    <w:p w14:paraId="5651A09C">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来自压滤车间的滤饼，</w:t>
      </w:r>
      <w:r>
        <w:rPr>
          <w:rFonts w:hint="eastAsia" w:cs="Times New Roman"/>
          <w:color w:val="auto"/>
          <w:lang w:val="en-US" w:eastAsia="zh-CN"/>
        </w:rPr>
        <w:t>由自卸汽车</w:t>
      </w:r>
      <w:r>
        <w:rPr>
          <w:rFonts w:hint="eastAsia" w:ascii="Times New Roman" w:hAnsi="Times New Roman" w:eastAsia="宋体" w:cs="Times New Roman"/>
          <w:color w:val="auto"/>
          <w:lang w:val="en-US" w:eastAsia="zh-CN"/>
        </w:rPr>
        <w:t>通过临时通道运至进入干堆区的干堆指定作业单元卸车（晾晒），然后由履带式</w:t>
      </w:r>
      <w:r>
        <w:rPr>
          <w:rFonts w:hint="eastAsia" w:cs="Times New Roman"/>
          <w:color w:val="auto"/>
          <w:lang w:val="en-US" w:eastAsia="zh-CN"/>
        </w:rPr>
        <w:t>推土机</w:t>
      </w:r>
      <w:r>
        <w:rPr>
          <w:rFonts w:hint="eastAsia" w:ascii="Times New Roman" w:hAnsi="Times New Roman" w:eastAsia="宋体" w:cs="Times New Roman"/>
          <w:color w:val="auto"/>
          <w:lang w:val="en-US" w:eastAsia="zh-CN"/>
        </w:rPr>
        <w:t>机械摊铺、碾压。干堆作业单元是整个干堆库区的基本结构单元，为便于集中作业和减少覆盖面积，结合尾矿库地形，考虑方便运输车辆卸车，并留有一定的通道，根据该工程的处理规模及尾矿库地形，设计工作面宽度定为30m，长度为40m，面积按1200m</w:t>
      </w:r>
      <w:r>
        <w:rPr>
          <w:rFonts w:hint="eastAsia"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左右控制，每天堆填高度0.3m，可堆填约360m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d的尾砂量。堆填厚度可根据现场碾压试验确定，抗剪强度指标达到设计要求，达到碾压要求后再进行下一步的作业。由于尾矿干堆作业时间较长（13.4年），相当于长期在库内进行碾压作业，为确保尾矿库干堆运行全寿命周期的碾压质量，每个作业单元（约1200m</w:t>
      </w:r>
      <w:r>
        <w:rPr>
          <w:rFonts w:hint="eastAsia"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）均应进行压实度检查，频次为1次/层，检查项目包括干密度及含水率。</w:t>
      </w:r>
    </w:p>
    <w:p w14:paraId="3BE9182C">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堆积坝坝前35.0m范围压实度不小于0.92，且需采用全尾压滤尾砂，入场含水率介于11.0%～15.0%之间；其余不涉及坝体安全区域压实度要求可适当降低，但压实度不得小于0.90。达到碾压要求后再进行下一步的作业。严格按着每日工作计划运作，管理人员现场监控干堆作业情况，抽查铺层厚度，碾压密实度指标落实情况。如发生达不到技术要求现象，要求及时更正。</w:t>
      </w:r>
    </w:p>
    <w:p w14:paraId="774E093F">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宜将库区分为A、B及C三个区，A区为含拦挡主坝及1#副坝的北侧区域，B区为压滤车间以南的南侧区域，C区位于A区与B区之间，为堆存过程中预留的导排洪区域。在堆积过程中按A、B、C、A、B、C、A......循环分层碾压堆存，直至堆积至最终高程。每区分为若干个单元，每个单元内的尾矿分层厚度不大于0.3m，此厚度根据现场碾压试验确定。</w:t>
      </w:r>
    </w:p>
    <w:p w14:paraId="14E0255E">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由于极细尾尾砂压滤滤饼的含水率较最优含水率要大些，因此，极细尾尾砂滤饼应先入库摊铺晾晒、再进行碾压、堆筑。细尾及全尾尾砂滤饼含水率在最优含水率±3%之内，可直接入库摊铺、碾压及堆筑。为了作业需要及作业安全，推进过程中各单元间高差不宜大于2.0m，已完成作业的单元，以1%～2%坡度坡向排洪系统。</w:t>
      </w:r>
    </w:p>
    <w:p w14:paraId="46BE39E0">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 现场检查情况</w:t>
      </w:r>
    </w:p>
    <w:p w14:paraId="5ACD8419">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现场检查，目前干堆区采用</w:t>
      </w:r>
      <w:r>
        <w:rPr>
          <w:rFonts w:hint="default" w:ascii="Times New Roman" w:hAnsi="Times New Roman" w:eastAsia="宋体" w:cs="Times New Roman"/>
          <w:color w:val="auto"/>
          <w:lang w:val="en-US" w:eastAsia="zh-CN"/>
        </w:rPr>
        <w:t>采用分层摊铺、往返碾压的作业工艺</w:t>
      </w:r>
      <w:r>
        <w:rPr>
          <w:rFonts w:hint="eastAsia" w:ascii="Times New Roman" w:hAnsi="Times New Roman" w:eastAsia="宋体" w:cs="Times New Roman"/>
          <w:color w:val="auto"/>
          <w:lang w:val="en-US" w:eastAsia="zh-CN"/>
        </w:rPr>
        <w:t>。来自压滤车间的滤饼，通过临时通道运至进入干堆区的干堆指定作业单元卸车（晾晒），然后由履带式机械摊铺、碾压。</w:t>
      </w:r>
    </w:p>
    <w:p w14:paraId="30BDBF65">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目前尾矿坝主坝侧坝前干滩面高程为</w:t>
      </w:r>
      <w:r>
        <w:rPr>
          <w:rFonts w:hint="default" w:ascii="Times New Roman" w:hAnsi="Times New Roman" w:eastAsia="宋体" w:cs="Times New Roman"/>
          <w:color w:val="auto"/>
          <w:lang w:val="en-US" w:eastAsia="zh-CN"/>
        </w:rPr>
        <w:t>+8</w:t>
      </w:r>
      <w:r>
        <w:rPr>
          <w:rFonts w:hint="eastAsia" w:cs="Times New Roman"/>
          <w:color w:val="auto"/>
          <w:lang w:val="en-US" w:eastAsia="zh-CN"/>
        </w:rPr>
        <w:t>3.10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lang w:val="en-US" w:eastAsia="zh-CN"/>
        </w:rPr>
        <w:t>，以1%的坡度平整至新建排水斜槽处，</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#副坝侧坝前干滩面高程为</w:t>
      </w:r>
      <w:r>
        <w:rPr>
          <w:rFonts w:hint="default" w:ascii="Times New Roman" w:hAnsi="Times New Roman" w:eastAsia="宋体" w:cs="Times New Roman"/>
          <w:color w:val="auto"/>
          <w:lang w:val="en-US" w:eastAsia="zh-CN"/>
        </w:rPr>
        <w:t>+82.</w:t>
      </w:r>
      <w:r>
        <w:rPr>
          <w:rFonts w:hint="eastAsia" w:cs="Times New Roman"/>
          <w:color w:val="auto"/>
          <w:lang w:val="en-US" w:eastAsia="zh-CN"/>
        </w:rPr>
        <w:t>31</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lang w:val="en-US" w:eastAsia="zh-CN"/>
        </w:rPr>
        <w:t>，以1%的坡度平整至新建排水斜槽处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2#副坝侧坝前干滩面高程为</w:t>
      </w:r>
      <w:r>
        <w:rPr>
          <w:rFonts w:hint="default" w:ascii="Times New Roman" w:hAnsi="Times New Roman" w:eastAsia="宋体" w:cs="Times New Roman"/>
          <w:color w:val="auto"/>
          <w:lang w:val="en-US" w:eastAsia="zh-CN"/>
        </w:rPr>
        <w:t>+8</w:t>
      </w:r>
      <w:r>
        <w:rPr>
          <w:rFonts w:hint="eastAsia" w:cs="Times New Roman"/>
          <w:color w:val="auto"/>
          <w:lang w:val="en-US" w:eastAsia="zh-CN"/>
        </w:rPr>
        <w:t>3.29</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lang w:val="en-US" w:eastAsia="zh-CN"/>
        </w:rPr>
        <w:t>，以1%的坡度平整至新建排水斜槽处</w:t>
      </w:r>
      <w:r>
        <w:rPr>
          <w:rFonts w:hint="eastAsia" w:ascii="Times New Roman" w:hAnsi="Times New Roman" w:eastAsia="宋体" w:cs="Times New Roman"/>
          <w:color w:val="auto"/>
          <w:lang w:val="en-US" w:eastAsia="zh-CN"/>
        </w:rPr>
        <w:t>。目前A、B、C区都按设计要求形成干滩面区域，每区都分为若干个单元，每个单元内的尾矿分层厚度为</w:t>
      </w:r>
      <w:r>
        <w:rPr>
          <w:rFonts w:hint="eastAsia" w:ascii="Times New Roman" w:hAnsi="Times New Roman" w:eastAsia="宋体" w:cs="Times New Roman"/>
          <w:b w:val="0"/>
          <w:bCs w:val="0"/>
          <w:strike w:val="0"/>
          <w:dstrike w:val="0"/>
          <w:color w:val="auto"/>
          <w:u w:val="none"/>
          <w:lang w:val="en-US" w:eastAsia="zh-CN"/>
        </w:rPr>
        <w:t>0.3m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堆积坝坝前35.0m范围压实度检</w:t>
      </w:r>
      <w:r>
        <w:rPr>
          <w:rFonts w:hint="default" w:ascii="Times New Roman" w:hAnsi="Times New Roman" w:eastAsia="宋体" w:cs="Times New Roman"/>
          <w:b w:val="0"/>
          <w:bCs w:val="0"/>
          <w:strike w:val="0"/>
          <w:dstrike w:val="0"/>
          <w:color w:val="auto"/>
          <w:lang w:val="en-US" w:eastAsia="zh-CN"/>
        </w:rPr>
        <w:t>测</w:t>
      </w:r>
      <w:r>
        <w:rPr>
          <w:rFonts w:hint="eastAsia" w:cs="Times New Roman"/>
          <w:b w:val="0"/>
          <w:bCs w:val="0"/>
          <w:strike w:val="0"/>
          <w:dstrike w:val="0"/>
          <w:color w:val="auto"/>
          <w:lang w:val="en-US" w:eastAsia="zh-CN"/>
        </w:rPr>
        <w:t>：</w:t>
      </w:r>
      <w:r>
        <w:rPr>
          <w:rFonts w:hint="default" w:ascii="Times New Roman" w:hAnsi="Times New Roman" w:eastAsia="宋体" w:cs="Times New Roman"/>
          <w:b w:val="0"/>
          <w:bCs w:val="0"/>
          <w:strike w:val="0"/>
          <w:dstrike w:val="0"/>
          <w:color w:val="auto"/>
          <w:lang w:val="en-US" w:eastAsia="zh-CN"/>
        </w:rPr>
        <w:t>根据</w:t>
      </w:r>
      <w:r>
        <w:rPr>
          <w:rFonts w:hint="eastAsia" w:cs="Times New Roman"/>
          <w:b w:val="0"/>
          <w:bCs w:val="0"/>
          <w:strike w:val="0"/>
          <w:dstrike w:val="0"/>
          <w:color w:val="auto"/>
          <w:lang w:val="en-US" w:eastAsia="zh-CN"/>
        </w:rPr>
        <w:t>企业提供的</w:t>
      </w:r>
      <w:r>
        <w:rPr>
          <w:rFonts w:hint="default" w:ascii="Times New Roman" w:hAnsi="Times New Roman" w:eastAsia="宋体" w:cs="Times New Roman"/>
          <w:b w:val="0"/>
          <w:bCs w:val="0"/>
          <w:strike w:val="0"/>
          <w:dstrike w:val="0"/>
          <w:color w:val="auto"/>
          <w:lang w:val="en-US" w:eastAsia="zh-CN"/>
        </w:rPr>
        <w:t>检测数据，压实度在0.9</w:t>
      </w:r>
      <w:r>
        <w:rPr>
          <w:rFonts w:hint="eastAsia" w:cs="Times New Roman"/>
          <w:b w:val="0"/>
          <w:bCs w:val="0"/>
          <w:strike w:val="0"/>
          <w:dstrike w:val="0"/>
          <w:color w:val="auto"/>
          <w:lang w:val="en-US" w:eastAsia="zh-CN"/>
        </w:rPr>
        <w:t>2</w:t>
      </w:r>
      <w:r>
        <w:rPr>
          <w:rFonts w:hint="default" w:ascii="Times New Roman" w:hAnsi="Times New Roman" w:eastAsia="宋体" w:cs="Times New Roman"/>
          <w:b w:val="0"/>
          <w:bCs w:val="0"/>
          <w:strike w:val="0"/>
          <w:dstrike w:val="0"/>
          <w:color w:val="auto"/>
          <w:lang w:val="en-US" w:eastAsia="zh-CN"/>
        </w:rPr>
        <w:t>～0.9</w:t>
      </w:r>
      <w:r>
        <w:rPr>
          <w:rFonts w:hint="eastAsia" w:cs="Times New Roman"/>
          <w:b w:val="0"/>
          <w:bCs w:val="0"/>
          <w:strike w:val="0"/>
          <w:dstrike w:val="0"/>
          <w:color w:val="auto"/>
          <w:lang w:val="en-US" w:eastAsia="zh-CN"/>
        </w:rPr>
        <w:t>4</w:t>
      </w:r>
      <w:r>
        <w:rPr>
          <w:rFonts w:hint="default" w:ascii="Times New Roman" w:hAnsi="Times New Roman" w:eastAsia="宋体" w:cs="Times New Roman"/>
          <w:b w:val="0"/>
          <w:bCs w:val="0"/>
          <w:strike w:val="0"/>
          <w:dstrike w:val="0"/>
          <w:color w:val="auto"/>
          <w:lang w:val="en-US" w:eastAsia="zh-CN"/>
        </w:rPr>
        <w:t>之间</w:t>
      </w:r>
      <w:r>
        <w:rPr>
          <w:rFonts w:hint="eastAsia" w:ascii="Times New Roman" w:hAnsi="Times New Roman" w:eastAsia="宋体" w:cs="Times New Roman"/>
          <w:b w:val="0"/>
          <w:bCs w:val="0"/>
          <w:strike w:val="0"/>
          <w:dstrike w:val="0"/>
          <w:color w:val="auto"/>
          <w:lang w:val="en-US" w:eastAsia="zh-CN"/>
        </w:rPr>
        <w:t>，符合要求；</w:t>
      </w:r>
      <w:r>
        <w:rPr>
          <w:rFonts w:hint="default" w:ascii="Times New Roman" w:hAnsi="Times New Roman" w:eastAsia="宋体" w:cs="Times New Roman"/>
          <w:b w:val="0"/>
          <w:bCs w:val="0"/>
          <w:strike w:val="0"/>
          <w:dstrike w:val="0"/>
          <w:color w:val="auto"/>
          <w:lang w:val="en-US" w:eastAsia="zh-CN"/>
        </w:rPr>
        <w:t>尾砂含水率检测</w:t>
      </w:r>
      <w:r>
        <w:rPr>
          <w:rFonts w:hint="eastAsia" w:cs="Times New Roman"/>
          <w:b w:val="0"/>
          <w:bCs w:val="0"/>
          <w:strike w:val="0"/>
          <w:dstrike w:val="0"/>
          <w:color w:val="auto"/>
          <w:lang w:val="en-US" w:eastAsia="zh-CN"/>
        </w:rPr>
        <w:t>：</w:t>
      </w:r>
      <w:r>
        <w:rPr>
          <w:rFonts w:hint="default" w:ascii="Times New Roman" w:hAnsi="Times New Roman" w:eastAsia="宋体" w:cs="Times New Roman"/>
          <w:b w:val="0"/>
          <w:bCs w:val="0"/>
          <w:strike w:val="0"/>
          <w:dstrike w:val="0"/>
          <w:color w:val="auto"/>
          <w:lang w:val="en-US" w:eastAsia="zh-CN"/>
        </w:rPr>
        <w:t>根据</w:t>
      </w:r>
      <w:r>
        <w:rPr>
          <w:rFonts w:hint="eastAsia" w:cs="Times New Roman"/>
          <w:b w:val="0"/>
          <w:bCs w:val="0"/>
          <w:strike w:val="0"/>
          <w:dstrike w:val="0"/>
          <w:color w:val="auto"/>
          <w:lang w:val="en-US" w:eastAsia="zh-CN"/>
        </w:rPr>
        <w:t>企业提供的</w:t>
      </w:r>
      <w:r>
        <w:rPr>
          <w:rFonts w:hint="default" w:ascii="Times New Roman" w:hAnsi="Times New Roman" w:eastAsia="宋体" w:cs="Times New Roman"/>
          <w:b w:val="0"/>
          <w:bCs w:val="0"/>
          <w:strike w:val="0"/>
          <w:dstrike w:val="0"/>
          <w:color w:val="auto"/>
          <w:lang w:val="en-US" w:eastAsia="zh-CN"/>
        </w:rPr>
        <w:t>检测数据，尾矿含水率在</w:t>
      </w:r>
      <w:r>
        <w:rPr>
          <w:rFonts w:hint="eastAsia" w:cs="Times New Roman"/>
          <w:b w:val="0"/>
          <w:bCs w:val="0"/>
          <w:strike w:val="0"/>
          <w:dstrike w:val="0"/>
          <w:color w:val="auto"/>
          <w:lang w:val="en-US" w:eastAsia="zh-CN"/>
        </w:rPr>
        <w:t>11.05</w:t>
      </w:r>
      <w:r>
        <w:rPr>
          <w:rFonts w:hint="default" w:ascii="Times New Roman" w:hAnsi="Times New Roman" w:eastAsia="宋体" w:cs="Times New Roman"/>
          <w:b w:val="0"/>
          <w:bCs w:val="0"/>
          <w:strike w:val="0"/>
          <w:dstrike w:val="0"/>
          <w:color w:val="auto"/>
          <w:lang w:val="en-US" w:eastAsia="zh-CN"/>
        </w:rPr>
        <w:t>%～</w:t>
      </w:r>
      <w:r>
        <w:rPr>
          <w:rFonts w:hint="eastAsia" w:cs="Times New Roman"/>
          <w:b w:val="0"/>
          <w:bCs w:val="0"/>
          <w:strike w:val="0"/>
          <w:dstrike w:val="0"/>
          <w:color w:val="auto"/>
          <w:lang w:val="en-US" w:eastAsia="zh-CN"/>
        </w:rPr>
        <w:t>14.52</w:t>
      </w:r>
      <w:r>
        <w:rPr>
          <w:rFonts w:hint="default" w:ascii="Times New Roman" w:hAnsi="Times New Roman" w:eastAsia="宋体" w:cs="Times New Roman"/>
          <w:b w:val="0"/>
          <w:bCs w:val="0"/>
          <w:strike w:val="0"/>
          <w:dstrike w:val="0"/>
          <w:color w:val="auto"/>
          <w:lang w:val="en-US" w:eastAsia="zh-CN"/>
        </w:rPr>
        <w:t>%之间</w:t>
      </w:r>
      <w:r>
        <w:rPr>
          <w:rFonts w:hint="eastAsia" w:ascii="Times New Roman" w:hAnsi="Times New Roman" w:eastAsia="宋体" w:cs="Times New Roman"/>
          <w:b w:val="0"/>
          <w:bCs w:val="0"/>
          <w:strike w:val="0"/>
          <w:dstrike w:val="0"/>
          <w:color w:val="auto"/>
          <w:lang w:val="en-US" w:eastAsia="zh-CN"/>
        </w:rPr>
        <w:t>，符合</w:t>
      </w:r>
      <w:r>
        <w:rPr>
          <w:rFonts w:hint="eastAsia" w:cs="Times New Roman"/>
          <w:b w:val="0"/>
          <w:bCs w:val="0"/>
          <w:strike w:val="0"/>
          <w:dstrike w:val="0"/>
          <w:color w:val="auto"/>
          <w:lang w:val="en-US" w:eastAsia="zh-CN"/>
        </w:rPr>
        <w:t>设计</w:t>
      </w:r>
      <w:r>
        <w:rPr>
          <w:rFonts w:hint="eastAsia" w:ascii="Times New Roman" w:hAnsi="Times New Roman" w:eastAsia="宋体" w:cs="Times New Roman"/>
          <w:b w:val="0"/>
          <w:bCs w:val="0"/>
          <w:strike w:val="0"/>
          <w:dstrike w:val="0"/>
          <w:color w:val="auto"/>
          <w:lang w:val="en-US" w:eastAsia="zh-CN"/>
        </w:rPr>
        <w:t>要求。</w:t>
      </w:r>
    </w:p>
    <w:p w14:paraId="3B8E9495">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135" w:name="_Toc30758"/>
      <w:bookmarkStart w:id="136" w:name="_Toc19389"/>
      <w:r>
        <w:rPr>
          <w:rFonts w:hint="eastAsia" w:ascii="Times New Roman" w:hAnsi="Times New Roman" w:eastAsia="黑体" w:cs="Times New Roman"/>
          <w:b/>
          <w:color w:val="auto"/>
          <w:kern w:val="2"/>
          <w:sz w:val="28"/>
          <w:szCs w:val="24"/>
          <w:lang w:val="en-US" w:eastAsia="zh-CN" w:bidi="ar-SA"/>
        </w:rPr>
        <w:t>2.6.</w:t>
      </w:r>
      <w:r>
        <w:rPr>
          <w:rFonts w:hint="eastAsia" w:eastAsia="黑体" w:cs="Times New Roman"/>
          <w:b/>
          <w:color w:val="auto"/>
          <w:kern w:val="2"/>
          <w:sz w:val="28"/>
          <w:szCs w:val="24"/>
          <w:lang w:val="en-US" w:eastAsia="zh-CN" w:bidi="ar-SA"/>
        </w:rPr>
        <w:t>5</w:t>
      </w:r>
      <w:r>
        <w:rPr>
          <w:rFonts w:hint="eastAsia" w:ascii="Times New Roman" w:hAnsi="Times New Roman" w:eastAsia="黑体" w:cs="Times New Roman"/>
          <w:b/>
          <w:color w:val="auto"/>
          <w:kern w:val="2"/>
          <w:sz w:val="28"/>
          <w:szCs w:val="24"/>
          <w:lang w:val="en-US" w:eastAsia="zh-CN" w:bidi="ar-SA"/>
        </w:rPr>
        <w:t xml:space="preserve"> 排渗设施</w:t>
      </w:r>
      <w:bookmarkEnd w:id="134"/>
      <w:bookmarkEnd w:id="135"/>
      <w:bookmarkEnd w:id="136"/>
    </w:p>
    <w:p w14:paraId="66EB34E7">
      <w:pPr>
        <w:rPr>
          <w:rFonts w:hint="default"/>
          <w:color w:val="auto"/>
          <w:lang w:val="en-US" w:eastAsia="zh-CN"/>
        </w:rPr>
      </w:pPr>
      <w:r>
        <w:rPr>
          <w:rFonts w:hint="default"/>
          <w:color w:val="auto"/>
          <w:lang w:val="en-US" w:eastAsia="zh-CN"/>
        </w:rPr>
        <w:t>1</w:t>
      </w:r>
      <w:r>
        <w:rPr>
          <w:rFonts w:hint="eastAsia"/>
          <w:color w:val="auto"/>
          <w:lang w:val="en-US" w:eastAsia="zh-CN"/>
        </w:rPr>
        <w:t>. 设计情况</w:t>
      </w:r>
    </w:p>
    <w:p w14:paraId="509C174A">
      <w:pPr>
        <w:rPr>
          <w:rFonts w:hint="default"/>
          <w:color w:val="auto"/>
          <w:lang w:val="en-US" w:eastAsia="zh-CN"/>
        </w:rPr>
      </w:pPr>
      <w:r>
        <w:rPr>
          <w:rFonts w:hint="default"/>
          <w:color w:val="auto"/>
          <w:lang w:val="en-US" w:eastAsia="zh-CN"/>
        </w:rPr>
        <w:t>在尾矿库</w:t>
      </w:r>
      <w:r>
        <w:rPr>
          <w:rFonts w:hint="eastAsia"/>
          <w:color w:val="auto"/>
          <w:lang w:val="en-US" w:eastAsia="zh-CN"/>
        </w:rPr>
        <w:t>+</w:t>
      </w:r>
      <w:r>
        <w:rPr>
          <w:rFonts w:hint="default"/>
          <w:color w:val="auto"/>
          <w:lang w:val="en-US" w:eastAsia="zh-CN"/>
        </w:rPr>
        <w:t>80.6m及</w:t>
      </w:r>
      <w:r>
        <w:rPr>
          <w:rFonts w:hint="eastAsia"/>
          <w:color w:val="auto"/>
          <w:lang w:val="en-US" w:eastAsia="zh-CN"/>
        </w:rPr>
        <w:t>+</w:t>
      </w:r>
      <w:r>
        <w:rPr>
          <w:rFonts w:hint="default"/>
          <w:color w:val="auto"/>
          <w:lang w:val="en-US" w:eastAsia="zh-CN"/>
        </w:rPr>
        <w:t>84.0m标高沿坝轴线每间距25m设置碎石</w:t>
      </w:r>
      <w:r>
        <w:rPr>
          <w:rFonts w:hint="eastAsia"/>
          <w:color w:val="auto"/>
          <w:lang w:val="en-US" w:eastAsia="zh-CN"/>
        </w:rPr>
        <w:t>（</w:t>
      </w:r>
      <w:r>
        <w:rPr>
          <w:rFonts w:hint="default"/>
          <w:color w:val="auto"/>
          <w:lang w:val="en-US" w:eastAsia="zh-CN"/>
        </w:rPr>
        <w:t>或瓜米石</w:t>
      </w:r>
      <w:r>
        <w:rPr>
          <w:rFonts w:hint="eastAsia"/>
          <w:color w:val="auto"/>
          <w:lang w:val="en-US" w:eastAsia="zh-CN"/>
        </w:rPr>
        <w:t>）</w:t>
      </w:r>
      <w:r>
        <w:rPr>
          <w:rFonts w:hint="default"/>
          <w:color w:val="auto"/>
          <w:lang w:val="en-US" w:eastAsia="zh-CN"/>
        </w:rPr>
        <w:t>排渗盲沟</w:t>
      </w:r>
      <w:r>
        <w:rPr>
          <w:rFonts w:hint="eastAsia"/>
          <w:color w:val="auto"/>
          <w:lang w:val="en-US" w:eastAsia="zh-CN"/>
        </w:rPr>
        <w:t>，</w:t>
      </w:r>
      <w:r>
        <w:rPr>
          <w:rFonts w:hint="default"/>
          <w:color w:val="auto"/>
          <w:lang w:val="en-US" w:eastAsia="zh-CN"/>
        </w:rPr>
        <w:t>盲沟长20m</w:t>
      </w:r>
      <w:r>
        <w:rPr>
          <w:rFonts w:hint="default" w:ascii="Times New Roman" w:hAnsi="Times New Roman" w:eastAsia="宋体" w:cs="Times New Roman"/>
          <w:color w:val="auto"/>
          <w:sz w:val="28"/>
          <w:szCs w:val="28"/>
        </w:rPr>
        <w:t>～</w:t>
      </w:r>
      <w:r>
        <w:rPr>
          <w:rFonts w:hint="default"/>
          <w:color w:val="auto"/>
          <w:lang w:val="en-US" w:eastAsia="zh-CN"/>
        </w:rPr>
        <w:t>30m</w:t>
      </w:r>
      <w:r>
        <w:rPr>
          <w:rFonts w:hint="eastAsia"/>
          <w:color w:val="auto"/>
          <w:lang w:val="en-US" w:eastAsia="zh-CN"/>
        </w:rPr>
        <w:t>，</w:t>
      </w:r>
      <w:r>
        <w:rPr>
          <w:rFonts w:hint="default"/>
          <w:color w:val="auto"/>
          <w:lang w:val="en-US" w:eastAsia="zh-CN"/>
        </w:rPr>
        <w:t>盲沟底坡坡向下游</w:t>
      </w:r>
      <w:r>
        <w:rPr>
          <w:rFonts w:hint="eastAsia"/>
          <w:color w:val="auto"/>
          <w:lang w:val="en-US" w:eastAsia="zh-CN"/>
        </w:rPr>
        <w:t>，</w:t>
      </w:r>
      <w:r>
        <w:rPr>
          <w:rFonts w:hint="default"/>
          <w:color w:val="auto"/>
          <w:lang w:val="en-US" w:eastAsia="zh-CN"/>
        </w:rPr>
        <w:t>坡度不小于2%。盲沟倒梯形，底宽0.2m，顶宽0.4m，高0.2m。在排渗盲沟的进水口位置平行坝轴线方向设置条带状收集渗水层。收集渗水层采用厚20cm、宽2m的碎石</w:t>
      </w:r>
      <w:r>
        <w:rPr>
          <w:rFonts w:hint="eastAsia"/>
          <w:color w:val="auto"/>
          <w:lang w:val="en-US" w:eastAsia="zh-CN"/>
        </w:rPr>
        <w:t>（</w:t>
      </w:r>
      <w:r>
        <w:rPr>
          <w:rFonts w:hint="default"/>
          <w:color w:val="auto"/>
          <w:lang w:val="en-US" w:eastAsia="zh-CN"/>
        </w:rPr>
        <w:t>或瓜米石</w:t>
      </w:r>
      <w:r>
        <w:rPr>
          <w:rFonts w:hint="eastAsia"/>
          <w:color w:val="auto"/>
          <w:lang w:val="en-US" w:eastAsia="zh-CN"/>
        </w:rPr>
        <w:t>）</w:t>
      </w:r>
      <w:r>
        <w:rPr>
          <w:rFonts w:hint="default"/>
          <w:color w:val="auto"/>
          <w:lang w:val="en-US" w:eastAsia="zh-CN"/>
        </w:rPr>
        <w:t>层。</w:t>
      </w:r>
    </w:p>
    <w:p w14:paraId="387AC182">
      <w:pPr>
        <w:rPr>
          <w:rFonts w:hint="eastAsia"/>
          <w:color w:val="auto"/>
          <w:lang w:val="en-US" w:eastAsia="zh-CN"/>
        </w:rPr>
      </w:pPr>
      <w:r>
        <w:rPr>
          <w:rFonts w:hint="eastAsia"/>
          <w:color w:val="auto"/>
          <w:lang w:val="en-US" w:eastAsia="zh-CN"/>
        </w:rPr>
        <w:t xml:space="preserve">2. </w:t>
      </w:r>
      <w:r>
        <w:rPr>
          <w:rFonts w:hint="eastAsia" w:ascii="Times New Roman" w:hAnsi="Times New Roman" w:eastAsia="宋体" w:cs="Times New Roman"/>
          <w:color w:val="auto"/>
          <w:lang w:val="en-US" w:eastAsia="zh-CN"/>
        </w:rPr>
        <w:t>现场检查情况</w:t>
      </w:r>
    </w:p>
    <w:p w14:paraId="44962175">
      <w:pPr>
        <w:rPr>
          <w:rFonts w:hint="default"/>
          <w:color w:val="auto"/>
          <w:lang w:val="en-US" w:eastAsia="zh-CN"/>
        </w:rPr>
      </w:pPr>
      <w:r>
        <w:rPr>
          <w:rFonts w:hint="eastAsia"/>
          <w:color w:val="auto"/>
          <w:lang w:val="en-US" w:eastAsia="zh-CN"/>
        </w:rPr>
        <w:t>经查看现场和施工资料，</w:t>
      </w:r>
      <w:r>
        <w:rPr>
          <w:rFonts w:hint="eastAsia"/>
          <w:color w:val="auto"/>
          <w:lang w:val="en-US" w:eastAsia="zh-CN"/>
        </w:rPr>
        <w:t>初期坝底部和堆积坝第三级子坝坡脚均设排渗管，管口与排水沟连通。</w:t>
      </w:r>
      <w:r>
        <w:rPr>
          <w:rFonts w:hint="eastAsia"/>
          <w:color w:val="auto"/>
          <w:lang w:val="en-US" w:eastAsia="zh-CN"/>
        </w:rPr>
        <w:t>在</w:t>
      </w:r>
      <w:r>
        <w:rPr>
          <w:rFonts w:hint="default"/>
          <w:color w:val="auto"/>
          <w:lang w:val="en-US" w:eastAsia="zh-CN"/>
        </w:rPr>
        <w:t>尾矿坝（主坝</w:t>
      </w:r>
      <w:r>
        <w:rPr>
          <w:rFonts w:hint="eastAsia"/>
          <w:color w:val="auto"/>
          <w:lang w:val="en-US" w:eastAsia="zh-CN"/>
        </w:rPr>
        <w:t>、</w:t>
      </w:r>
      <w:r>
        <w:rPr>
          <w:rFonts w:hint="default"/>
          <w:color w:val="auto"/>
          <w:lang w:val="en-US" w:eastAsia="zh-CN"/>
        </w:rPr>
        <w:t>1#副坝</w:t>
      </w:r>
      <w:r>
        <w:rPr>
          <w:rFonts w:hint="eastAsia"/>
          <w:color w:val="auto"/>
          <w:lang w:val="en-US" w:eastAsia="zh-CN"/>
        </w:rPr>
        <w:t>及2</w:t>
      </w:r>
      <w:r>
        <w:rPr>
          <w:rFonts w:hint="default"/>
          <w:color w:val="auto"/>
          <w:lang w:val="en-US" w:eastAsia="zh-CN"/>
        </w:rPr>
        <w:t>#副坝）堆积坝前</w:t>
      </w:r>
      <w:r>
        <w:rPr>
          <w:rFonts w:hint="eastAsia"/>
          <w:color w:val="auto"/>
          <w:lang w:val="en-US" w:eastAsia="zh-CN"/>
        </w:rPr>
        <w:t>+</w:t>
      </w:r>
      <w:r>
        <w:rPr>
          <w:rFonts w:hint="default"/>
          <w:color w:val="auto"/>
          <w:lang w:val="en-US" w:eastAsia="zh-CN"/>
        </w:rPr>
        <w:t>80.6m高程干滩面每间隔25.0m设置</w:t>
      </w:r>
      <w:r>
        <w:rPr>
          <w:rFonts w:hint="eastAsia"/>
          <w:color w:val="auto"/>
          <w:lang w:val="en-US" w:eastAsia="zh-CN"/>
        </w:rPr>
        <w:t>了</w:t>
      </w:r>
      <w:r>
        <w:rPr>
          <w:rFonts w:hint="default"/>
          <w:color w:val="auto"/>
          <w:lang w:val="en-US" w:eastAsia="zh-CN"/>
        </w:rPr>
        <w:t>排渗盲沟，按要求铺设了聚丙烯土工格栅</w:t>
      </w:r>
      <w:r>
        <w:rPr>
          <w:rFonts w:hint="eastAsia"/>
          <w:color w:val="auto"/>
          <w:lang w:val="en-US" w:eastAsia="zh-CN"/>
        </w:rPr>
        <w:t>，</w:t>
      </w:r>
      <w:r>
        <w:rPr>
          <w:rFonts w:hint="default"/>
          <w:color w:val="auto"/>
          <w:lang w:val="en-US" w:eastAsia="zh-CN"/>
        </w:rPr>
        <w:t>排渗盲沟结构尺寸、用材符合设计要求。</w:t>
      </w:r>
      <w:r>
        <w:rPr>
          <w:rFonts w:hint="eastAsia"/>
          <w:color w:val="auto"/>
          <w:lang w:val="en-US" w:eastAsia="zh-CN"/>
        </w:rPr>
        <w:t>目前+84.0m平台暂未完全形成，故暂未设置排渗设施</w:t>
      </w:r>
      <w:r>
        <w:rPr>
          <w:rFonts w:hint="default"/>
          <w:color w:val="auto"/>
          <w:lang w:val="en-US" w:eastAsia="zh-CN"/>
        </w:rPr>
        <w:t>。</w:t>
      </w:r>
    </w:p>
    <w:p w14:paraId="6B4549B2">
      <w:pPr>
        <w:pStyle w:val="4"/>
        <w:bidi w:val="0"/>
        <w:rPr>
          <w:rFonts w:hint="default"/>
          <w:color w:val="auto"/>
          <w:lang w:val="en-US" w:eastAsia="zh-CN"/>
        </w:rPr>
      </w:pPr>
      <w:bookmarkStart w:id="137" w:name="_Toc17259"/>
      <w:bookmarkStart w:id="138" w:name="_Toc27587"/>
      <w:bookmarkStart w:id="139" w:name="_Toc20695"/>
      <w:bookmarkStart w:id="140" w:name="_Toc16718"/>
      <w:r>
        <w:rPr>
          <w:rFonts w:hint="default"/>
          <w:color w:val="auto"/>
          <w:lang w:val="en-US" w:eastAsia="zh-CN"/>
        </w:rPr>
        <w:t>2.6.</w:t>
      </w:r>
      <w:r>
        <w:rPr>
          <w:rFonts w:hint="eastAsia"/>
          <w:color w:val="auto"/>
          <w:lang w:val="en-US" w:eastAsia="zh-CN"/>
        </w:rPr>
        <w:t xml:space="preserve">6 </w:t>
      </w:r>
      <w:r>
        <w:rPr>
          <w:rFonts w:hint="default"/>
          <w:color w:val="auto"/>
          <w:lang w:val="en-US" w:eastAsia="zh-CN"/>
        </w:rPr>
        <w:t>安全监测设施</w:t>
      </w:r>
      <w:bookmarkEnd w:id="137"/>
      <w:bookmarkEnd w:id="138"/>
      <w:bookmarkEnd w:id="139"/>
      <w:bookmarkEnd w:id="140"/>
    </w:p>
    <w:p w14:paraId="7D10B2D1">
      <w:pPr>
        <w:rPr>
          <w:rFonts w:hint="default"/>
          <w:color w:val="auto"/>
          <w:lang w:val="en-US" w:eastAsia="zh-CN"/>
        </w:rPr>
      </w:pPr>
      <w:r>
        <w:rPr>
          <w:rFonts w:hint="default"/>
          <w:color w:val="auto"/>
          <w:lang w:val="en-US" w:eastAsia="zh-CN"/>
        </w:rPr>
        <w:t>经现场检查，宜丰新庄铜铅锌矿尾矿库设有人工安全监测设施和在线监测设施，具体情况如下：</w:t>
      </w:r>
    </w:p>
    <w:p w14:paraId="2C749AF3">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人工监测设施</w:t>
      </w:r>
    </w:p>
    <w:p w14:paraId="67EA9FFD">
      <w:pPr>
        <w:rPr>
          <w:rFonts w:hint="default"/>
          <w:color w:val="auto"/>
          <w:lang w:val="en-US" w:eastAsia="zh-CN"/>
        </w:rPr>
      </w:pPr>
      <w:r>
        <w:rPr>
          <w:rFonts w:hint="default"/>
          <w:color w:val="auto"/>
          <w:lang w:val="en-US" w:eastAsia="zh-CN"/>
        </w:rPr>
        <w:t>目前尾矿库人工监测设施有：主坝13个位移观测桩</w:t>
      </w:r>
      <w:r>
        <w:rPr>
          <w:rFonts w:hint="eastAsia"/>
          <w:color w:val="auto"/>
          <w:lang w:val="en-US" w:eastAsia="zh-CN"/>
        </w:rPr>
        <w:t>（</w:t>
      </w:r>
      <w:r>
        <w:rPr>
          <w:rFonts w:hint="default"/>
          <w:color w:val="auto"/>
          <w:lang w:val="en-US" w:eastAsia="zh-CN"/>
        </w:rPr>
        <w:t>坝脚1个</w:t>
      </w:r>
      <w:r>
        <w:rPr>
          <w:rFonts w:hint="eastAsia"/>
          <w:color w:val="auto"/>
          <w:lang w:val="en-US" w:eastAsia="zh-CN"/>
        </w:rPr>
        <w:t>，+</w:t>
      </w:r>
      <w:r>
        <w:rPr>
          <w:rFonts w:hint="default"/>
          <w:color w:val="auto"/>
          <w:lang w:val="en-US" w:eastAsia="zh-CN"/>
        </w:rPr>
        <w:t>59.1m平台3个、</w:t>
      </w:r>
      <w:r>
        <w:rPr>
          <w:rFonts w:hint="eastAsia"/>
          <w:color w:val="auto"/>
          <w:lang w:val="en-US" w:eastAsia="zh-CN"/>
        </w:rPr>
        <w:t>+</w:t>
      </w:r>
      <w:r>
        <w:rPr>
          <w:rFonts w:hint="default"/>
          <w:color w:val="auto"/>
          <w:lang w:val="en-US" w:eastAsia="zh-CN"/>
        </w:rPr>
        <w:t>72.0m平台3个、</w:t>
      </w:r>
      <w:r>
        <w:rPr>
          <w:rFonts w:hint="eastAsia"/>
          <w:color w:val="auto"/>
          <w:lang w:val="en-US" w:eastAsia="zh-CN"/>
        </w:rPr>
        <w:t>+</w:t>
      </w:r>
      <w:r>
        <w:rPr>
          <w:rFonts w:hint="default"/>
          <w:color w:val="auto"/>
          <w:lang w:val="en-US" w:eastAsia="zh-CN"/>
        </w:rPr>
        <w:t>74.0m平台3个、</w:t>
      </w:r>
      <w:r>
        <w:rPr>
          <w:rFonts w:hint="eastAsia"/>
          <w:color w:val="auto"/>
          <w:lang w:val="en-US" w:eastAsia="zh-CN"/>
        </w:rPr>
        <w:t>+</w:t>
      </w:r>
      <w:r>
        <w:rPr>
          <w:rFonts w:hint="default"/>
          <w:color w:val="auto"/>
          <w:lang w:val="en-US" w:eastAsia="zh-CN"/>
        </w:rPr>
        <w:t>80.6m坝面3个</w:t>
      </w:r>
      <w:r>
        <w:rPr>
          <w:rFonts w:hint="eastAsia"/>
          <w:color w:val="auto"/>
          <w:lang w:val="en-US" w:eastAsia="zh-CN"/>
        </w:rPr>
        <w:t>）</w:t>
      </w:r>
      <w:r>
        <w:rPr>
          <w:rFonts w:hint="default"/>
          <w:color w:val="auto"/>
          <w:lang w:val="en-US" w:eastAsia="zh-CN"/>
        </w:rPr>
        <w:t>，5个浸润线观测孔</w:t>
      </w:r>
      <w:r>
        <w:rPr>
          <w:rFonts w:hint="eastAsia"/>
          <w:color w:val="auto"/>
          <w:lang w:val="en-US" w:eastAsia="zh-CN"/>
        </w:rPr>
        <w:t>（+</w:t>
      </w:r>
      <w:r>
        <w:rPr>
          <w:rFonts w:hint="default"/>
          <w:color w:val="auto"/>
          <w:lang w:val="en-US" w:eastAsia="zh-CN"/>
        </w:rPr>
        <w:t>72.0m平台1个、</w:t>
      </w:r>
      <w:r>
        <w:rPr>
          <w:rFonts w:hint="eastAsia"/>
          <w:color w:val="auto"/>
          <w:lang w:val="en-US" w:eastAsia="zh-CN"/>
        </w:rPr>
        <w:t>+</w:t>
      </w:r>
      <w:r>
        <w:rPr>
          <w:rFonts w:hint="default"/>
          <w:color w:val="auto"/>
          <w:lang w:val="en-US" w:eastAsia="zh-CN"/>
        </w:rPr>
        <w:t>74.0m平台2个、</w:t>
      </w:r>
      <w:r>
        <w:rPr>
          <w:rFonts w:hint="eastAsia"/>
          <w:color w:val="auto"/>
          <w:lang w:val="en-US" w:eastAsia="zh-CN"/>
        </w:rPr>
        <w:t>+</w:t>
      </w:r>
      <w:r>
        <w:rPr>
          <w:rFonts w:hint="default"/>
          <w:color w:val="auto"/>
          <w:lang w:val="en-US" w:eastAsia="zh-CN"/>
        </w:rPr>
        <w:t>80.6m坝面2个</w:t>
      </w:r>
      <w:r>
        <w:rPr>
          <w:rFonts w:hint="eastAsia"/>
          <w:color w:val="auto"/>
          <w:lang w:val="en-US" w:eastAsia="zh-CN"/>
        </w:rPr>
        <w:t>）</w:t>
      </w:r>
      <w:r>
        <w:rPr>
          <w:rFonts w:hint="default"/>
          <w:color w:val="auto"/>
          <w:lang w:val="en-US" w:eastAsia="zh-CN"/>
        </w:rPr>
        <w:t>，1#副坝上2个位移观测桩</w:t>
      </w:r>
      <w:r>
        <w:rPr>
          <w:rFonts w:hint="eastAsia"/>
          <w:color w:val="auto"/>
          <w:lang w:val="en-US" w:eastAsia="zh-CN"/>
        </w:rPr>
        <w:t>（</w:t>
      </w:r>
      <w:r>
        <w:rPr>
          <w:rFonts w:hint="default"/>
          <w:color w:val="auto"/>
          <w:lang w:val="en-US" w:eastAsia="zh-CN"/>
        </w:rPr>
        <w:t>标高</w:t>
      </w:r>
      <w:r>
        <w:rPr>
          <w:rFonts w:hint="eastAsia"/>
          <w:color w:val="auto"/>
          <w:lang w:val="en-US" w:eastAsia="zh-CN"/>
        </w:rPr>
        <w:t>+</w:t>
      </w:r>
      <w:r>
        <w:rPr>
          <w:rFonts w:hint="default"/>
          <w:color w:val="auto"/>
          <w:lang w:val="en-US" w:eastAsia="zh-CN"/>
        </w:rPr>
        <w:t>80.6m坝顶面2个</w:t>
      </w:r>
      <w:r>
        <w:rPr>
          <w:rFonts w:hint="eastAsia"/>
          <w:color w:val="auto"/>
          <w:lang w:val="en-US" w:eastAsia="zh-CN"/>
        </w:rPr>
        <w:t>）</w:t>
      </w:r>
      <w:r>
        <w:rPr>
          <w:rFonts w:hint="default"/>
          <w:color w:val="auto"/>
          <w:lang w:val="en-US" w:eastAsia="zh-CN"/>
        </w:rPr>
        <w:t>，2#副坝上3个位移观测桩</w:t>
      </w:r>
      <w:r>
        <w:rPr>
          <w:rFonts w:hint="eastAsia"/>
          <w:color w:val="auto"/>
          <w:lang w:val="en-US" w:eastAsia="zh-CN"/>
        </w:rPr>
        <w:t>（</w:t>
      </w:r>
      <w:r>
        <w:rPr>
          <w:rFonts w:hint="default"/>
          <w:color w:val="auto"/>
          <w:lang w:val="en-US" w:eastAsia="zh-CN"/>
        </w:rPr>
        <w:t>标高</w:t>
      </w:r>
      <w:r>
        <w:rPr>
          <w:rFonts w:hint="eastAsia"/>
          <w:color w:val="auto"/>
          <w:lang w:val="en-US" w:eastAsia="zh-CN"/>
        </w:rPr>
        <w:t>+</w:t>
      </w:r>
      <w:r>
        <w:rPr>
          <w:rFonts w:hint="default"/>
          <w:color w:val="auto"/>
          <w:lang w:val="en-US" w:eastAsia="zh-CN"/>
        </w:rPr>
        <w:t>80.6m坝顶面</w:t>
      </w:r>
      <w:r>
        <w:rPr>
          <w:rFonts w:hint="eastAsia"/>
          <w:color w:val="auto"/>
          <w:lang w:val="en-US" w:eastAsia="zh-CN"/>
        </w:rPr>
        <w:t>3</w:t>
      </w:r>
      <w:r>
        <w:rPr>
          <w:rFonts w:hint="default"/>
          <w:color w:val="auto"/>
          <w:lang w:val="en-US" w:eastAsia="zh-CN"/>
        </w:rPr>
        <w:t>个</w:t>
      </w:r>
      <w:r>
        <w:rPr>
          <w:rFonts w:hint="eastAsia"/>
          <w:color w:val="auto"/>
          <w:lang w:val="en-US" w:eastAsia="zh-CN"/>
        </w:rPr>
        <w:t>）</w:t>
      </w:r>
      <w:r>
        <w:rPr>
          <w:rFonts w:hint="default"/>
          <w:color w:val="auto"/>
          <w:lang w:val="en-US" w:eastAsia="zh-CN"/>
        </w:rPr>
        <w:t>。</w:t>
      </w:r>
    </w:p>
    <w:p w14:paraId="115CCAA2">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在线监测</w:t>
      </w:r>
    </w:p>
    <w:p w14:paraId="68EDC8EE">
      <w:pPr>
        <w:rPr>
          <w:rFonts w:hint="default"/>
          <w:strike w:val="0"/>
          <w:dstrike w:val="0"/>
          <w:color w:val="auto"/>
          <w:lang w:val="en-US" w:eastAsia="zh-CN"/>
        </w:rPr>
      </w:pPr>
      <w:r>
        <w:rPr>
          <w:rFonts w:hint="default"/>
          <w:color w:val="auto"/>
          <w:lang w:val="en-US" w:eastAsia="zh-CN"/>
        </w:rPr>
        <w:t>目前尾矿库在线监测设施有：尾矿坝主坝</w:t>
      </w:r>
      <w:r>
        <w:rPr>
          <w:rFonts w:hint="eastAsia"/>
          <w:color w:val="auto"/>
          <w:lang w:val="en-US" w:eastAsia="zh-CN"/>
        </w:rPr>
        <w:t>+</w:t>
      </w:r>
      <w:r>
        <w:rPr>
          <w:rFonts w:hint="default"/>
          <w:color w:val="auto"/>
          <w:lang w:val="en-US" w:eastAsia="zh-CN"/>
        </w:rPr>
        <w:t>72.0m高程设置2个在线位移观测点，</w:t>
      </w:r>
      <w:r>
        <w:rPr>
          <w:rFonts w:hint="eastAsia"/>
          <w:color w:val="auto"/>
          <w:lang w:val="en-US" w:eastAsia="zh-CN"/>
        </w:rPr>
        <w:t>+</w:t>
      </w:r>
      <w:r>
        <w:rPr>
          <w:rFonts w:hint="default"/>
          <w:color w:val="auto"/>
          <w:lang w:val="en-US" w:eastAsia="zh-CN"/>
        </w:rPr>
        <w:t>74.0m高程设置2个浸润线观测点；共布置了4个在线视频监测，分别在主坝初期坝</w:t>
      </w:r>
      <w:r>
        <w:rPr>
          <w:rFonts w:hint="eastAsia"/>
          <w:color w:val="auto"/>
          <w:lang w:val="en-US" w:eastAsia="zh-CN"/>
        </w:rPr>
        <w:t>+</w:t>
      </w:r>
      <w:r>
        <w:rPr>
          <w:rFonts w:hint="default"/>
          <w:color w:val="auto"/>
          <w:lang w:val="en-US" w:eastAsia="zh-CN"/>
        </w:rPr>
        <w:t>72.0m高程布置了1个，主坝堆积坝左侧</w:t>
      </w:r>
      <w:r>
        <w:rPr>
          <w:rFonts w:hint="eastAsia"/>
          <w:color w:val="auto"/>
          <w:lang w:val="en-US" w:eastAsia="zh-CN"/>
        </w:rPr>
        <w:t>+</w:t>
      </w:r>
      <w:r>
        <w:rPr>
          <w:rFonts w:hint="default"/>
          <w:color w:val="auto"/>
          <w:lang w:val="en-US" w:eastAsia="zh-CN"/>
        </w:rPr>
        <w:t>80.0m高程设置了2个，在排洪系统附近设置水位监测1个；雨量计1个设置在阴坑尾矿库截渗池旁，1#副坝坝顶高程</w:t>
      </w:r>
      <w:r>
        <w:rPr>
          <w:rFonts w:hint="eastAsia"/>
          <w:color w:val="auto"/>
          <w:lang w:val="en-US" w:eastAsia="zh-CN"/>
        </w:rPr>
        <w:t>+</w:t>
      </w:r>
      <w:r>
        <w:rPr>
          <w:rFonts w:hint="default"/>
          <w:color w:val="auto"/>
          <w:lang w:val="en-US" w:eastAsia="zh-CN"/>
        </w:rPr>
        <w:t>75.0m高程分别设置了一个在线位移监测和浸润线监测。</w:t>
      </w:r>
    </w:p>
    <w:p w14:paraId="1CEDB98E">
      <w:pPr>
        <w:rPr>
          <w:rFonts w:hint="default"/>
          <w:strike w:val="0"/>
          <w:dstrike w:val="0"/>
          <w:color w:val="auto"/>
          <w:lang w:val="en-US" w:eastAsia="zh-CN"/>
        </w:rPr>
      </w:pPr>
      <w:r>
        <w:rPr>
          <w:rFonts w:hint="default"/>
          <w:strike w:val="0"/>
          <w:dstrike w:val="0"/>
          <w:color w:val="auto"/>
          <w:lang w:val="en-US" w:eastAsia="zh-CN"/>
        </w:rPr>
        <w:t>江西省宜丰万国矿业有限公司已按要求进行了坝体位移沉降、浸润线、库水位观测，保留有坝体位移沉降、浸润线、库水位观测记录，从坝体位移沉降、浸润线观测记录来看，坝体已固结、稳定，观测值变化、波动偏小</w:t>
      </w:r>
      <w:r>
        <w:rPr>
          <w:rFonts w:hint="default"/>
          <w:strike w:val="0"/>
          <w:dstrike w:val="0"/>
          <w:color w:val="auto"/>
          <w:lang w:val="en-US" w:eastAsia="zh-CN"/>
        </w:rPr>
        <w:t>，浸润线水位随暴雨、枯水季节有所波动，变化很小，浸润线埋深在</w:t>
      </w:r>
      <w:r>
        <w:rPr>
          <w:rFonts w:hint="eastAsia"/>
          <w:strike w:val="0"/>
          <w:dstrike w:val="0"/>
          <w:color w:val="auto"/>
          <w:lang w:val="en-US" w:eastAsia="zh-CN"/>
        </w:rPr>
        <w:t>2.19</w:t>
      </w:r>
      <w:r>
        <w:rPr>
          <w:rFonts w:hint="default"/>
          <w:strike w:val="0"/>
          <w:dstrike w:val="0"/>
          <w:color w:val="auto"/>
          <w:lang w:val="en-US" w:eastAsia="zh-CN"/>
        </w:rPr>
        <w:t>m～</w:t>
      </w:r>
      <w:r>
        <w:rPr>
          <w:rFonts w:hint="eastAsia"/>
          <w:strike w:val="0"/>
          <w:dstrike w:val="0"/>
          <w:color w:val="auto"/>
          <w:lang w:val="en-US" w:eastAsia="zh-CN"/>
        </w:rPr>
        <w:t>10.42</w:t>
      </w:r>
      <w:r>
        <w:rPr>
          <w:rFonts w:hint="default"/>
          <w:strike w:val="0"/>
          <w:dstrike w:val="0"/>
          <w:color w:val="auto"/>
          <w:lang w:val="en-US" w:eastAsia="zh-CN"/>
        </w:rPr>
        <w:t>m</w:t>
      </w:r>
      <w:r>
        <w:rPr>
          <w:rFonts w:hint="default"/>
          <w:strike w:val="0"/>
          <w:dstrike w:val="0"/>
          <w:color w:val="auto"/>
          <w:lang w:val="en-US" w:eastAsia="zh-CN"/>
        </w:rPr>
        <w:t>之间，符合规范值要求。</w:t>
      </w:r>
    </w:p>
    <w:p w14:paraId="5E08C689">
      <w:pPr>
        <w:rPr>
          <w:rFonts w:hint="default"/>
          <w:color w:val="auto"/>
          <w:lang w:val="en-US" w:eastAsia="zh-CN"/>
        </w:rPr>
      </w:pPr>
      <w:r>
        <w:rPr>
          <w:rFonts w:hint="default"/>
          <w:color w:val="auto"/>
          <w:lang w:val="en-US" w:eastAsia="zh-CN"/>
        </w:rPr>
        <w:t>现场检查时，江西省宜丰万国矿业有限公司</w:t>
      </w:r>
      <w:r>
        <w:rPr>
          <w:rFonts w:hint="eastAsia"/>
          <w:color w:val="auto"/>
          <w:lang w:val="en-US" w:eastAsia="zh-CN"/>
        </w:rPr>
        <w:t>的人工监测设施、在线监测设备运行正常。</w:t>
      </w:r>
    </w:p>
    <w:p w14:paraId="5C4A8FD8">
      <w:pPr>
        <w:rPr>
          <w:rFonts w:hint="default"/>
          <w:color w:val="auto"/>
          <w:lang w:val="en-US" w:eastAsia="zh-CN"/>
        </w:rPr>
      </w:pPr>
      <w:r>
        <w:rPr>
          <w:rFonts w:hint="eastAsia"/>
          <w:color w:val="auto"/>
          <w:lang w:val="en-US" w:eastAsia="zh-CN"/>
        </w:rPr>
        <w:t>宜丰新庄铜铅锌矿尾矿库</w:t>
      </w:r>
      <w:r>
        <w:rPr>
          <w:rFonts w:hint="default"/>
          <w:color w:val="auto"/>
          <w:lang w:val="en-US" w:eastAsia="zh-CN"/>
        </w:rPr>
        <w:t>在线监测系统</w:t>
      </w:r>
      <w:r>
        <w:rPr>
          <w:rFonts w:hint="eastAsia"/>
          <w:color w:val="auto"/>
          <w:lang w:val="en-US" w:eastAsia="zh-CN"/>
        </w:rPr>
        <w:t>已</w:t>
      </w:r>
      <w:r>
        <w:rPr>
          <w:rFonts w:hint="default"/>
          <w:color w:val="auto"/>
          <w:lang w:val="en-US" w:eastAsia="zh-CN"/>
        </w:rPr>
        <w:t>接入了省级尾矿库安全生产风险监测预警平台，实现了数据共享、互联互通；与国家灾害风险综合监测预警信息平台的对接，实现了环境监测、安全监管数据共享。</w:t>
      </w:r>
    </w:p>
    <w:p w14:paraId="3FCD3EFF">
      <w:pPr>
        <w:pStyle w:val="4"/>
        <w:bidi w:val="0"/>
        <w:rPr>
          <w:rFonts w:hint="default"/>
          <w:color w:val="auto"/>
          <w:lang w:val="en-US" w:eastAsia="zh-CN"/>
        </w:rPr>
      </w:pPr>
      <w:bookmarkStart w:id="141" w:name="_Toc19332"/>
      <w:bookmarkStart w:id="142" w:name="_Toc22816"/>
      <w:bookmarkStart w:id="143" w:name="_Toc12021"/>
      <w:bookmarkStart w:id="144" w:name="_Toc23289"/>
      <w:r>
        <w:rPr>
          <w:rFonts w:hint="default"/>
          <w:color w:val="auto"/>
          <w:lang w:val="en-US" w:eastAsia="zh-CN"/>
        </w:rPr>
        <w:t>2.6.</w:t>
      </w:r>
      <w:r>
        <w:rPr>
          <w:rFonts w:hint="eastAsia"/>
          <w:color w:val="auto"/>
          <w:lang w:val="en-US" w:eastAsia="zh-CN"/>
        </w:rPr>
        <w:t xml:space="preserve">7 </w:t>
      </w:r>
      <w:r>
        <w:rPr>
          <w:rFonts w:hint="default"/>
          <w:color w:val="auto"/>
          <w:lang w:val="en-US" w:eastAsia="zh-CN"/>
        </w:rPr>
        <w:t>辅助安全设施</w:t>
      </w:r>
      <w:bookmarkEnd w:id="141"/>
      <w:bookmarkEnd w:id="142"/>
      <w:bookmarkEnd w:id="143"/>
      <w:bookmarkEnd w:id="144"/>
    </w:p>
    <w:p w14:paraId="4EB0D292">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上坝道路：目前尾矿库有一上坝道路通往主坝</w:t>
      </w:r>
      <w:r>
        <w:rPr>
          <w:rFonts w:hint="eastAsia"/>
          <w:color w:val="auto"/>
          <w:lang w:val="en-US" w:eastAsia="zh-CN"/>
        </w:rPr>
        <w:t>、</w:t>
      </w:r>
      <w:r>
        <w:rPr>
          <w:rFonts w:hint="default"/>
          <w:color w:val="auto"/>
          <w:lang w:val="en-US" w:eastAsia="zh-CN"/>
        </w:rPr>
        <w:t>1#副坝及2#副坝。</w:t>
      </w:r>
    </w:p>
    <w:p w14:paraId="69CD4DA1">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通讯：尾矿库的信号较为良好，尾矿管理人员</w:t>
      </w:r>
      <w:r>
        <w:rPr>
          <w:rFonts w:hint="eastAsia"/>
          <w:color w:val="auto"/>
          <w:lang w:val="en-US" w:eastAsia="zh-CN"/>
        </w:rPr>
        <w:t>和操作人员</w:t>
      </w:r>
      <w:r>
        <w:rPr>
          <w:rFonts w:hint="default"/>
          <w:color w:val="auto"/>
          <w:lang w:val="en-US" w:eastAsia="zh-CN"/>
        </w:rPr>
        <w:t>已配备手机进行通讯。</w:t>
      </w:r>
    </w:p>
    <w:p w14:paraId="02503464">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照明：在尾矿库主坝处已设有照明设施。</w:t>
      </w:r>
    </w:p>
    <w:p w14:paraId="3EE9598D">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值班房：在宜丰新庄铜铅锌矿尾矿库、阴坑尾矿库之间山坡上设置了统一的尾矿值班观测室和应急物资库。并安排尾矿工24小时值班，尾矿工采用手机与安环部联系。应急物资库配备了相应数量的编织袋、铁锹、锄头等应急物资。</w:t>
      </w:r>
    </w:p>
    <w:p w14:paraId="22914F50">
      <w:pPr>
        <w:rPr>
          <w:rFonts w:hint="default"/>
          <w:color w:val="auto"/>
          <w:lang w:val="en-US" w:eastAsia="zh-CN"/>
        </w:rPr>
      </w:pPr>
      <w:r>
        <w:rPr>
          <w:rFonts w:hint="eastAsia"/>
          <w:color w:val="auto"/>
          <w:lang w:val="en-US" w:eastAsia="zh-CN"/>
        </w:rPr>
        <w:t>5. 安全标志：</w:t>
      </w:r>
      <w:r>
        <w:rPr>
          <w:rFonts w:hint="default" w:ascii="Times New Roman" w:hAnsi="Times New Roman" w:cs="Times New Roman"/>
          <w:color w:val="auto"/>
          <w:lang w:val="en-US" w:eastAsia="zh-CN"/>
        </w:rPr>
        <w:t>①</w:t>
      </w:r>
      <w:r>
        <w:rPr>
          <w:rFonts w:hint="eastAsia"/>
          <w:color w:val="auto"/>
          <w:lang w:val="en-US" w:eastAsia="zh-CN"/>
        </w:rPr>
        <w:t>在入库口设置了醒目、清晰的尾矿库安全运行标识牌，在适当地点树立有安全警示牌；</w:t>
      </w:r>
      <w:r>
        <w:rPr>
          <w:rFonts w:hint="default" w:ascii="Times New Roman" w:hAnsi="Times New Roman" w:cs="Times New Roman"/>
          <w:color w:val="auto"/>
          <w:lang w:val="en-US" w:eastAsia="zh-CN"/>
        </w:rPr>
        <w:t>②在尾矿库排水斜槽位置设置</w:t>
      </w:r>
      <w:r>
        <w:rPr>
          <w:rFonts w:hint="eastAsia" w:cs="Times New Roman"/>
          <w:color w:val="auto"/>
          <w:lang w:val="en-US" w:eastAsia="zh-CN"/>
        </w:rPr>
        <w:t>了</w:t>
      </w:r>
      <w:r>
        <w:rPr>
          <w:rFonts w:hint="default" w:ascii="Times New Roman" w:hAnsi="Times New Roman" w:cs="Times New Roman"/>
          <w:color w:val="auto"/>
          <w:lang w:val="en-US" w:eastAsia="zh-CN"/>
        </w:rPr>
        <w:t>醒目、清晰和牢固的水位观测标尺；③运输尾矿入库道路设置</w:t>
      </w:r>
      <w:r>
        <w:rPr>
          <w:rFonts w:hint="eastAsia" w:cs="Times New Roman"/>
          <w:color w:val="auto"/>
          <w:lang w:val="en-US" w:eastAsia="zh-CN"/>
        </w:rPr>
        <w:t>了</w:t>
      </w:r>
      <w:r>
        <w:rPr>
          <w:rFonts w:hint="default" w:ascii="Times New Roman" w:hAnsi="Times New Roman" w:cs="Times New Roman"/>
          <w:color w:val="auto"/>
          <w:lang w:val="en-US" w:eastAsia="zh-CN"/>
        </w:rPr>
        <w:t>清晰的交通标志</w:t>
      </w:r>
      <w:r>
        <w:rPr>
          <w:rFonts w:hint="eastAsia"/>
          <w:color w:val="auto"/>
          <w:lang w:val="en-US" w:eastAsia="zh-CN"/>
        </w:rPr>
        <w:t>。</w:t>
      </w:r>
    </w:p>
    <w:p w14:paraId="082CCF4B">
      <w:pPr>
        <w:pStyle w:val="3"/>
        <w:bidi w:val="0"/>
        <w:rPr>
          <w:rFonts w:hint="default"/>
          <w:color w:val="auto"/>
          <w:lang w:val="en-US" w:eastAsia="zh-CN"/>
        </w:rPr>
      </w:pPr>
      <w:bookmarkStart w:id="145" w:name="_Toc10335"/>
      <w:bookmarkStart w:id="146" w:name="_Toc32552"/>
      <w:bookmarkStart w:id="147" w:name="_Toc9284"/>
      <w:bookmarkStart w:id="148" w:name="_Toc26250"/>
      <w:r>
        <w:rPr>
          <w:rFonts w:hint="default"/>
          <w:color w:val="auto"/>
          <w:lang w:val="en-US" w:eastAsia="zh-CN"/>
        </w:rPr>
        <w:t>2.7</w:t>
      </w:r>
      <w:r>
        <w:rPr>
          <w:rFonts w:hint="eastAsia"/>
          <w:color w:val="auto"/>
          <w:lang w:val="en-US" w:eastAsia="zh-CN"/>
        </w:rPr>
        <w:t xml:space="preserve"> </w:t>
      </w:r>
      <w:bookmarkEnd w:id="145"/>
      <w:bookmarkEnd w:id="146"/>
      <w:r>
        <w:rPr>
          <w:rFonts w:hint="default"/>
          <w:color w:val="auto"/>
          <w:lang w:val="en-US" w:eastAsia="zh-CN"/>
        </w:rPr>
        <w:t>干式尾矿运输</w:t>
      </w:r>
      <w:bookmarkEnd w:id="147"/>
      <w:bookmarkEnd w:id="148"/>
    </w:p>
    <w:p w14:paraId="3CB12D3D">
      <w:pPr>
        <w:numPr>
          <w:ilvl w:val="0"/>
          <w:numId w:val="0"/>
        </w:numPr>
        <w:ind w:firstLine="560" w:firstLineChars="200"/>
        <w:rPr>
          <w:rFonts w:hint="default" w:ascii="Times New Roman" w:hAnsi="Times New Roman" w:eastAsia="宋体" w:cs="Times New Roman"/>
          <w:color w:val="auto"/>
          <w:lang w:val="en-US" w:eastAsia="zh-CN"/>
        </w:rPr>
      </w:pPr>
      <w:bookmarkStart w:id="149" w:name="_Toc16602"/>
      <w:bookmarkStart w:id="150" w:name="_Toc26215"/>
      <w:r>
        <w:rPr>
          <w:rFonts w:hint="default" w:ascii="Times New Roman" w:hAnsi="Times New Roman" w:eastAsia="宋体" w:cs="Times New Roman"/>
          <w:color w:val="auto"/>
          <w:kern w:val="2"/>
          <w:sz w:val="28"/>
          <w:szCs w:val="24"/>
          <w:lang w:val="en-US" w:eastAsia="zh-CN" w:bidi="ar-SA"/>
        </w:rPr>
        <w:t>1.</w:t>
      </w:r>
      <w:r>
        <w:rPr>
          <w:rFonts w:hint="eastAsia" w:ascii="Times New Roman" w:hAnsi="Times New Roman" w:eastAsia="宋体" w:cs="Times New Roman"/>
          <w:color w:val="auto"/>
          <w:kern w:val="2"/>
          <w:sz w:val="28"/>
          <w:szCs w:val="24"/>
          <w:lang w:val="en-US" w:eastAsia="zh-CN" w:bidi="ar-SA"/>
        </w:rPr>
        <w:t xml:space="preserve"> </w:t>
      </w:r>
      <w:r>
        <w:rPr>
          <w:rFonts w:hint="default" w:ascii="Times New Roman" w:hAnsi="Times New Roman" w:eastAsia="宋体" w:cs="Times New Roman"/>
          <w:color w:val="auto"/>
          <w:lang w:val="en-US" w:eastAsia="zh-CN"/>
        </w:rPr>
        <w:t>设计情况</w:t>
      </w:r>
    </w:p>
    <w:p w14:paraId="56EA7D0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由于</w:t>
      </w:r>
      <w:r>
        <w:rPr>
          <w:rFonts w:hint="eastAsia" w:ascii="Times New Roman" w:hAnsi="Times New Roman" w:eastAsia="宋体" w:cs="Times New Roman"/>
          <w:color w:val="auto"/>
          <w:lang w:val="en-US" w:eastAsia="zh-CN"/>
        </w:rPr>
        <w:t>尾矿库</w:t>
      </w:r>
      <w:r>
        <w:rPr>
          <w:rFonts w:hint="default" w:ascii="Times New Roman" w:hAnsi="Times New Roman" w:eastAsia="宋体" w:cs="Times New Roman"/>
          <w:color w:val="auto"/>
          <w:lang w:val="en-US" w:eastAsia="zh-CN"/>
        </w:rPr>
        <w:t>规模小，干式尾矿输送距离较短，直线距离约350m，运输路线最长约800m，汽车运输方式具有基建及运行费用较低、运行管理简单、适用于短距离运输、尾矿排放灵活等优势。</w:t>
      </w:r>
    </w:p>
    <w:p w14:paraId="567AA98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尾矿脱水车间</w:t>
      </w:r>
      <w:r>
        <w:rPr>
          <w:rFonts w:hint="eastAsia" w:cs="Times New Roman"/>
          <w:color w:val="auto"/>
          <w:lang w:val="en-US" w:eastAsia="zh-CN"/>
        </w:rPr>
        <w:t>设</w:t>
      </w:r>
      <w:r>
        <w:rPr>
          <w:rFonts w:hint="default" w:ascii="Times New Roman" w:hAnsi="Times New Roman" w:eastAsia="宋体" w:cs="Times New Roman"/>
          <w:color w:val="auto"/>
          <w:lang w:val="en-US" w:eastAsia="zh-CN"/>
        </w:rPr>
        <w:t>在两座尾矿库之间中部区域山体上。尾矿运输采用1辆载重约15t的自卸汽车，运输道路能满足错车要求。</w:t>
      </w:r>
    </w:p>
    <w:p w14:paraId="19A4E716">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运输干尾矿入库前，应检查车辆状况（刹车、喇叭、照明、轮胎等），应采用彩纹布或塑料薄膜遮盖严密尾矿，防止沿路扬撒。运输过程中应注意路况和来往的车辆及行人，不得超载、超车，不得开</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英雄车</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斗气车</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，更不得酒驾，杜绝车辆伤害现象。倾倒干尾矿时，不得随意、随地倾倒，应听从现场监督员的指挥，倒在指定的地方。</w:t>
      </w:r>
    </w:p>
    <w:p w14:paraId="09EB8D01">
      <w:pPr>
        <w:numPr>
          <w:ilvl w:val="0"/>
          <w:numId w:val="0"/>
        </w:numPr>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8"/>
          <w:szCs w:val="24"/>
          <w:lang w:val="en-US" w:eastAsia="zh-CN" w:bidi="ar-SA"/>
        </w:rPr>
        <w:t>2.</w:t>
      </w:r>
      <w:r>
        <w:rPr>
          <w:rFonts w:hint="eastAsia" w:ascii="Times New Roman" w:hAnsi="Times New Roman" w:eastAsia="宋体" w:cs="Times New Roman"/>
          <w:color w:val="auto"/>
          <w:kern w:val="2"/>
          <w:sz w:val="28"/>
          <w:szCs w:val="24"/>
          <w:lang w:val="en-US" w:eastAsia="zh-CN" w:bidi="ar-SA"/>
        </w:rPr>
        <w:t xml:space="preserve"> </w:t>
      </w:r>
      <w:r>
        <w:rPr>
          <w:rFonts w:hint="default" w:ascii="Times New Roman" w:hAnsi="Times New Roman" w:eastAsia="宋体" w:cs="Times New Roman"/>
          <w:color w:val="auto"/>
          <w:lang w:val="en-US" w:eastAsia="zh-CN"/>
        </w:rPr>
        <w:t>现场检查情况</w:t>
      </w:r>
    </w:p>
    <w:p w14:paraId="087923C8">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目前</w:t>
      </w:r>
      <w:r>
        <w:rPr>
          <w:rFonts w:hint="eastAsia" w:cs="Times New Roman"/>
          <w:color w:val="auto"/>
          <w:lang w:val="en-US" w:eastAsia="zh-CN"/>
        </w:rPr>
        <w:t>尾矿滤饼</w:t>
      </w:r>
      <w:r>
        <w:rPr>
          <w:rFonts w:hint="default" w:ascii="Times New Roman" w:hAnsi="Times New Roman" w:eastAsia="宋体" w:cs="Times New Roman"/>
          <w:color w:val="auto"/>
          <w:lang w:val="en-US" w:eastAsia="zh-CN"/>
        </w:rPr>
        <w:t>从尾矿脱水车间脱水后采用1辆载重为15t的自卸汽车通过</w:t>
      </w:r>
      <w:r>
        <w:rPr>
          <w:rFonts w:hint="eastAsia" w:cs="Times New Roman"/>
          <w:color w:val="auto"/>
          <w:lang w:val="en-US" w:eastAsia="zh-CN"/>
        </w:rPr>
        <w:t>库面</w:t>
      </w:r>
      <w:r>
        <w:rPr>
          <w:rFonts w:hint="default" w:ascii="Times New Roman" w:hAnsi="Times New Roman" w:eastAsia="宋体" w:cs="Times New Roman"/>
          <w:color w:val="auto"/>
          <w:lang w:val="en-US" w:eastAsia="zh-CN"/>
        </w:rPr>
        <w:t>运输</w:t>
      </w:r>
      <w:r>
        <w:rPr>
          <w:rFonts w:hint="eastAsia" w:cs="Times New Roman"/>
          <w:color w:val="auto"/>
          <w:lang w:val="en-US" w:eastAsia="zh-CN"/>
        </w:rPr>
        <w:t>道路</w:t>
      </w:r>
      <w:r>
        <w:rPr>
          <w:rFonts w:hint="default" w:ascii="Times New Roman" w:hAnsi="Times New Roman" w:eastAsia="宋体" w:cs="Times New Roman"/>
          <w:color w:val="auto"/>
          <w:lang w:val="en-US" w:eastAsia="zh-CN"/>
        </w:rPr>
        <w:t>至尾矿库库</w:t>
      </w:r>
      <w:r>
        <w:rPr>
          <w:rFonts w:hint="eastAsia" w:cs="Times New Roman"/>
          <w:color w:val="auto"/>
          <w:lang w:val="en-US" w:eastAsia="zh-CN"/>
        </w:rPr>
        <w:t>内</w:t>
      </w:r>
      <w:r>
        <w:rPr>
          <w:rFonts w:hint="default" w:ascii="Times New Roman" w:hAnsi="Times New Roman" w:eastAsia="宋体" w:cs="Times New Roman"/>
          <w:color w:val="auto"/>
          <w:lang w:val="en-US" w:eastAsia="zh-CN"/>
        </w:rPr>
        <w:t>进行干堆。</w:t>
      </w:r>
    </w:p>
    <w:p w14:paraId="1C24BC71">
      <w:pPr>
        <w:pStyle w:val="3"/>
        <w:bidi w:val="0"/>
        <w:rPr>
          <w:rFonts w:hint="default"/>
          <w:color w:val="auto"/>
          <w:lang w:val="en-US" w:eastAsia="zh-CN"/>
        </w:rPr>
      </w:pPr>
      <w:bookmarkStart w:id="151" w:name="_Toc25714"/>
      <w:bookmarkStart w:id="152" w:name="_Toc15196"/>
      <w:r>
        <w:rPr>
          <w:rFonts w:hint="default"/>
          <w:color w:val="auto"/>
          <w:lang w:val="en-US" w:eastAsia="zh-CN"/>
        </w:rPr>
        <w:t>2.8</w:t>
      </w:r>
      <w:r>
        <w:rPr>
          <w:rFonts w:hint="eastAsia"/>
          <w:color w:val="auto"/>
          <w:lang w:val="en-US" w:eastAsia="zh-CN"/>
        </w:rPr>
        <w:t xml:space="preserve"> </w:t>
      </w:r>
      <w:r>
        <w:rPr>
          <w:rFonts w:hint="default"/>
          <w:color w:val="auto"/>
          <w:lang w:val="en-US" w:eastAsia="zh-CN"/>
        </w:rPr>
        <w:t>安全综合管理</w:t>
      </w:r>
      <w:bookmarkEnd w:id="149"/>
      <w:bookmarkEnd w:id="150"/>
      <w:bookmarkEnd w:id="151"/>
      <w:bookmarkEnd w:id="152"/>
    </w:p>
    <w:p w14:paraId="5C9F65AB">
      <w:pPr>
        <w:pStyle w:val="4"/>
        <w:bidi w:val="0"/>
        <w:rPr>
          <w:rFonts w:hint="default"/>
          <w:color w:val="auto"/>
          <w:lang w:val="en-US" w:eastAsia="zh-CN"/>
        </w:rPr>
      </w:pPr>
      <w:bookmarkStart w:id="153" w:name="_Toc29417"/>
      <w:bookmarkStart w:id="154" w:name="_Toc19361"/>
      <w:bookmarkStart w:id="155" w:name="_Toc20241"/>
      <w:bookmarkStart w:id="156" w:name="_Toc5047"/>
      <w:r>
        <w:rPr>
          <w:rFonts w:hint="default"/>
          <w:color w:val="auto"/>
          <w:lang w:val="en-US" w:eastAsia="zh-CN"/>
        </w:rPr>
        <w:t>2.8.1</w:t>
      </w:r>
      <w:r>
        <w:rPr>
          <w:rFonts w:hint="eastAsia"/>
          <w:color w:val="auto"/>
          <w:lang w:val="en-US" w:eastAsia="zh-CN"/>
        </w:rPr>
        <w:t xml:space="preserve"> </w:t>
      </w:r>
      <w:r>
        <w:rPr>
          <w:rFonts w:hint="default"/>
          <w:color w:val="auto"/>
          <w:lang w:val="en-US" w:eastAsia="zh-CN"/>
        </w:rPr>
        <w:t>安全机构设置</w:t>
      </w:r>
      <w:bookmarkEnd w:id="153"/>
      <w:bookmarkEnd w:id="154"/>
      <w:bookmarkEnd w:id="155"/>
      <w:bookmarkEnd w:id="156"/>
    </w:p>
    <w:p w14:paraId="7B04FEDD">
      <w:pPr>
        <w:bidi w:val="0"/>
        <w:rPr>
          <w:rFonts w:hint="default"/>
          <w:strike w:val="0"/>
          <w:dstrike w:val="0"/>
          <w:color w:val="auto"/>
          <w:lang w:val="en-US" w:eastAsia="zh-CN"/>
        </w:rPr>
      </w:pPr>
      <w:r>
        <w:rPr>
          <w:rFonts w:hint="default"/>
          <w:strike w:val="0"/>
          <w:dstrike w:val="0"/>
          <w:color w:val="auto"/>
          <w:lang w:val="en-US" w:eastAsia="zh-CN"/>
        </w:rPr>
        <w:t>202</w:t>
      </w:r>
      <w:r>
        <w:rPr>
          <w:rFonts w:hint="eastAsia"/>
          <w:strike w:val="0"/>
          <w:dstrike w:val="0"/>
          <w:color w:val="auto"/>
          <w:lang w:val="en-US" w:eastAsia="zh-CN"/>
        </w:rPr>
        <w:t>5</w:t>
      </w:r>
      <w:r>
        <w:rPr>
          <w:rFonts w:hint="default"/>
          <w:strike w:val="0"/>
          <w:dstrike w:val="0"/>
          <w:color w:val="auto"/>
          <w:lang w:val="en-US" w:eastAsia="zh-CN"/>
        </w:rPr>
        <w:t>年1月</w:t>
      </w:r>
      <w:r>
        <w:rPr>
          <w:rFonts w:hint="eastAsia"/>
          <w:strike w:val="0"/>
          <w:dstrike w:val="0"/>
          <w:color w:val="auto"/>
          <w:lang w:val="en-US" w:eastAsia="zh-CN"/>
        </w:rPr>
        <w:t>1</w:t>
      </w:r>
      <w:r>
        <w:rPr>
          <w:rFonts w:hint="default"/>
          <w:strike w:val="0"/>
          <w:dstrike w:val="0"/>
          <w:color w:val="auto"/>
          <w:lang w:val="en-US" w:eastAsia="zh-CN"/>
        </w:rPr>
        <w:t>日，江西省宜丰万国矿业有限公司</w:t>
      </w:r>
      <w:r>
        <w:rPr>
          <w:rFonts w:hint="eastAsia"/>
          <w:strike w:val="0"/>
          <w:dstrike w:val="0"/>
          <w:color w:val="auto"/>
          <w:lang w:val="en-US" w:eastAsia="zh-CN"/>
        </w:rPr>
        <w:t>下发了</w:t>
      </w:r>
      <w:r>
        <w:rPr>
          <w:rFonts w:hint="default"/>
          <w:strike w:val="0"/>
          <w:dstrike w:val="0"/>
          <w:color w:val="auto"/>
          <w:lang w:val="en-US" w:eastAsia="zh-CN"/>
        </w:rPr>
        <w:t>《公司安全管理机构和管理人员公告》（</w:t>
      </w:r>
      <w:r>
        <w:rPr>
          <w:rFonts w:hint="eastAsia"/>
          <w:strike w:val="0"/>
          <w:dstrike w:val="0"/>
          <w:color w:val="auto"/>
          <w:lang w:val="en-US" w:eastAsia="zh-CN"/>
        </w:rPr>
        <w:t>宜丰万国安字</w:t>
      </w:r>
      <w:r>
        <w:rPr>
          <w:rFonts w:hint="eastAsia" w:ascii="宋体" w:hAnsi="宋体" w:eastAsia="宋体" w:cs="宋体"/>
          <w:strike w:val="0"/>
          <w:dstrike w:val="0"/>
          <w:color w:val="auto"/>
          <w:lang w:val="en-US" w:eastAsia="zh-CN"/>
        </w:rPr>
        <w:t>[</w:t>
      </w:r>
      <w:r>
        <w:rPr>
          <w:rFonts w:hint="eastAsia"/>
          <w:strike w:val="0"/>
          <w:dstrike w:val="0"/>
          <w:color w:val="auto"/>
          <w:lang w:val="en-US" w:eastAsia="zh-CN"/>
        </w:rPr>
        <w:t>2025</w:t>
      </w:r>
      <w:r>
        <w:rPr>
          <w:rFonts w:hint="eastAsia" w:ascii="宋体" w:hAnsi="宋体" w:eastAsia="宋体" w:cs="宋体"/>
          <w:strike w:val="0"/>
          <w:dstrike w:val="0"/>
          <w:color w:val="auto"/>
          <w:lang w:val="en-US" w:eastAsia="zh-CN"/>
        </w:rPr>
        <w:t>]</w:t>
      </w:r>
      <w:r>
        <w:rPr>
          <w:rFonts w:hint="eastAsia"/>
          <w:strike w:val="0"/>
          <w:dstrike w:val="0"/>
          <w:color w:val="auto"/>
          <w:lang w:val="en-US" w:eastAsia="zh-CN"/>
        </w:rPr>
        <w:t>第03号</w:t>
      </w:r>
      <w:r>
        <w:rPr>
          <w:rFonts w:hint="default"/>
          <w:strike w:val="0"/>
          <w:dstrike w:val="0"/>
          <w:color w:val="auto"/>
          <w:lang w:val="en-US" w:eastAsia="zh-CN"/>
        </w:rPr>
        <w:t>）。</w:t>
      </w:r>
      <w:r>
        <w:rPr>
          <w:rFonts w:hint="eastAsia"/>
          <w:strike w:val="0"/>
          <w:dstrike w:val="0"/>
          <w:color w:val="auto"/>
          <w:lang w:val="en-US" w:eastAsia="zh-CN"/>
        </w:rPr>
        <w:t>设置了</w:t>
      </w:r>
      <w:r>
        <w:rPr>
          <w:rFonts w:hint="default"/>
          <w:strike w:val="0"/>
          <w:dstrike w:val="0"/>
          <w:color w:val="auto"/>
          <w:lang w:val="en-US" w:eastAsia="zh-CN"/>
        </w:rPr>
        <w:t>公司</w:t>
      </w:r>
      <w:r>
        <w:rPr>
          <w:rFonts w:hint="eastAsia"/>
          <w:strike w:val="0"/>
          <w:dstrike w:val="0"/>
          <w:color w:val="auto"/>
          <w:lang w:val="en-US" w:eastAsia="zh-CN"/>
        </w:rPr>
        <w:t>安全管理机构—</w:t>
      </w:r>
      <w:r>
        <w:rPr>
          <w:rFonts w:hint="default"/>
          <w:strike w:val="0"/>
          <w:dstrike w:val="0"/>
          <w:color w:val="auto"/>
          <w:lang w:val="en-US" w:eastAsia="zh-CN"/>
        </w:rPr>
        <w:t>安环部</w:t>
      </w:r>
      <w:r>
        <w:rPr>
          <w:rFonts w:hint="eastAsia"/>
          <w:strike w:val="0"/>
          <w:dstrike w:val="0"/>
          <w:color w:val="auto"/>
          <w:lang w:val="en-US" w:eastAsia="zh-CN"/>
        </w:rPr>
        <w:t>，配备了相应的</w:t>
      </w:r>
      <w:r>
        <w:rPr>
          <w:rFonts w:hint="default"/>
          <w:strike w:val="0"/>
          <w:dstrike w:val="0"/>
          <w:color w:val="auto"/>
          <w:lang w:val="en-US" w:eastAsia="zh-CN"/>
        </w:rPr>
        <w:t>专职安全生产管理人员</w:t>
      </w:r>
      <w:r>
        <w:rPr>
          <w:rFonts w:hint="eastAsia"/>
          <w:strike w:val="0"/>
          <w:dstrike w:val="0"/>
          <w:color w:val="auto"/>
          <w:lang w:val="en-US" w:eastAsia="zh-CN"/>
        </w:rPr>
        <w:t>。</w:t>
      </w:r>
    </w:p>
    <w:p w14:paraId="54680625">
      <w:pPr>
        <w:rPr>
          <w:rFonts w:hint="default"/>
          <w:strike w:val="0"/>
          <w:dstrike w:val="0"/>
          <w:color w:val="auto"/>
          <w:lang w:val="en-US" w:eastAsia="zh-CN"/>
        </w:rPr>
      </w:pPr>
      <w:r>
        <w:rPr>
          <w:rFonts w:hint="default"/>
          <w:strike w:val="0"/>
          <w:dstrike w:val="0"/>
          <w:color w:val="auto"/>
          <w:lang w:val="en-US" w:eastAsia="zh-CN"/>
        </w:rPr>
        <w:t>配备了</w:t>
      </w:r>
      <w:r>
        <w:rPr>
          <w:rFonts w:hint="eastAsia"/>
          <w:b w:val="0"/>
          <w:bCs w:val="0"/>
          <w:strike w:val="0"/>
          <w:dstrike w:val="0"/>
          <w:color w:val="auto"/>
          <w:lang w:val="en-US" w:eastAsia="zh-CN"/>
        </w:rPr>
        <w:t>2</w:t>
      </w:r>
      <w:r>
        <w:rPr>
          <w:rFonts w:hint="default"/>
          <w:strike w:val="0"/>
          <w:dstrike w:val="0"/>
          <w:color w:val="auto"/>
          <w:lang w:val="en-US" w:eastAsia="zh-CN"/>
        </w:rPr>
        <w:t>名专职安全管理人员</w:t>
      </w:r>
      <w:r>
        <w:rPr>
          <w:rFonts w:hint="eastAsia"/>
          <w:strike w:val="0"/>
          <w:dstrike w:val="0"/>
          <w:color w:val="auto"/>
          <w:lang w:val="en-US" w:eastAsia="zh-CN"/>
        </w:rPr>
        <w:t>、</w:t>
      </w:r>
      <w:r>
        <w:rPr>
          <w:rFonts w:hint="default"/>
          <w:strike w:val="0"/>
          <w:dstrike w:val="0"/>
          <w:color w:val="auto"/>
          <w:lang w:val="en-US" w:eastAsia="zh-CN"/>
        </w:rPr>
        <w:t>专业技术人员</w:t>
      </w:r>
      <w:r>
        <w:rPr>
          <w:rFonts w:hint="eastAsia"/>
          <w:strike w:val="0"/>
          <w:dstrike w:val="0"/>
          <w:color w:val="auto"/>
          <w:lang w:val="en-US" w:eastAsia="zh-CN"/>
        </w:rPr>
        <w:t>1</w:t>
      </w:r>
      <w:r>
        <w:rPr>
          <w:rFonts w:hint="default"/>
          <w:strike w:val="0"/>
          <w:dstrike w:val="0"/>
          <w:color w:val="auto"/>
          <w:lang w:val="en-US" w:eastAsia="zh-CN"/>
        </w:rPr>
        <w:t>人</w:t>
      </w:r>
      <w:r>
        <w:rPr>
          <w:rFonts w:hint="eastAsia"/>
          <w:strike w:val="0"/>
          <w:dstrike w:val="0"/>
          <w:color w:val="auto"/>
          <w:lang w:val="en-US" w:eastAsia="zh-CN"/>
        </w:rPr>
        <w:t>（矿物加工）、</w:t>
      </w:r>
      <w:r>
        <w:rPr>
          <w:rFonts w:hint="default"/>
          <w:strike w:val="0"/>
          <w:dstrike w:val="0"/>
          <w:color w:val="auto"/>
          <w:lang w:val="en-US" w:eastAsia="zh-CN"/>
        </w:rPr>
        <w:t>尾矿作业人员</w:t>
      </w:r>
      <w:r>
        <w:rPr>
          <w:rFonts w:hint="eastAsia"/>
          <w:strike w:val="0"/>
          <w:dstrike w:val="0"/>
          <w:color w:val="auto"/>
          <w:lang w:val="en-US" w:eastAsia="zh-CN"/>
        </w:rPr>
        <w:t>3</w:t>
      </w:r>
      <w:r>
        <w:rPr>
          <w:rFonts w:hint="default"/>
          <w:strike w:val="0"/>
          <w:dstrike w:val="0"/>
          <w:color w:val="auto"/>
          <w:lang w:val="en-US" w:eastAsia="zh-CN"/>
        </w:rPr>
        <w:t>人</w:t>
      </w:r>
      <w:r>
        <w:rPr>
          <w:rFonts w:hint="eastAsia"/>
          <w:strike w:val="0"/>
          <w:dstrike w:val="0"/>
          <w:color w:val="auto"/>
          <w:lang w:val="en-US" w:eastAsia="zh-CN"/>
        </w:rPr>
        <w:t>管理尾矿库</w:t>
      </w:r>
      <w:r>
        <w:rPr>
          <w:rFonts w:hint="default"/>
          <w:strike w:val="0"/>
          <w:dstrike w:val="0"/>
          <w:color w:val="auto"/>
          <w:lang w:val="en-US" w:eastAsia="zh-CN"/>
        </w:rPr>
        <w:t>，上述人员均持证上岗且证件均在有效期内。另外，企业配有</w:t>
      </w:r>
      <w:r>
        <w:rPr>
          <w:rFonts w:hint="eastAsia"/>
          <w:strike w:val="0"/>
          <w:dstrike w:val="0"/>
          <w:color w:val="auto"/>
          <w:lang w:val="en-US" w:eastAsia="zh-CN"/>
        </w:rPr>
        <w:t>1</w:t>
      </w:r>
      <w:r>
        <w:rPr>
          <w:rFonts w:hint="default"/>
          <w:strike w:val="0"/>
          <w:dstrike w:val="0"/>
          <w:color w:val="auto"/>
          <w:lang w:val="en-US" w:eastAsia="zh-CN"/>
        </w:rPr>
        <w:t>名注册安全工程师从事安全生产管理工作。</w:t>
      </w:r>
    </w:p>
    <w:p w14:paraId="16B512B3">
      <w:pPr>
        <w:pStyle w:val="4"/>
        <w:bidi w:val="0"/>
        <w:rPr>
          <w:rFonts w:hint="default"/>
          <w:color w:val="auto"/>
          <w:lang w:val="en-US" w:eastAsia="zh-CN"/>
        </w:rPr>
      </w:pPr>
      <w:bookmarkStart w:id="157" w:name="_Toc7798"/>
      <w:bookmarkStart w:id="158" w:name="_Toc10834"/>
      <w:bookmarkStart w:id="159" w:name="_Toc12525"/>
      <w:bookmarkStart w:id="160" w:name="_Toc26109"/>
      <w:r>
        <w:rPr>
          <w:rFonts w:hint="default"/>
          <w:color w:val="auto"/>
          <w:lang w:val="en-US" w:eastAsia="zh-CN"/>
        </w:rPr>
        <w:t>2.8.2</w:t>
      </w:r>
      <w:r>
        <w:rPr>
          <w:rFonts w:hint="eastAsia"/>
          <w:color w:val="auto"/>
          <w:lang w:val="en-US" w:eastAsia="zh-CN"/>
        </w:rPr>
        <w:t xml:space="preserve"> </w:t>
      </w:r>
      <w:r>
        <w:rPr>
          <w:rFonts w:hint="default"/>
          <w:color w:val="auto"/>
          <w:lang w:val="en-US" w:eastAsia="zh-CN"/>
        </w:rPr>
        <w:t>安全生产管理</w:t>
      </w:r>
      <w:r>
        <w:rPr>
          <w:rFonts w:hint="eastAsia"/>
          <w:color w:val="auto"/>
          <w:lang w:val="en-US" w:eastAsia="zh-CN"/>
        </w:rPr>
        <w:t>规章</w:t>
      </w:r>
      <w:r>
        <w:rPr>
          <w:rFonts w:hint="default"/>
          <w:color w:val="auto"/>
          <w:lang w:val="en-US" w:eastAsia="zh-CN"/>
        </w:rPr>
        <w:t>制度</w:t>
      </w:r>
      <w:bookmarkEnd w:id="157"/>
      <w:bookmarkEnd w:id="158"/>
      <w:bookmarkEnd w:id="159"/>
      <w:bookmarkEnd w:id="160"/>
    </w:p>
    <w:p w14:paraId="5729A3C9">
      <w:pPr>
        <w:rPr>
          <w:rFonts w:hint="default"/>
          <w:strike w:val="0"/>
          <w:dstrike w:val="0"/>
          <w:color w:val="auto"/>
          <w:lang w:val="en-US" w:eastAsia="zh-CN"/>
        </w:rPr>
      </w:pPr>
      <w:r>
        <w:rPr>
          <w:rFonts w:hint="default"/>
          <w:strike w:val="0"/>
          <w:dstrike w:val="0"/>
          <w:color w:val="auto"/>
          <w:lang w:val="en-US" w:eastAsia="zh-CN"/>
        </w:rPr>
        <w:t>企业建立健全了各级安全生产责任制，制定以下安全管理规章制度：安全目标管理制度、安全奖惩制度、安全隐患排查治理制度、安全技术措施审批制度、安全例会制度、安全检查制度、安全教育培训制度、安全生产奖惩制度、安全生产档案管理制度、危险源管理制度、劳动防护用品管理制度、工伤事故上报与事故调查制度、应急管理制度和监测管理制度等。制定了尾矿库安全操作规程。</w:t>
      </w:r>
    </w:p>
    <w:p w14:paraId="59CE2FAF">
      <w:pPr>
        <w:pStyle w:val="4"/>
        <w:bidi w:val="0"/>
        <w:rPr>
          <w:rFonts w:hint="default"/>
          <w:color w:val="auto"/>
          <w:lang w:val="en-US" w:eastAsia="zh-CN"/>
        </w:rPr>
      </w:pPr>
      <w:bookmarkStart w:id="161" w:name="_Toc28479"/>
      <w:bookmarkStart w:id="162" w:name="_Toc27827"/>
      <w:bookmarkStart w:id="163" w:name="_Toc9814"/>
      <w:bookmarkStart w:id="164" w:name="_Toc30555"/>
      <w:r>
        <w:rPr>
          <w:rFonts w:hint="default"/>
          <w:color w:val="auto"/>
          <w:lang w:val="en-US" w:eastAsia="zh-CN"/>
        </w:rPr>
        <w:t>2.8.3</w:t>
      </w:r>
      <w:r>
        <w:rPr>
          <w:rFonts w:hint="eastAsia"/>
          <w:color w:val="auto"/>
          <w:lang w:val="en-US" w:eastAsia="zh-CN"/>
        </w:rPr>
        <w:t xml:space="preserve"> </w:t>
      </w:r>
      <w:r>
        <w:rPr>
          <w:rFonts w:hint="default"/>
          <w:color w:val="auto"/>
          <w:lang w:val="en-US" w:eastAsia="zh-CN"/>
        </w:rPr>
        <w:t>安全生产应急救援与措施</w:t>
      </w:r>
      <w:bookmarkEnd w:id="161"/>
      <w:bookmarkEnd w:id="162"/>
      <w:bookmarkEnd w:id="163"/>
      <w:bookmarkEnd w:id="164"/>
    </w:p>
    <w:p w14:paraId="420B6C85">
      <w:pPr>
        <w:rPr>
          <w:rFonts w:hint="default"/>
          <w:color w:val="auto"/>
          <w:lang w:val="en-US" w:eastAsia="zh-CN"/>
        </w:rPr>
      </w:pPr>
      <w:r>
        <w:rPr>
          <w:rFonts w:hint="eastAsia"/>
          <w:color w:val="auto"/>
          <w:lang w:val="en-US" w:eastAsia="zh-CN"/>
        </w:rPr>
        <w:t xml:space="preserve">1. </w:t>
      </w:r>
      <w:r>
        <w:rPr>
          <w:rFonts w:hint="default"/>
          <w:color w:val="auto"/>
          <w:lang w:val="en-US" w:eastAsia="zh-CN"/>
        </w:rPr>
        <w:t>应急救援预案</w:t>
      </w:r>
    </w:p>
    <w:p w14:paraId="24AB2A96">
      <w:pPr>
        <w:rPr>
          <w:rFonts w:hint="default"/>
          <w:color w:val="auto"/>
          <w:lang w:val="en-US" w:eastAsia="zh-CN"/>
        </w:rPr>
      </w:pPr>
      <w:r>
        <w:rPr>
          <w:rFonts w:hint="default"/>
          <w:color w:val="auto"/>
          <w:lang w:val="en-US" w:eastAsia="zh-CN"/>
        </w:rPr>
        <w:t>企业于202</w:t>
      </w:r>
      <w:r>
        <w:rPr>
          <w:rFonts w:hint="eastAsia"/>
          <w:color w:val="auto"/>
          <w:lang w:val="en-US" w:eastAsia="zh-CN"/>
        </w:rPr>
        <w:t>3</w:t>
      </w:r>
      <w:r>
        <w:rPr>
          <w:rFonts w:hint="default"/>
          <w:color w:val="auto"/>
          <w:lang w:val="en-US" w:eastAsia="zh-CN"/>
        </w:rPr>
        <w:t>年1</w:t>
      </w:r>
      <w:r>
        <w:rPr>
          <w:rFonts w:hint="eastAsia"/>
          <w:color w:val="auto"/>
          <w:lang w:val="en-US" w:eastAsia="zh-CN"/>
        </w:rPr>
        <w:t>1</w:t>
      </w:r>
      <w:r>
        <w:rPr>
          <w:rFonts w:hint="default"/>
          <w:color w:val="auto"/>
          <w:lang w:val="en-US" w:eastAsia="zh-CN"/>
        </w:rPr>
        <w:t>月编制了《江西省宜丰万国矿业有限公司生产安全事故应急预案》</w:t>
      </w:r>
      <w:r>
        <w:rPr>
          <w:rFonts w:hint="eastAsia"/>
          <w:color w:val="auto"/>
          <w:lang w:val="en-US" w:eastAsia="zh-CN"/>
        </w:rPr>
        <w:t>（</w:t>
      </w:r>
      <w:r>
        <w:rPr>
          <w:rFonts w:hint="default"/>
          <w:color w:val="auto"/>
          <w:lang w:val="en-US" w:eastAsia="zh-CN"/>
        </w:rPr>
        <w:t>含综合专项预案1个，专项应急预案11个，现场处置方案10个</w:t>
      </w:r>
      <w:r>
        <w:rPr>
          <w:rFonts w:hint="eastAsia"/>
          <w:color w:val="auto"/>
          <w:lang w:val="en-US" w:eastAsia="zh-CN"/>
        </w:rPr>
        <w:t>）</w:t>
      </w:r>
      <w:r>
        <w:rPr>
          <w:rFonts w:hint="default"/>
          <w:color w:val="auto"/>
          <w:lang w:val="en-US" w:eastAsia="zh-CN"/>
        </w:rPr>
        <w:t>。该应急救援预案于202</w:t>
      </w:r>
      <w:r>
        <w:rPr>
          <w:rFonts w:hint="eastAsia"/>
          <w:color w:val="auto"/>
          <w:lang w:val="en-US" w:eastAsia="zh-CN"/>
        </w:rPr>
        <w:t>3</w:t>
      </w:r>
      <w:r>
        <w:rPr>
          <w:rFonts w:hint="default"/>
          <w:color w:val="auto"/>
          <w:lang w:val="en-US" w:eastAsia="zh-CN"/>
        </w:rPr>
        <w:t>年1</w:t>
      </w:r>
      <w:r>
        <w:rPr>
          <w:rFonts w:hint="eastAsia"/>
          <w:color w:val="auto"/>
          <w:lang w:val="en-US" w:eastAsia="zh-CN"/>
        </w:rPr>
        <w:t>1</w:t>
      </w:r>
      <w:r>
        <w:rPr>
          <w:rFonts w:hint="default"/>
          <w:color w:val="auto"/>
          <w:lang w:val="en-US" w:eastAsia="zh-CN"/>
        </w:rPr>
        <w:t>月8日经</w:t>
      </w:r>
      <w:r>
        <w:rPr>
          <w:rFonts w:hint="eastAsia"/>
          <w:color w:val="auto"/>
          <w:lang w:val="en-US" w:eastAsia="zh-CN"/>
        </w:rPr>
        <w:t>宜丰县应急管理局</w:t>
      </w:r>
      <w:r>
        <w:rPr>
          <w:rFonts w:hint="default"/>
          <w:color w:val="auto"/>
          <w:lang w:val="en-US" w:eastAsia="zh-CN"/>
        </w:rPr>
        <w:t>备案，备案</w:t>
      </w:r>
      <w:r>
        <w:rPr>
          <w:rFonts w:hint="eastAsia"/>
          <w:color w:val="auto"/>
          <w:lang w:val="en-US" w:eastAsia="zh-CN"/>
        </w:rPr>
        <w:t>编</w:t>
      </w:r>
      <w:r>
        <w:rPr>
          <w:rFonts w:hint="default"/>
          <w:color w:val="auto"/>
          <w:lang w:val="en-US" w:eastAsia="zh-CN"/>
        </w:rPr>
        <w:t>号为3609242022GM121。</w:t>
      </w:r>
    </w:p>
    <w:p w14:paraId="282ACABC">
      <w:pPr>
        <w:rPr>
          <w:rFonts w:hint="default"/>
          <w:color w:val="auto"/>
          <w:lang w:val="en-US" w:eastAsia="zh-CN"/>
        </w:rPr>
      </w:pPr>
      <w:r>
        <w:rPr>
          <w:rFonts w:hint="eastAsia"/>
          <w:color w:val="auto"/>
          <w:lang w:val="en-US" w:eastAsia="zh-CN"/>
        </w:rPr>
        <w:t xml:space="preserve">2. </w:t>
      </w:r>
      <w:r>
        <w:rPr>
          <w:rFonts w:hint="default"/>
          <w:color w:val="auto"/>
          <w:lang w:val="en-US" w:eastAsia="zh-CN"/>
        </w:rPr>
        <w:t>事故应急救援队伍</w:t>
      </w:r>
    </w:p>
    <w:p w14:paraId="130192E1">
      <w:pPr>
        <w:bidi w:val="0"/>
        <w:rPr>
          <w:rFonts w:hint="default"/>
          <w:strike w:val="0"/>
          <w:dstrike w:val="0"/>
          <w:color w:val="auto"/>
          <w:lang w:val="en-US" w:eastAsia="zh-CN"/>
        </w:rPr>
      </w:pPr>
      <w:r>
        <w:rPr>
          <w:rFonts w:hint="default"/>
          <w:strike w:val="0"/>
          <w:dstrike w:val="0"/>
          <w:color w:val="auto"/>
          <w:lang w:val="en-US" w:eastAsia="zh-CN"/>
        </w:rPr>
        <w:t>202</w:t>
      </w:r>
      <w:r>
        <w:rPr>
          <w:rFonts w:hint="eastAsia"/>
          <w:strike w:val="0"/>
          <w:dstrike w:val="0"/>
          <w:color w:val="auto"/>
          <w:lang w:val="en-US" w:eastAsia="zh-CN"/>
        </w:rPr>
        <w:t>5</w:t>
      </w:r>
      <w:r>
        <w:rPr>
          <w:rFonts w:hint="default"/>
          <w:strike w:val="0"/>
          <w:dstrike w:val="0"/>
          <w:color w:val="auto"/>
          <w:lang w:val="en-US" w:eastAsia="zh-CN"/>
        </w:rPr>
        <w:t>年1月</w:t>
      </w:r>
      <w:r>
        <w:rPr>
          <w:rFonts w:hint="eastAsia"/>
          <w:strike w:val="0"/>
          <w:dstrike w:val="0"/>
          <w:color w:val="auto"/>
          <w:lang w:val="en-US" w:eastAsia="zh-CN"/>
        </w:rPr>
        <w:t>1</w:t>
      </w:r>
      <w:r>
        <w:rPr>
          <w:rFonts w:hint="default"/>
          <w:strike w:val="0"/>
          <w:dstrike w:val="0"/>
          <w:color w:val="auto"/>
          <w:lang w:val="en-US" w:eastAsia="zh-CN"/>
        </w:rPr>
        <w:t>日，江西省宜丰万国矿业有限公司</w:t>
      </w:r>
      <w:r>
        <w:rPr>
          <w:rFonts w:hint="eastAsia"/>
          <w:strike w:val="0"/>
          <w:dstrike w:val="0"/>
          <w:color w:val="auto"/>
          <w:lang w:val="en-US" w:eastAsia="zh-CN"/>
        </w:rPr>
        <w:t>下发了</w:t>
      </w:r>
      <w:r>
        <w:rPr>
          <w:rFonts w:hint="default"/>
          <w:strike w:val="0"/>
          <w:dstrike w:val="0"/>
          <w:color w:val="auto"/>
          <w:lang w:val="en-US" w:eastAsia="zh-CN"/>
        </w:rPr>
        <w:t>《关于调整应急组织机构的通知》（</w:t>
      </w:r>
      <w:r>
        <w:rPr>
          <w:rFonts w:hint="eastAsia"/>
          <w:strike w:val="0"/>
          <w:dstrike w:val="0"/>
          <w:color w:val="auto"/>
          <w:lang w:val="en-US" w:eastAsia="zh-CN"/>
        </w:rPr>
        <w:t>宜丰万国安字</w:t>
      </w:r>
      <w:r>
        <w:rPr>
          <w:rFonts w:hint="eastAsia" w:ascii="宋体" w:hAnsi="宋体" w:eastAsia="宋体" w:cs="宋体"/>
          <w:strike w:val="0"/>
          <w:dstrike w:val="0"/>
          <w:color w:val="auto"/>
          <w:lang w:val="en-US" w:eastAsia="zh-CN"/>
        </w:rPr>
        <w:t>[</w:t>
      </w:r>
      <w:r>
        <w:rPr>
          <w:rFonts w:hint="eastAsia"/>
          <w:strike w:val="0"/>
          <w:dstrike w:val="0"/>
          <w:color w:val="auto"/>
          <w:lang w:val="en-US" w:eastAsia="zh-CN"/>
        </w:rPr>
        <w:t>2025</w:t>
      </w:r>
      <w:r>
        <w:rPr>
          <w:rFonts w:hint="eastAsia" w:ascii="宋体" w:hAnsi="宋体" w:eastAsia="宋体" w:cs="宋体"/>
          <w:strike w:val="0"/>
          <w:dstrike w:val="0"/>
          <w:color w:val="auto"/>
          <w:lang w:val="en-US" w:eastAsia="zh-CN"/>
        </w:rPr>
        <w:t>]</w:t>
      </w:r>
      <w:r>
        <w:rPr>
          <w:rFonts w:hint="eastAsia"/>
          <w:strike w:val="0"/>
          <w:dstrike w:val="0"/>
          <w:color w:val="auto"/>
          <w:lang w:val="en-US" w:eastAsia="zh-CN"/>
        </w:rPr>
        <w:t>第05号</w:t>
      </w:r>
      <w:r>
        <w:rPr>
          <w:rFonts w:hint="default"/>
          <w:strike w:val="0"/>
          <w:dstrike w:val="0"/>
          <w:color w:val="auto"/>
          <w:lang w:val="en-US" w:eastAsia="zh-CN"/>
        </w:rPr>
        <w:t>）。</w:t>
      </w:r>
      <w:r>
        <w:rPr>
          <w:rFonts w:hint="eastAsia"/>
          <w:strike w:val="0"/>
          <w:dstrike w:val="0"/>
          <w:color w:val="auto"/>
          <w:lang w:val="en-US" w:eastAsia="zh-CN"/>
        </w:rPr>
        <w:t>成立了应急救援指挥部、</w:t>
      </w:r>
      <w:r>
        <w:rPr>
          <w:rFonts w:hint="default"/>
          <w:b w:val="0"/>
          <w:bCs w:val="0"/>
          <w:strike w:val="0"/>
          <w:dstrike w:val="0"/>
          <w:color w:val="auto"/>
          <w:lang w:val="en-US" w:eastAsia="zh-CN"/>
        </w:rPr>
        <w:t>应急响应小组</w:t>
      </w:r>
      <w:r>
        <w:rPr>
          <w:rFonts w:hint="eastAsia"/>
          <w:b w:val="0"/>
          <w:bCs w:val="0"/>
          <w:strike w:val="0"/>
          <w:dstrike w:val="0"/>
          <w:color w:val="auto"/>
          <w:lang w:val="en-US" w:eastAsia="zh-CN"/>
        </w:rPr>
        <w:t>，明确了</w:t>
      </w:r>
      <w:r>
        <w:rPr>
          <w:rFonts w:hint="default"/>
          <w:b w:val="0"/>
          <w:bCs w:val="0"/>
          <w:strike w:val="0"/>
          <w:dstrike w:val="0"/>
          <w:color w:val="auto"/>
          <w:lang w:val="en-US" w:eastAsia="zh-CN"/>
        </w:rPr>
        <w:t>应急响应</w:t>
      </w:r>
      <w:r>
        <w:rPr>
          <w:rFonts w:hint="eastAsia"/>
          <w:b w:val="0"/>
          <w:bCs w:val="0"/>
          <w:strike w:val="0"/>
          <w:dstrike w:val="0"/>
          <w:color w:val="auto"/>
          <w:lang w:val="en-US" w:eastAsia="zh-CN"/>
        </w:rPr>
        <w:t>和</w:t>
      </w:r>
      <w:r>
        <w:rPr>
          <w:rFonts w:hint="default"/>
          <w:b w:val="0"/>
          <w:bCs w:val="0"/>
          <w:strike w:val="0"/>
          <w:dstrike w:val="0"/>
          <w:color w:val="auto"/>
          <w:lang w:val="en-US" w:eastAsia="zh-CN"/>
        </w:rPr>
        <w:t>应急救援负责人电话号码</w:t>
      </w:r>
      <w:r>
        <w:rPr>
          <w:rFonts w:hint="eastAsia"/>
          <w:b w:val="0"/>
          <w:bCs w:val="0"/>
          <w:strike w:val="0"/>
          <w:dstrike w:val="0"/>
          <w:color w:val="auto"/>
          <w:lang w:val="en-US" w:eastAsia="zh-CN"/>
        </w:rPr>
        <w:t>。</w:t>
      </w:r>
    </w:p>
    <w:p w14:paraId="4A2C3CED">
      <w:pPr>
        <w:rPr>
          <w:rFonts w:hint="default"/>
          <w:color w:val="auto"/>
          <w:lang w:val="en-US" w:eastAsia="zh-CN"/>
        </w:rPr>
      </w:pPr>
      <w:r>
        <w:rPr>
          <w:rFonts w:hint="default"/>
          <w:color w:val="auto"/>
          <w:lang w:val="en-US" w:eastAsia="zh-CN"/>
        </w:rPr>
        <w:t>202</w:t>
      </w:r>
      <w:r>
        <w:rPr>
          <w:rFonts w:hint="eastAsia"/>
          <w:color w:val="auto"/>
          <w:lang w:val="en-US" w:eastAsia="zh-CN"/>
        </w:rPr>
        <w:t>5</w:t>
      </w:r>
      <w:r>
        <w:rPr>
          <w:rFonts w:hint="default"/>
          <w:color w:val="auto"/>
          <w:lang w:val="en-US" w:eastAsia="zh-CN"/>
        </w:rPr>
        <w:t>年</w:t>
      </w:r>
      <w:r>
        <w:rPr>
          <w:rFonts w:hint="eastAsia"/>
          <w:color w:val="auto"/>
          <w:lang w:val="en-US" w:eastAsia="zh-CN"/>
        </w:rPr>
        <w:t>3</w:t>
      </w:r>
      <w:r>
        <w:rPr>
          <w:rFonts w:hint="default"/>
          <w:color w:val="auto"/>
          <w:lang w:val="en-US" w:eastAsia="zh-CN"/>
        </w:rPr>
        <w:t>月</w:t>
      </w:r>
      <w:r>
        <w:rPr>
          <w:rFonts w:hint="eastAsia"/>
          <w:color w:val="auto"/>
          <w:lang w:val="en-US" w:eastAsia="zh-CN"/>
        </w:rPr>
        <w:t>10日</w:t>
      </w:r>
      <w:r>
        <w:rPr>
          <w:rFonts w:hint="default"/>
          <w:color w:val="auto"/>
          <w:lang w:val="en-US" w:eastAsia="zh-CN"/>
        </w:rPr>
        <w:t>，江西省宜丰万国矿业有限公司进行了</w:t>
      </w:r>
      <w:r>
        <w:rPr>
          <w:rFonts w:hint="default"/>
          <w:color w:val="auto"/>
          <w:lang w:val="en-US" w:eastAsia="zh-CN"/>
        </w:rPr>
        <w:t>宜丰新庄铜铅锌矿尾矿库</w:t>
      </w:r>
      <w:r>
        <w:rPr>
          <w:rFonts w:hint="default"/>
          <w:color w:val="auto"/>
          <w:lang w:val="en-US" w:eastAsia="zh-CN"/>
        </w:rPr>
        <w:t>防洪度汛应急救援演练，演练结束后，进行了评估、总结，保留有影像资料和相关记录。</w:t>
      </w:r>
    </w:p>
    <w:p w14:paraId="6D6FDF20">
      <w:pPr>
        <w:pStyle w:val="4"/>
        <w:bidi w:val="0"/>
        <w:rPr>
          <w:rFonts w:hint="default"/>
          <w:color w:val="auto"/>
          <w:lang w:val="en-US" w:eastAsia="zh-CN"/>
        </w:rPr>
      </w:pPr>
      <w:bookmarkStart w:id="165" w:name="_Toc16379"/>
      <w:bookmarkStart w:id="166" w:name="_Toc11412"/>
      <w:bookmarkStart w:id="167" w:name="_Toc26412"/>
      <w:bookmarkStart w:id="168" w:name="_Toc9058"/>
      <w:r>
        <w:rPr>
          <w:rFonts w:hint="default"/>
          <w:color w:val="auto"/>
          <w:lang w:val="en-US" w:eastAsia="zh-CN"/>
        </w:rPr>
        <w:t>2.8.4</w:t>
      </w:r>
      <w:r>
        <w:rPr>
          <w:rFonts w:hint="eastAsia"/>
          <w:color w:val="auto"/>
          <w:lang w:val="en-US" w:eastAsia="zh-CN"/>
        </w:rPr>
        <w:t xml:space="preserve"> </w:t>
      </w:r>
      <w:r>
        <w:rPr>
          <w:rFonts w:hint="default"/>
          <w:color w:val="auto"/>
          <w:lang w:val="en-US" w:eastAsia="zh-CN"/>
        </w:rPr>
        <w:t>安全教育培训</w:t>
      </w:r>
      <w:bookmarkEnd w:id="165"/>
      <w:bookmarkEnd w:id="166"/>
      <w:bookmarkEnd w:id="167"/>
      <w:bookmarkEnd w:id="168"/>
    </w:p>
    <w:p w14:paraId="3460399F">
      <w:pPr>
        <w:rPr>
          <w:rFonts w:hint="default"/>
          <w:color w:val="auto"/>
          <w:lang w:val="en-US" w:eastAsia="zh-CN"/>
        </w:rPr>
      </w:pPr>
      <w:r>
        <w:rPr>
          <w:rFonts w:hint="default"/>
          <w:color w:val="auto"/>
          <w:lang w:val="en-US" w:eastAsia="zh-CN"/>
        </w:rPr>
        <w:t>江西省宜丰万国矿业有限公司较重视职工的安全教育培训工作，安全管理人员及特种作业人员均经培训获得相应安全资质。主要负责人经安全培训机构培训、考核合格，</w:t>
      </w:r>
      <w:r>
        <w:rPr>
          <w:rFonts w:hint="eastAsia"/>
          <w:color w:val="auto"/>
          <w:lang w:val="en-US" w:eastAsia="zh-CN"/>
        </w:rPr>
        <w:t>已</w:t>
      </w:r>
      <w:r>
        <w:rPr>
          <w:rFonts w:hint="default"/>
          <w:color w:val="auto"/>
          <w:lang w:val="en-US" w:eastAsia="zh-CN"/>
        </w:rPr>
        <w:t>获得安全资质证</w:t>
      </w:r>
      <w:r>
        <w:rPr>
          <w:rFonts w:hint="default"/>
          <w:color w:val="auto"/>
          <w:lang w:val="en-US" w:eastAsia="zh-CN"/>
        </w:rPr>
        <w:t>书，有</w:t>
      </w:r>
      <w:r>
        <w:rPr>
          <w:rFonts w:hint="eastAsia"/>
          <w:b w:val="0"/>
          <w:bCs w:val="0"/>
          <w:color w:val="auto"/>
          <w:lang w:val="en-US" w:eastAsia="zh-CN"/>
        </w:rPr>
        <w:t>2</w:t>
      </w:r>
      <w:r>
        <w:rPr>
          <w:rFonts w:hint="default"/>
          <w:color w:val="auto"/>
          <w:lang w:val="en-US" w:eastAsia="zh-CN"/>
        </w:rPr>
        <w:t>名安</w:t>
      </w:r>
      <w:r>
        <w:rPr>
          <w:rFonts w:hint="default"/>
          <w:color w:val="auto"/>
          <w:lang w:val="en-US" w:eastAsia="zh-CN"/>
        </w:rPr>
        <w:t>全管理人员获得安全资质证书。尾矿工</w:t>
      </w:r>
      <w:r>
        <w:rPr>
          <w:rFonts w:hint="eastAsia"/>
          <w:color w:val="auto"/>
          <w:lang w:val="en-US" w:eastAsia="zh-CN"/>
        </w:rPr>
        <w:t>3</w:t>
      </w:r>
      <w:r>
        <w:rPr>
          <w:rFonts w:hint="default"/>
          <w:color w:val="auto"/>
          <w:lang w:val="en-US" w:eastAsia="zh-CN"/>
        </w:rPr>
        <w:t>人做到了持证上岗。上述人员证件均在有效期内。</w:t>
      </w:r>
    </w:p>
    <w:p w14:paraId="5AB9268F">
      <w:pPr>
        <w:bidi w:val="0"/>
        <w:ind w:left="0" w:leftChars="0" w:firstLine="0" w:firstLineChars="0"/>
        <w:jc w:val="center"/>
        <w:rPr>
          <w:rFonts w:hint="default"/>
          <w:strike w:val="0"/>
          <w:dstrike w:val="0"/>
          <w:color w:val="auto"/>
          <w:lang w:val="en-US" w:eastAsia="zh-CN"/>
        </w:rPr>
      </w:pPr>
      <w:r>
        <w:rPr>
          <w:rFonts w:hint="eastAsia" w:ascii="Times New Roman" w:eastAsia="宋体"/>
          <w:strike w:val="0"/>
          <w:dstrike w:val="0"/>
          <w:color w:val="auto"/>
          <w:lang w:val="en-US" w:eastAsia="zh-CN"/>
        </w:rPr>
        <w:t>表2.8-1 人员证件清单</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7"/>
        <w:gridCol w:w="903"/>
        <w:gridCol w:w="710"/>
        <w:gridCol w:w="2235"/>
        <w:gridCol w:w="1061"/>
        <w:gridCol w:w="2632"/>
      </w:tblGrid>
      <w:tr w14:paraId="1242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771" w:type="dxa"/>
            <w:vAlign w:val="center"/>
          </w:tcPr>
          <w:p w14:paraId="161220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主要负责人</w:t>
            </w:r>
          </w:p>
        </w:tc>
        <w:tc>
          <w:tcPr>
            <w:tcW w:w="912" w:type="dxa"/>
            <w:vAlign w:val="center"/>
          </w:tcPr>
          <w:p w14:paraId="7623C3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邓志平</w:t>
            </w:r>
          </w:p>
        </w:tc>
        <w:tc>
          <w:tcPr>
            <w:tcW w:w="715" w:type="dxa"/>
            <w:vAlign w:val="center"/>
          </w:tcPr>
          <w:p w14:paraId="4E1BFF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03AE70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360721198311156837</w:t>
            </w:r>
          </w:p>
        </w:tc>
        <w:tc>
          <w:tcPr>
            <w:tcW w:w="1073" w:type="dxa"/>
            <w:vAlign w:val="center"/>
          </w:tcPr>
          <w:p w14:paraId="30C9C0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2D8B11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2024-06-27—2027-06-26</w:t>
            </w:r>
          </w:p>
        </w:tc>
      </w:tr>
      <w:tr w14:paraId="2587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771" w:type="dxa"/>
            <w:vAlign w:val="center"/>
          </w:tcPr>
          <w:p w14:paraId="4768FD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安全管理人员</w:t>
            </w:r>
          </w:p>
        </w:tc>
        <w:tc>
          <w:tcPr>
            <w:tcW w:w="912" w:type="dxa"/>
            <w:vAlign w:val="center"/>
          </w:tcPr>
          <w:p w14:paraId="4179AA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况金明</w:t>
            </w:r>
          </w:p>
        </w:tc>
        <w:tc>
          <w:tcPr>
            <w:tcW w:w="715" w:type="dxa"/>
            <w:vAlign w:val="center"/>
          </w:tcPr>
          <w:p w14:paraId="4C7AA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63A8A2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362228198611130814</w:t>
            </w:r>
          </w:p>
        </w:tc>
        <w:tc>
          <w:tcPr>
            <w:tcW w:w="1073" w:type="dxa"/>
            <w:vAlign w:val="center"/>
          </w:tcPr>
          <w:p w14:paraId="267D1E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765949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2024-06-27—2027-06-26</w:t>
            </w:r>
          </w:p>
        </w:tc>
      </w:tr>
      <w:tr w14:paraId="756C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771" w:type="dxa"/>
            <w:vAlign w:val="center"/>
          </w:tcPr>
          <w:p w14:paraId="2FAAB0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安全管理人员</w:t>
            </w:r>
          </w:p>
        </w:tc>
        <w:tc>
          <w:tcPr>
            <w:tcW w:w="912" w:type="dxa"/>
            <w:vAlign w:val="center"/>
          </w:tcPr>
          <w:p w14:paraId="23C4C0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段小刚</w:t>
            </w:r>
          </w:p>
        </w:tc>
        <w:tc>
          <w:tcPr>
            <w:tcW w:w="715" w:type="dxa"/>
            <w:vAlign w:val="center"/>
          </w:tcPr>
          <w:p w14:paraId="52D266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29323A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360321199003233514</w:t>
            </w:r>
          </w:p>
        </w:tc>
        <w:tc>
          <w:tcPr>
            <w:tcW w:w="1073" w:type="dxa"/>
            <w:vAlign w:val="center"/>
          </w:tcPr>
          <w:p w14:paraId="315D88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53E54E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2023-09-14—2026-09-13</w:t>
            </w:r>
          </w:p>
        </w:tc>
      </w:tr>
      <w:tr w14:paraId="0A81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1" w:type="dxa"/>
            <w:vAlign w:val="center"/>
          </w:tcPr>
          <w:p w14:paraId="6D6792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专业技术人员</w:t>
            </w:r>
          </w:p>
        </w:tc>
        <w:tc>
          <w:tcPr>
            <w:tcW w:w="912" w:type="dxa"/>
            <w:vAlign w:val="center"/>
          </w:tcPr>
          <w:p w14:paraId="150239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曾小辉</w:t>
            </w:r>
          </w:p>
        </w:tc>
        <w:tc>
          <w:tcPr>
            <w:tcW w:w="715" w:type="dxa"/>
            <w:vAlign w:val="center"/>
          </w:tcPr>
          <w:p w14:paraId="2A84BE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5890" w:type="dxa"/>
            <w:gridSpan w:val="3"/>
            <w:vAlign w:val="center"/>
          </w:tcPr>
          <w:p w14:paraId="69D060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3600818300966</w:t>
            </w:r>
          </w:p>
        </w:tc>
      </w:tr>
      <w:tr w14:paraId="3ABD8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1" w:type="dxa"/>
            <w:vAlign w:val="center"/>
          </w:tcPr>
          <w:p w14:paraId="3F9427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注册安全工程师</w:t>
            </w:r>
          </w:p>
        </w:tc>
        <w:tc>
          <w:tcPr>
            <w:tcW w:w="912" w:type="dxa"/>
            <w:vAlign w:val="center"/>
          </w:tcPr>
          <w:p w14:paraId="26E1D3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邓志平</w:t>
            </w:r>
          </w:p>
        </w:tc>
        <w:tc>
          <w:tcPr>
            <w:tcW w:w="715" w:type="dxa"/>
            <w:vAlign w:val="center"/>
          </w:tcPr>
          <w:p w14:paraId="59A15B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w:t>
            </w:r>
            <w:r>
              <w:rPr>
                <w:rFonts w:hint="eastAsia" w:ascii="Times New Roman" w:eastAsia="宋体"/>
                <w:strike w:val="0"/>
                <w:dstrike w:val="0"/>
                <w:color w:val="auto"/>
                <w:sz w:val="21"/>
                <w:szCs w:val="21"/>
                <w:vertAlign w:val="baseline"/>
                <w:lang w:val="en-US" w:eastAsia="zh-CN"/>
              </w:rPr>
              <w:t>书编</w:t>
            </w:r>
            <w:r>
              <w:rPr>
                <w:rFonts w:hint="default"/>
                <w:strike w:val="0"/>
                <w:dstrike w:val="0"/>
                <w:color w:val="auto"/>
                <w:sz w:val="21"/>
                <w:szCs w:val="21"/>
                <w:vertAlign w:val="baseline"/>
                <w:lang w:val="en-US" w:eastAsia="zh-CN"/>
              </w:rPr>
              <w:t>号</w:t>
            </w:r>
          </w:p>
        </w:tc>
        <w:tc>
          <w:tcPr>
            <w:tcW w:w="5890" w:type="dxa"/>
            <w:gridSpan w:val="3"/>
            <w:vAlign w:val="center"/>
          </w:tcPr>
          <w:p w14:paraId="5A05BE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11333643310360529</w:t>
            </w:r>
          </w:p>
        </w:tc>
      </w:tr>
      <w:tr w14:paraId="04115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771" w:type="dxa"/>
            <w:vAlign w:val="center"/>
          </w:tcPr>
          <w:p w14:paraId="6BC2B9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尾矿作业人员</w:t>
            </w:r>
          </w:p>
        </w:tc>
        <w:tc>
          <w:tcPr>
            <w:tcW w:w="912" w:type="dxa"/>
            <w:vAlign w:val="center"/>
          </w:tcPr>
          <w:p w14:paraId="3C5F1C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王建锋</w:t>
            </w:r>
          </w:p>
        </w:tc>
        <w:tc>
          <w:tcPr>
            <w:tcW w:w="715" w:type="dxa"/>
            <w:vAlign w:val="center"/>
          </w:tcPr>
          <w:p w14:paraId="0B6408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36B0CD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w:t>
            </w:r>
            <w:r>
              <w:rPr>
                <w:rFonts w:hint="eastAsia"/>
                <w:strike w:val="0"/>
                <w:dstrike w:val="0"/>
                <w:color w:val="auto"/>
                <w:sz w:val="21"/>
                <w:szCs w:val="21"/>
                <w:vertAlign w:val="baseline"/>
                <w:lang w:val="en-US" w:eastAsia="zh-CN"/>
              </w:rPr>
              <w:t>610330197709213717</w:t>
            </w:r>
          </w:p>
        </w:tc>
        <w:tc>
          <w:tcPr>
            <w:tcW w:w="1073" w:type="dxa"/>
            <w:vAlign w:val="center"/>
          </w:tcPr>
          <w:p w14:paraId="5622F1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5BB539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2021-08-09—2027-08-08</w:t>
            </w:r>
          </w:p>
        </w:tc>
      </w:tr>
      <w:tr w14:paraId="73E5B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771" w:type="dxa"/>
            <w:vAlign w:val="center"/>
          </w:tcPr>
          <w:p w14:paraId="3E522F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尾矿作业人员</w:t>
            </w:r>
          </w:p>
        </w:tc>
        <w:tc>
          <w:tcPr>
            <w:tcW w:w="912" w:type="dxa"/>
            <w:vAlign w:val="center"/>
          </w:tcPr>
          <w:p w14:paraId="1E5393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strike w:val="0"/>
                <w:dstrike w:val="0"/>
                <w:color w:val="auto"/>
                <w:sz w:val="21"/>
                <w:szCs w:val="21"/>
                <w:vertAlign w:val="baseline"/>
                <w:lang w:val="en-US" w:eastAsia="zh-CN"/>
              </w:rPr>
              <w:t>李丰明</w:t>
            </w:r>
          </w:p>
        </w:tc>
        <w:tc>
          <w:tcPr>
            <w:tcW w:w="715" w:type="dxa"/>
            <w:vAlign w:val="center"/>
          </w:tcPr>
          <w:p w14:paraId="67535F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36FFE7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w:t>
            </w:r>
            <w:r>
              <w:rPr>
                <w:rFonts w:hint="eastAsia"/>
                <w:strike w:val="0"/>
                <w:dstrike w:val="0"/>
                <w:color w:val="auto"/>
                <w:sz w:val="21"/>
                <w:szCs w:val="21"/>
                <w:vertAlign w:val="baseline"/>
                <w:lang w:val="en-US" w:eastAsia="zh-CN"/>
              </w:rPr>
              <w:t>362229196511070030</w:t>
            </w:r>
          </w:p>
        </w:tc>
        <w:tc>
          <w:tcPr>
            <w:tcW w:w="1073" w:type="dxa"/>
            <w:vAlign w:val="center"/>
          </w:tcPr>
          <w:p w14:paraId="1A2275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3B28BA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2021-07-26—2027-07-25</w:t>
            </w:r>
          </w:p>
        </w:tc>
      </w:tr>
      <w:tr w14:paraId="6BD0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71" w:type="dxa"/>
            <w:vAlign w:val="center"/>
          </w:tcPr>
          <w:p w14:paraId="69A9A3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尾矿作业人员</w:t>
            </w:r>
          </w:p>
        </w:tc>
        <w:tc>
          <w:tcPr>
            <w:tcW w:w="912" w:type="dxa"/>
            <w:vAlign w:val="center"/>
          </w:tcPr>
          <w:p w14:paraId="44AB41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胡咪</w:t>
            </w:r>
          </w:p>
        </w:tc>
        <w:tc>
          <w:tcPr>
            <w:tcW w:w="715" w:type="dxa"/>
            <w:vAlign w:val="center"/>
          </w:tcPr>
          <w:p w14:paraId="31A688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证号</w:t>
            </w:r>
          </w:p>
        </w:tc>
        <w:tc>
          <w:tcPr>
            <w:tcW w:w="2181" w:type="dxa"/>
            <w:vAlign w:val="center"/>
          </w:tcPr>
          <w:p w14:paraId="5A1690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default"/>
                <w:strike w:val="0"/>
                <w:dstrike w:val="0"/>
                <w:color w:val="auto"/>
                <w:sz w:val="21"/>
                <w:szCs w:val="21"/>
                <w:vertAlign w:val="baseline"/>
                <w:lang w:val="en-US" w:eastAsia="zh-CN"/>
              </w:rPr>
              <w:t>T</w:t>
            </w:r>
            <w:r>
              <w:rPr>
                <w:rFonts w:hint="eastAsia"/>
                <w:strike w:val="0"/>
                <w:dstrike w:val="0"/>
                <w:color w:val="auto"/>
                <w:sz w:val="21"/>
                <w:szCs w:val="21"/>
                <w:vertAlign w:val="baseline"/>
                <w:lang w:val="en-US" w:eastAsia="zh-CN"/>
              </w:rPr>
              <w:t>430105198111142022</w:t>
            </w:r>
          </w:p>
        </w:tc>
        <w:tc>
          <w:tcPr>
            <w:tcW w:w="1073" w:type="dxa"/>
            <w:vAlign w:val="center"/>
          </w:tcPr>
          <w:p w14:paraId="6A9730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有效期</w:t>
            </w:r>
          </w:p>
        </w:tc>
        <w:tc>
          <w:tcPr>
            <w:tcW w:w="2636" w:type="dxa"/>
            <w:vAlign w:val="center"/>
          </w:tcPr>
          <w:p w14:paraId="5A0DDA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trike w:val="0"/>
                <w:dstrike w:val="0"/>
                <w:color w:val="auto"/>
                <w:sz w:val="21"/>
                <w:szCs w:val="21"/>
                <w:vertAlign w:val="baseline"/>
                <w:lang w:val="en-US" w:eastAsia="zh-CN"/>
              </w:rPr>
            </w:pPr>
            <w:r>
              <w:rPr>
                <w:rFonts w:hint="eastAsia" w:ascii="Times New Roman" w:eastAsia="宋体"/>
                <w:strike w:val="0"/>
                <w:dstrike w:val="0"/>
                <w:color w:val="auto"/>
                <w:sz w:val="21"/>
                <w:szCs w:val="21"/>
                <w:vertAlign w:val="baseline"/>
                <w:lang w:val="en-US" w:eastAsia="zh-CN"/>
              </w:rPr>
              <w:t>2024-04-09—2030-04-08</w:t>
            </w:r>
          </w:p>
        </w:tc>
      </w:tr>
    </w:tbl>
    <w:p w14:paraId="1A0EBDF6">
      <w:pPr>
        <w:pStyle w:val="4"/>
        <w:bidi w:val="0"/>
        <w:rPr>
          <w:rFonts w:hint="default"/>
          <w:color w:val="auto"/>
          <w:lang w:val="en-US" w:eastAsia="zh-CN"/>
        </w:rPr>
      </w:pPr>
      <w:bookmarkStart w:id="169" w:name="_Toc5519"/>
      <w:bookmarkStart w:id="170" w:name="_Toc25836"/>
      <w:bookmarkStart w:id="171" w:name="_Toc31311"/>
      <w:bookmarkStart w:id="172" w:name="_Toc18553"/>
      <w:r>
        <w:rPr>
          <w:rFonts w:hint="default"/>
          <w:color w:val="auto"/>
          <w:lang w:val="en-US" w:eastAsia="zh-CN"/>
        </w:rPr>
        <w:t>2.8.5</w:t>
      </w:r>
      <w:r>
        <w:rPr>
          <w:rFonts w:hint="eastAsia"/>
          <w:color w:val="auto"/>
          <w:lang w:val="en-US" w:eastAsia="zh-CN"/>
        </w:rPr>
        <w:t xml:space="preserve"> </w:t>
      </w:r>
      <w:r>
        <w:rPr>
          <w:rFonts w:hint="default"/>
          <w:color w:val="auto"/>
          <w:lang w:val="en-US" w:eastAsia="zh-CN"/>
        </w:rPr>
        <w:t>安全措施费用</w:t>
      </w:r>
      <w:bookmarkEnd w:id="169"/>
      <w:bookmarkEnd w:id="170"/>
      <w:bookmarkEnd w:id="171"/>
      <w:bookmarkEnd w:id="172"/>
    </w:p>
    <w:p w14:paraId="1235102F">
      <w:pPr>
        <w:rPr>
          <w:rFonts w:hint="default"/>
          <w:strike w:val="0"/>
          <w:dstrike w:val="0"/>
          <w:color w:val="auto"/>
          <w:lang w:val="en-US" w:eastAsia="zh-CN"/>
        </w:rPr>
      </w:pPr>
      <w:r>
        <w:rPr>
          <w:rFonts w:hint="default"/>
          <w:strike w:val="0"/>
          <w:dstrike w:val="0"/>
          <w:color w:val="auto"/>
          <w:lang w:val="en-US" w:eastAsia="zh-CN"/>
        </w:rPr>
        <w:t>江西省宜丰万国矿业有限公司制定了202</w:t>
      </w:r>
      <w:r>
        <w:rPr>
          <w:rFonts w:hint="eastAsia"/>
          <w:strike w:val="0"/>
          <w:dstrike w:val="0"/>
          <w:color w:val="auto"/>
          <w:lang w:val="en-US" w:eastAsia="zh-CN"/>
        </w:rPr>
        <w:t>5</w:t>
      </w:r>
      <w:r>
        <w:rPr>
          <w:rFonts w:hint="default"/>
          <w:strike w:val="0"/>
          <w:dstrike w:val="0"/>
          <w:color w:val="auto"/>
          <w:lang w:val="en-US" w:eastAsia="zh-CN"/>
        </w:rPr>
        <w:t>年安全措施费用提取和使用计划，</w:t>
      </w:r>
      <w:r>
        <w:rPr>
          <w:rFonts w:hint="eastAsia"/>
          <w:strike w:val="0"/>
          <w:dstrike w:val="0"/>
          <w:color w:val="auto"/>
          <w:lang w:val="en-US" w:eastAsia="zh-CN"/>
        </w:rPr>
        <w:t>计划投入1471万，</w:t>
      </w:r>
      <w:r>
        <w:rPr>
          <w:rFonts w:hint="default"/>
          <w:strike w:val="0"/>
          <w:dstrike w:val="0"/>
          <w:color w:val="auto"/>
          <w:lang w:val="en-US" w:eastAsia="zh-CN"/>
        </w:rPr>
        <w:t>主要用于劳动防护用品费用支出，应急救援器材、设备及进行应急救援演练的支出、安全生产隐患整改支出</w:t>
      </w:r>
      <w:r>
        <w:rPr>
          <w:rFonts w:hint="eastAsia"/>
          <w:strike w:val="0"/>
          <w:dstrike w:val="0"/>
          <w:color w:val="auto"/>
          <w:lang w:val="en-US" w:eastAsia="zh-CN"/>
        </w:rPr>
        <w:t>、安全评价报告及安责险的支出、重大危险源的评估、整改及监控</w:t>
      </w:r>
      <w:r>
        <w:rPr>
          <w:rFonts w:hint="default"/>
          <w:strike w:val="0"/>
          <w:dstrike w:val="0"/>
          <w:color w:val="auto"/>
          <w:lang w:val="en-US" w:eastAsia="zh-CN"/>
        </w:rPr>
        <w:t>及安全宣传、教育、技能培训的支出、安全奖励的支出，做到安全费用专款专用。</w:t>
      </w:r>
    </w:p>
    <w:p w14:paraId="163D4A19">
      <w:pPr>
        <w:pStyle w:val="4"/>
        <w:bidi w:val="0"/>
        <w:rPr>
          <w:rFonts w:hint="default"/>
          <w:color w:val="auto"/>
          <w:lang w:val="en-US" w:eastAsia="zh-CN"/>
        </w:rPr>
      </w:pPr>
      <w:bookmarkStart w:id="173" w:name="_Toc31936"/>
      <w:bookmarkStart w:id="174" w:name="_Toc26445"/>
      <w:bookmarkStart w:id="175" w:name="_Toc20331"/>
      <w:bookmarkStart w:id="176" w:name="_Toc6679"/>
      <w:r>
        <w:rPr>
          <w:rFonts w:hint="default"/>
          <w:color w:val="auto"/>
          <w:lang w:val="en-US" w:eastAsia="zh-CN"/>
        </w:rPr>
        <w:t>2.8.6</w:t>
      </w:r>
      <w:r>
        <w:rPr>
          <w:rFonts w:hint="eastAsia"/>
          <w:color w:val="auto"/>
          <w:lang w:val="en-US" w:eastAsia="zh-CN"/>
        </w:rPr>
        <w:t xml:space="preserve"> </w:t>
      </w:r>
      <w:r>
        <w:rPr>
          <w:rFonts w:hint="default"/>
          <w:color w:val="auto"/>
          <w:lang w:val="en-US" w:eastAsia="zh-CN"/>
        </w:rPr>
        <w:t>安全检查</w:t>
      </w:r>
      <w:bookmarkEnd w:id="173"/>
      <w:bookmarkEnd w:id="174"/>
      <w:bookmarkEnd w:id="175"/>
      <w:bookmarkEnd w:id="176"/>
    </w:p>
    <w:p w14:paraId="50B87738">
      <w:pPr>
        <w:rPr>
          <w:rFonts w:hint="eastAsia"/>
          <w:strike w:val="0"/>
          <w:dstrike w:val="0"/>
          <w:color w:val="auto"/>
          <w:lang w:val="en-US" w:eastAsia="zh-CN"/>
        </w:rPr>
      </w:pPr>
      <w:r>
        <w:rPr>
          <w:rFonts w:hint="eastAsia"/>
          <w:strike w:val="0"/>
          <w:dstrike w:val="0"/>
          <w:color w:val="auto"/>
          <w:lang w:val="en-US" w:eastAsia="zh-CN"/>
        </w:rPr>
        <w:t>江西省宜丰万国矿业有限公司制定了隐患排查治理制度，每月开展一次公司层级的隐患排查，每月安环部、选矿车间开展一次车间层次的隐患排查，每日开展一次班组层次的隐患排查，发现隐患对照五定原则落实整改责任人和措施，并定期上“双十五系统”运行。</w:t>
      </w:r>
    </w:p>
    <w:p w14:paraId="71804211">
      <w:pPr>
        <w:rPr>
          <w:rFonts w:hint="default"/>
          <w:strike w:val="0"/>
          <w:dstrike w:val="0"/>
          <w:color w:val="auto"/>
          <w:lang w:val="en-US" w:eastAsia="zh-CN"/>
        </w:rPr>
      </w:pPr>
      <w:r>
        <w:rPr>
          <w:rFonts w:hint="eastAsia"/>
          <w:strike w:val="0"/>
          <w:dstrike w:val="0"/>
          <w:color w:val="auto"/>
          <w:lang w:val="en-US" w:eastAsia="zh-CN"/>
        </w:rPr>
        <w:t>尾矿库已完成了风险分级管控三清单，辨识了尾矿库的主要风险及责任情况、管控清单和应急处置清单，并定期更新相关内容。</w:t>
      </w:r>
    </w:p>
    <w:p w14:paraId="452B04CD">
      <w:pPr>
        <w:pStyle w:val="4"/>
        <w:bidi w:val="0"/>
        <w:rPr>
          <w:rFonts w:hint="default"/>
          <w:color w:val="auto"/>
          <w:lang w:val="en-US" w:eastAsia="zh-CN"/>
        </w:rPr>
      </w:pPr>
      <w:bookmarkStart w:id="177" w:name="_Toc25330"/>
      <w:bookmarkStart w:id="178" w:name="_Toc14117"/>
      <w:bookmarkStart w:id="179" w:name="_Toc453"/>
      <w:bookmarkStart w:id="180" w:name="_Toc32019"/>
      <w:r>
        <w:rPr>
          <w:rFonts w:hint="default"/>
          <w:color w:val="auto"/>
          <w:lang w:val="en-US" w:eastAsia="zh-CN"/>
        </w:rPr>
        <w:t>2.8.7</w:t>
      </w:r>
      <w:r>
        <w:rPr>
          <w:rFonts w:hint="eastAsia"/>
          <w:color w:val="auto"/>
          <w:lang w:val="en-US" w:eastAsia="zh-CN"/>
        </w:rPr>
        <w:t xml:space="preserve"> </w:t>
      </w:r>
      <w:r>
        <w:rPr>
          <w:rFonts w:hint="default"/>
          <w:color w:val="auto"/>
          <w:lang w:val="en-US" w:eastAsia="zh-CN"/>
        </w:rPr>
        <w:t>安全生产标准化</w:t>
      </w:r>
      <w:bookmarkEnd w:id="177"/>
      <w:bookmarkEnd w:id="178"/>
      <w:bookmarkEnd w:id="179"/>
      <w:bookmarkEnd w:id="180"/>
    </w:p>
    <w:p w14:paraId="26058C9D">
      <w:pPr>
        <w:rPr>
          <w:rFonts w:hint="default"/>
          <w:b/>
          <w:bCs/>
          <w:strike w:val="0"/>
          <w:dstrike w:val="0"/>
          <w:color w:val="auto"/>
          <w:lang w:val="en-US" w:eastAsia="zh-CN"/>
        </w:rPr>
      </w:pPr>
      <w:r>
        <w:rPr>
          <w:rFonts w:hint="default"/>
          <w:strike w:val="0"/>
          <w:dstrike w:val="0"/>
          <w:color w:val="auto"/>
          <w:lang w:val="en-US" w:eastAsia="zh-CN"/>
        </w:rPr>
        <w:t>江西省宜丰万国矿业有限公司宜丰新庄铜铅锌矿尾矿库于</w:t>
      </w:r>
      <w:r>
        <w:rPr>
          <w:rFonts w:hint="default"/>
          <w:b w:val="0"/>
          <w:bCs w:val="0"/>
          <w:strike w:val="0"/>
          <w:dstrike w:val="0"/>
          <w:color w:val="auto"/>
          <w:lang w:val="en-US" w:eastAsia="zh-CN"/>
        </w:rPr>
        <w:t>202</w:t>
      </w:r>
      <w:r>
        <w:rPr>
          <w:rFonts w:hint="eastAsia"/>
          <w:b w:val="0"/>
          <w:bCs w:val="0"/>
          <w:strike w:val="0"/>
          <w:dstrike w:val="0"/>
          <w:color w:val="auto"/>
          <w:lang w:val="en-US" w:eastAsia="zh-CN"/>
        </w:rPr>
        <w:t>3</w:t>
      </w:r>
      <w:r>
        <w:rPr>
          <w:rFonts w:hint="default"/>
          <w:b w:val="0"/>
          <w:bCs w:val="0"/>
          <w:strike w:val="0"/>
          <w:dstrike w:val="0"/>
          <w:color w:val="auto"/>
          <w:lang w:val="en-US" w:eastAsia="zh-CN"/>
        </w:rPr>
        <w:t>年</w:t>
      </w:r>
      <w:r>
        <w:rPr>
          <w:rFonts w:hint="eastAsia"/>
          <w:b w:val="0"/>
          <w:bCs w:val="0"/>
          <w:strike w:val="0"/>
          <w:dstrike w:val="0"/>
          <w:color w:val="auto"/>
          <w:lang w:val="en-US" w:eastAsia="zh-CN"/>
        </w:rPr>
        <w:t>8</w:t>
      </w:r>
      <w:r>
        <w:rPr>
          <w:rFonts w:hint="default"/>
          <w:b w:val="0"/>
          <w:bCs w:val="0"/>
          <w:strike w:val="0"/>
          <w:dstrike w:val="0"/>
          <w:color w:val="auto"/>
          <w:lang w:val="en-US" w:eastAsia="zh-CN"/>
        </w:rPr>
        <w:t>月</w:t>
      </w:r>
      <w:r>
        <w:rPr>
          <w:rFonts w:hint="eastAsia"/>
          <w:b w:val="0"/>
          <w:bCs w:val="0"/>
          <w:strike w:val="0"/>
          <w:dstrike w:val="0"/>
          <w:color w:val="auto"/>
          <w:lang w:val="en-US" w:eastAsia="zh-CN"/>
        </w:rPr>
        <w:t>4</w:t>
      </w:r>
      <w:r>
        <w:rPr>
          <w:rFonts w:hint="default"/>
          <w:b w:val="0"/>
          <w:bCs w:val="0"/>
          <w:strike w:val="0"/>
          <w:dstrike w:val="0"/>
          <w:color w:val="auto"/>
          <w:lang w:val="en-US" w:eastAsia="zh-CN"/>
        </w:rPr>
        <w:t>日获非煤矿山安全生产标准化二级企业，有效期3年，详见江西省应急管理厅网站《江西省非煤矿山企业安全生产标准化</w:t>
      </w:r>
      <w:r>
        <w:rPr>
          <w:rFonts w:hint="eastAsia"/>
          <w:b w:val="0"/>
          <w:bCs w:val="0"/>
          <w:strike w:val="0"/>
          <w:dstrike w:val="0"/>
          <w:color w:val="auto"/>
          <w:lang w:val="en-US" w:eastAsia="zh-CN"/>
        </w:rPr>
        <w:t>（</w:t>
      </w:r>
      <w:r>
        <w:rPr>
          <w:rFonts w:hint="default"/>
          <w:b w:val="0"/>
          <w:bCs w:val="0"/>
          <w:strike w:val="0"/>
          <w:dstrike w:val="0"/>
          <w:color w:val="auto"/>
          <w:lang w:val="en-US" w:eastAsia="zh-CN"/>
        </w:rPr>
        <w:t>二级</w:t>
      </w:r>
      <w:r>
        <w:rPr>
          <w:rFonts w:hint="eastAsia"/>
          <w:b w:val="0"/>
          <w:bCs w:val="0"/>
          <w:strike w:val="0"/>
          <w:dstrike w:val="0"/>
          <w:color w:val="auto"/>
          <w:lang w:val="en-US" w:eastAsia="zh-CN"/>
        </w:rPr>
        <w:t>）</w:t>
      </w:r>
      <w:r>
        <w:rPr>
          <w:rFonts w:hint="default"/>
          <w:b w:val="0"/>
          <w:bCs w:val="0"/>
          <w:strike w:val="0"/>
          <w:dstrike w:val="0"/>
          <w:color w:val="auto"/>
          <w:lang w:val="en-US" w:eastAsia="zh-CN"/>
        </w:rPr>
        <w:t>评审定级拟通过企业公示</w:t>
      </w:r>
      <w:r>
        <w:rPr>
          <w:rFonts w:hint="eastAsia"/>
          <w:b w:val="0"/>
          <w:bCs w:val="0"/>
          <w:strike w:val="0"/>
          <w:dstrike w:val="0"/>
          <w:color w:val="auto"/>
          <w:lang w:val="en-US" w:eastAsia="zh-CN"/>
        </w:rPr>
        <w:t>（2023年8月14日）</w:t>
      </w:r>
      <w:r>
        <w:rPr>
          <w:rFonts w:hint="default"/>
          <w:b w:val="0"/>
          <w:bCs w:val="0"/>
          <w:strike w:val="0"/>
          <w:dstrike w:val="0"/>
          <w:color w:val="auto"/>
          <w:lang w:val="en-US" w:eastAsia="zh-CN"/>
        </w:rPr>
        <w:t>》。</w:t>
      </w:r>
    </w:p>
    <w:p w14:paraId="5FD17D13">
      <w:pPr>
        <w:pStyle w:val="4"/>
        <w:bidi w:val="0"/>
        <w:rPr>
          <w:rFonts w:hint="default"/>
          <w:color w:val="auto"/>
          <w:lang w:val="en-US" w:eastAsia="zh-CN"/>
        </w:rPr>
      </w:pPr>
      <w:bookmarkStart w:id="181" w:name="_Toc29590"/>
      <w:bookmarkStart w:id="182" w:name="_Toc8276"/>
      <w:bookmarkStart w:id="183" w:name="_Toc4059"/>
      <w:bookmarkStart w:id="184" w:name="_Toc12485"/>
      <w:r>
        <w:rPr>
          <w:rFonts w:hint="default"/>
          <w:color w:val="auto"/>
          <w:lang w:val="en-US" w:eastAsia="zh-CN"/>
        </w:rPr>
        <w:t>2.8.8</w:t>
      </w:r>
      <w:r>
        <w:rPr>
          <w:rFonts w:hint="eastAsia"/>
          <w:color w:val="auto"/>
          <w:lang w:val="en-US" w:eastAsia="zh-CN"/>
        </w:rPr>
        <w:t xml:space="preserve"> </w:t>
      </w:r>
      <w:r>
        <w:rPr>
          <w:rFonts w:hint="default"/>
          <w:color w:val="auto"/>
          <w:lang w:val="en-US" w:eastAsia="zh-CN"/>
        </w:rPr>
        <w:t>事故情况</w:t>
      </w:r>
      <w:bookmarkEnd w:id="181"/>
      <w:bookmarkEnd w:id="182"/>
      <w:bookmarkEnd w:id="183"/>
      <w:bookmarkEnd w:id="184"/>
    </w:p>
    <w:p w14:paraId="469BB14E">
      <w:pPr>
        <w:rPr>
          <w:rFonts w:hint="default"/>
          <w:color w:val="auto"/>
          <w:lang w:val="en-US" w:eastAsia="zh-CN"/>
        </w:rPr>
      </w:pPr>
      <w:r>
        <w:rPr>
          <w:rFonts w:hint="eastAsia"/>
          <w:color w:val="auto"/>
          <w:lang w:val="en-US" w:eastAsia="zh-CN"/>
        </w:rPr>
        <w:t>江西省宜丰万国矿业有限公司宜丰新庄铜铅锌矿尾矿库自2022年取证以来未发生任何安全事故</w:t>
      </w:r>
      <w:r>
        <w:rPr>
          <w:rFonts w:hint="default"/>
          <w:color w:val="auto"/>
          <w:lang w:val="en-US" w:eastAsia="zh-CN"/>
        </w:rPr>
        <w:t>。</w:t>
      </w:r>
    </w:p>
    <w:p w14:paraId="78772293">
      <w:pPr>
        <w:pStyle w:val="4"/>
        <w:bidi w:val="0"/>
        <w:rPr>
          <w:rFonts w:hint="default"/>
          <w:color w:val="auto"/>
          <w:lang w:val="en-US" w:eastAsia="zh-CN"/>
        </w:rPr>
      </w:pPr>
      <w:bookmarkStart w:id="185" w:name="_Toc31948"/>
      <w:bookmarkStart w:id="186" w:name="_Toc32305"/>
      <w:bookmarkStart w:id="187" w:name="_Toc26466"/>
      <w:bookmarkStart w:id="188" w:name="_Toc11951"/>
      <w:r>
        <w:rPr>
          <w:rFonts w:hint="default"/>
          <w:color w:val="auto"/>
          <w:lang w:val="en-US" w:eastAsia="zh-CN"/>
        </w:rPr>
        <w:t>2.8.9</w:t>
      </w:r>
      <w:r>
        <w:rPr>
          <w:rFonts w:hint="eastAsia"/>
          <w:color w:val="auto"/>
          <w:lang w:val="en-US" w:eastAsia="zh-CN"/>
        </w:rPr>
        <w:t xml:space="preserve"> </w:t>
      </w:r>
      <w:r>
        <w:rPr>
          <w:rFonts w:hint="default"/>
          <w:color w:val="auto"/>
          <w:lang w:val="en-US" w:eastAsia="zh-CN"/>
        </w:rPr>
        <w:t>安全生产责任保险</w:t>
      </w:r>
      <w:bookmarkEnd w:id="185"/>
      <w:bookmarkEnd w:id="186"/>
      <w:bookmarkEnd w:id="187"/>
      <w:bookmarkEnd w:id="188"/>
    </w:p>
    <w:p w14:paraId="2B9AFD43">
      <w:pPr>
        <w:rPr>
          <w:rFonts w:hint="default"/>
          <w:strike w:val="0"/>
          <w:dstrike w:val="0"/>
          <w:color w:val="auto"/>
          <w:lang w:val="en-US" w:eastAsia="zh-CN"/>
        </w:rPr>
      </w:pPr>
      <w:r>
        <w:rPr>
          <w:rFonts w:hint="eastAsia"/>
          <w:color w:val="auto"/>
          <w:lang w:val="en-US" w:eastAsia="zh-CN"/>
        </w:rPr>
        <w:t>江西省宜丰万国矿业有限公司</w:t>
      </w:r>
      <w:r>
        <w:rPr>
          <w:rFonts w:hint="default"/>
          <w:strike w:val="0"/>
          <w:dstrike w:val="0"/>
          <w:color w:val="auto"/>
          <w:lang w:val="en-US" w:eastAsia="zh-CN"/>
        </w:rPr>
        <w:t>已依法参加工伤等社会保险和安全生产责任险，按规定发放</w:t>
      </w:r>
      <w:r>
        <w:rPr>
          <w:rFonts w:hint="eastAsia"/>
          <w:strike w:val="0"/>
          <w:dstrike w:val="0"/>
          <w:color w:val="auto"/>
          <w:lang w:val="en-US" w:eastAsia="zh-CN"/>
        </w:rPr>
        <w:t>了</w:t>
      </w:r>
      <w:r>
        <w:rPr>
          <w:rFonts w:hint="default"/>
          <w:strike w:val="0"/>
          <w:dstrike w:val="0"/>
          <w:color w:val="auto"/>
          <w:lang w:val="en-US" w:eastAsia="zh-CN"/>
        </w:rPr>
        <w:t>劳动保护用品。</w:t>
      </w:r>
    </w:p>
    <w:p w14:paraId="00C6C050">
      <w:pPr>
        <w:pStyle w:val="3"/>
        <w:bidi w:val="0"/>
        <w:rPr>
          <w:rFonts w:hint="eastAsia"/>
          <w:color w:val="auto"/>
          <w:lang w:val="en-US" w:eastAsia="zh-CN"/>
        </w:rPr>
      </w:pPr>
      <w:bookmarkStart w:id="189" w:name="_Toc24926"/>
      <w:bookmarkStart w:id="190" w:name="_Toc10212"/>
      <w:bookmarkStart w:id="191" w:name="_Toc27078"/>
      <w:r>
        <w:rPr>
          <w:rFonts w:hint="eastAsia"/>
          <w:color w:val="auto"/>
          <w:lang w:val="en-US" w:eastAsia="zh-CN"/>
        </w:rPr>
        <w:t>2.9 隐蔽致灾因素普查</w:t>
      </w:r>
      <w:bookmarkEnd w:id="189"/>
      <w:bookmarkEnd w:id="190"/>
      <w:bookmarkEnd w:id="191"/>
    </w:p>
    <w:p w14:paraId="67D8FE7B">
      <w:pPr>
        <w:rPr>
          <w:rFonts w:hint="default"/>
          <w:strike w:val="0"/>
          <w:dstrike w:val="0"/>
          <w:color w:val="auto"/>
          <w:lang w:val="en-US" w:eastAsia="zh-CN"/>
        </w:rPr>
      </w:pPr>
      <w:r>
        <w:rPr>
          <w:rFonts w:hint="eastAsia"/>
          <w:strike w:val="0"/>
          <w:dstrike w:val="0"/>
          <w:color w:val="auto"/>
          <w:lang w:val="en-US" w:eastAsia="zh-CN"/>
        </w:rPr>
        <w:t>目前</w:t>
      </w:r>
      <w:r>
        <w:rPr>
          <w:rFonts w:hint="eastAsia"/>
          <w:color w:val="auto"/>
          <w:lang w:val="en-US" w:eastAsia="zh-CN"/>
        </w:rPr>
        <w:t>江西省宜丰万国矿业有限公司</w:t>
      </w:r>
      <w:r>
        <w:rPr>
          <w:rFonts w:hint="eastAsia"/>
          <w:strike w:val="0"/>
          <w:dstrike w:val="0"/>
          <w:color w:val="auto"/>
          <w:lang w:val="en-US" w:eastAsia="zh-CN"/>
        </w:rPr>
        <w:t>已与江西赣安安全生产科学技术咨询服务中心签订了合同，目前正在进行尾矿库隐蔽致灾因素普查工作。</w:t>
      </w:r>
    </w:p>
    <w:p w14:paraId="1E7FA298">
      <w:pPr>
        <w:pStyle w:val="3"/>
        <w:bidi w:val="0"/>
        <w:rPr>
          <w:rFonts w:hint="default"/>
          <w:color w:val="auto"/>
          <w:lang w:val="en-US" w:eastAsia="zh-CN"/>
        </w:rPr>
      </w:pPr>
      <w:bookmarkStart w:id="192" w:name="_Toc8125"/>
      <w:bookmarkStart w:id="193" w:name="_Toc27595"/>
      <w:bookmarkStart w:id="194" w:name="_Toc16626"/>
      <w:bookmarkStart w:id="195" w:name="_Toc6394"/>
      <w:r>
        <w:rPr>
          <w:rFonts w:hint="default"/>
          <w:color w:val="auto"/>
          <w:lang w:val="en-US" w:eastAsia="zh-CN"/>
        </w:rPr>
        <w:t>2.</w:t>
      </w:r>
      <w:r>
        <w:rPr>
          <w:rFonts w:hint="eastAsia"/>
          <w:color w:val="auto"/>
          <w:lang w:val="en-US" w:eastAsia="zh-CN"/>
        </w:rPr>
        <w:t xml:space="preserve">10 </w:t>
      </w:r>
      <w:r>
        <w:rPr>
          <w:rFonts w:hint="default"/>
          <w:color w:val="auto"/>
          <w:lang w:val="en-US" w:eastAsia="zh-CN"/>
        </w:rPr>
        <w:t>周边环境</w:t>
      </w:r>
      <w:bookmarkEnd w:id="192"/>
      <w:bookmarkEnd w:id="193"/>
      <w:bookmarkEnd w:id="194"/>
      <w:bookmarkEnd w:id="195"/>
    </w:p>
    <w:p w14:paraId="557AF8CC">
      <w:pPr>
        <w:rPr>
          <w:rFonts w:hint="default"/>
          <w:color w:val="auto"/>
          <w:lang w:val="en-US" w:eastAsia="zh-CN"/>
        </w:rPr>
      </w:pPr>
      <w:r>
        <w:rPr>
          <w:rFonts w:hint="default"/>
          <w:color w:val="auto"/>
          <w:lang w:val="en-US" w:eastAsia="zh-CN"/>
        </w:rPr>
        <w:t>宜丰新庄铜铅锌矿尾矿库位于江西省宜丰县新庄镇境内，尾矿库西侧上游区域约550m、400m、710m分别为石泉村、浅溪村（已搬迁）以及范家村，尾矿库北侧约260m有浅溪河自西向东流过，于晏家咀东南侧约630m汇入苏溪河（又名狮子河）；尾矿库东北侧约1120m处分别为张家村、港口村、山下黄家及晏家嘴几座村庄。其中张家村56户320人，港口村19户120人，山下黄家18户85人，晏家嘴11户72人。</w:t>
      </w:r>
    </w:p>
    <w:p w14:paraId="0D3F8244">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color w:val="auto"/>
          <w:lang w:val="en-US" w:eastAsia="zh-CN"/>
        </w:rPr>
      </w:pPr>
      <w:r>
        <w:rPr>
          <w:rFonts w:hint="default"/>
          <w:color w:val="auto"/>
          <w:lang w:val="en-US" w:eastAsia="zh-CN"/>
        </w:rPr>
        <w:t>根据《江西省宜丰万国矿业有限公司宜丰新庄铜铅锌矿尾矿库加高扩容暨湿改干工程溃坝数值模拟研究》</w:t>
      </w:r>
      <w:r>
        <w:rPr>
          <w:rFonts w:hint="eastAsia" w:ascii="Times New Roman" w:hAnsi="Times New Roman" w:eastAsia="宋体" w:cs="Times New Roman"/>
          <w:strike w:val="0"/>
          <w:dstrike w:val="0"/>
          <w:color w:val="auto"/>
        </w:rPr>
        <w:t>（中国瑞林工程技术股份有限公司，2020年</w:t>
      </w:r>
      <w:r>
        <w:rPr>
          <w:rFonts w:hint="eastAsia" w:ascii="Times New Roman" w:hAnsi="Times New Roman" w:eastAsia="宋体" w:cs="Times New Roman"/>
          <w:strike w:val="0"/>
          <w:dstrike w:val="0"/>
          <w:color w:val="auto"/>
          <w:lang w:val="en-US" w:eastAsia="zh-CN"/>
        </w:rPr>
        <w:t>11</w:t>
      </w:r>
      <w:r>
        <w:rPr>
          <w:rFonts w:hint="eastAsia" w:ascii="Times New Roman" w:hAnsi="Times New Roman" w:eastAsia="宋体" w:cs="Times New Roman"/>
          <w:strike w:val="0"/>
          <w:dstrike w:val="0"/>
          <w:color w:val="auto"/>
        </w:rPr>
        <w:t>月）</w:t>
      </w:r>
      <w:r>
        <w:rPr>
          <w:rFonts w:hint="default"/>
          <w:color w:val="auto"/>
          <w:lang w:val="en-US" w:eastAsia="zh-CN"/>
        </w:rPr>
        <w:t>中溃坝数值模拟计算，</w:t>
      </w:r>
      <w:r>
        <w:rPr>
          <w:rFonts w:hint="default"/>
          <w:color w:val="auto"/>
          <w:lang w:val="en-US" w:eastAsia="zh-CN"/>
        </w:rPr>
        <w:t>宜丰新庄铜铅锌矿尾矿库</w:t>
      </w:r>
      <w:r>
        <w:rPr>
          <w:rFonts w:hint="default"/>
          <w:color w:val="auto"/>
          <w:lang w:val="en-US" w:eastAsia="zh-CN"/>
        </w:rPr>
        <w:t>、阴坑尾矿库单独溃坝情况下，对周边房屋均无影响</w:t>
      </w:r>
      <w:r>
        <w:rPr>
          <w:rFonts w:hint="eastAsia"/>
          <w:color w:val="auto"/>
          <w:lang w:val="en-US" w:eastAsia="zh-CN"/>
        </w:rPr>
        <w:t>；</w:t>
      </w:r>
      <w:r>
        <w:rPr>
          <w:rFonts w:hint="default"/>
          <w:color w:val="auto"/>
          <w:lang w:val="en-US" w:eastAsia="zh-CN"/>
        </w:rPr>
        <w:t>宜丰新庄铜铅锌矿尾矿库和阴坑尾矿库同时溃坝情况下，除浅溪村房屋处尾砂堆积厚度仅约0.15m</w:t>
      </w:r>
      <w:r>
        <w:rPr>
          <w:rFonts w:hint="eastAsia"/>
          <w:color w:val="auto"/>
          <w:lang w:val="en-US" w:eastAsia="zh-CN"/>
        </w:rPr>
        <w:t>（</w:t>
      </w:r>
      <w:r>
        <w:rPr>
          <w:rFonts w:hint="default"/>
          <w:color w:val="auto"/>
          <w:lang w:val="en-US" w:eastAsia="zh-CN"/>
        </w:rPr>
        <w:t>堆积厚度较小，影响较小</w:t>
      </w:r>
      <w:r>
        <w:rPr>
          <w:rFonts w:hint="eastAsia"/>
          <w:color w:val="auto"/>
          <w:lang w:val="en-US" w:eastAsia="zh-CN"/>
        </w:rPr>
        <w:t>）</w:t>
      </w:r>
      <w:r>
        <w:rPr>
          <w:rFonts w:hint="default"/>
          <w:color w:val="auto"/>
          <w:lang w:val="en-US" w:eastAsia="zh-CN"/>
        </w:rPr>
        <w:t>，溃坝对周边房屋均无影响。</w:t>
      </w:r>
    </w:p>
    <w:p w14:paraId="5FAF1A8B">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color w:val="auto"/>
          <w:lang w:val="en-US" w:eastAsia="zh-CN"/>
        </w:rPr>
      </w:pPr>
      <w:r>
        <w:rPr>
          <w:rFonts w:hint="default"/>
          <w:color w:val="auto"/>
          <w:lang w:val="en-US" w:eastAsia="zh-CN"/>
        </w:rPr>
        <w:t>通过溃坝模拟可知，尾矿库初期坝坡脚起至下游尾矿流经路径1km范围内没有居民和重要设施，故尾矿库不属于头顶库。</w:t>
      </w:r>
    </w:p>
    <w:p w14:paraId="067C7F0A">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color w:val="auto"/>
          <w:lang w:val="en-US" w:eastAsia="zh-CN"/>
        </w:rPr>
      </w:pPr>
      <w:r>
        <w:rPr>
          <w:rFonts w:hint="default"/>
          <w:color w:val="auto"/>
          <w:lang w:val="en-US" w:eastAsia="zh-CN"/>
        </w:rPr>
        <w:t>江西省宜丰万国矿业有限公司在宜丰新庄铜铅锌矿尾矿库库尾按当地公安部门的要求构建了一座地面爆破器材库</w:t>
      </w:r>
      <w:r>
        <w:rPr>
          <w:rFonts w:hint="eastAsia"/>
          <w:color w:val="auto"/>
          <w:lang w:val="en-US" w:eastAsia="zh-CN"/>
        </w:rPr>
        <w:t>，</w:t>
      </w:r>
      <w:r>
        <w:rPr>
          <w:rFonts w:hint="default"/>
          <w:color w:val="auto"/>
          <w:lang w:val="en-US" w:eastAsia="zh-CN"/>
        </w:rPr>
        <w:t>其中炸药最大存储量为20t，雷管最大存储量为10万发，其占地面积为6000m</w:t>
      </w:r>
      <w:r>
        <w:rPr>
          <w:rFonts w:hint="eastAsia"/>
          <w:color w:val="auto"/>
          <w:vertAlign w:val="superscript"/>
          <w:lang w:val="en-US" w:eastAsia="zh-CN"/>
        </w:rPr>
        <w:t>2</w:t>
      </w:r>
      <w:r>
        <w:rPr>
          <w:rFonts w:hint="default"/>
          <w:color w:val="auto"/>
          <w:lang w:val="en-US" w:eastAsia="zh-CN"/>
        </w:rPr>
        <w:t>。根据《江西省宜丰万国矿业有限公司新庄镇龙溪村大型民用爆炸物品储存库安全现状评价报告》</w:t>
      </w:r>
      <w:r>
        <w:rPr>
          <w:rFonts w:hint="eastAsia"/>
          <w:color w:val="auto"/>
          <w:lang w:val="en-US" w:eastAsia="zh-CN"/>
        </w:rPr>
        <w:t>（</w:t>
      </w:r>
      <w:r>
        <w:rPr>
          <w:rFonts w:hint="default"/>
          <w:color w:val="auto"/>
          <w:lang w:val="en-US" w:eastAsia="zh-CN"/>
        </w:rPr>
        <w:t>南昌安达安全技术咨询有限公司，20</w:t>
      </w:r>
      <w:r>
        <w:rPr>
          <w:rFonts w:hint="eastAsia"/>
          <w:color w:val="auto"/>
          <w:lang w:val="en-US" w:eastAsia="zh-CN"/>
        </w:rPr>
        <w:t>19</w:t>
      </w:r>
      <w:r>
        <w:rPr>
          <w:rFonts w:hint="default"/>
          <w:color w:val="auto"/>
          <w:lang w:val="en-US" w:eastAsia="zh-CN"/>
        </w:rPr>
        <w:t>年5月</w:t>
      </w:r>
      <w:r>
        <w:rPr>
          <w:rFonts w:hint="eastAsia"/>
          <w:color w:val="auto"/>
          <w:lang w:val="en-US" w:eastAsia="zh-CN"/>
        </w:rPr>
        <w:t>）</w:t>
      </w:r>
      <w:r>
        <w:rPr>
          <w:rFonts w:hint="default"/>
          <w:color w:val="auto"/>
          <w:lang w:val="en-US" w:eastAsia="zh-CN"/>
        </w:rPr>
        <w:t>中爆炸冲击波破坏范围计算，库区值班室距离炸药库约200m，冲击波超压值0.023MPa，对人员伤害表现为轻微伤害，对值班室建筑破坏程度为次轻度破坏。考虑到库房地面高程</w:t>
      </w:r>
      <w:r>
        <w:rPr>
          <w:rFonts w:hint="eastAsia"/>
          <w:color w:val="auto"/>
          <w:lang w:val="en-US" w:eastAsia="zh-CN"/>
        </w:rPr>
        <w:t>+</w:t>
      </w:r>
      <w:r>
        <w:rPr>
          <w:rFonts w:hint="default"/>
          <w:color w:val="auto"/>
          <w:lang w:val="en-US" w:eastAsia="zh-CN"/>
        </w:rPr>
        <w:t>81.46m</w:t>
      </w:r>
      <w:r>
        <w:rPr>
          <w:rFonts w:hint="default" w:ascii="Times New Roman" w:hAnsi="Times New Roman" w:eastAsia="宋体" w:cs="Times New Roman"/>
          <w:color w:val="auto"/>
          <w:sz w:val="28"/>
          <w:szCs w:val="28"/>
        </w:rPr>
        <w:t>～</w:t>
      </w:r>
      <w:r>
        <w:rPr>
          <w:rFonts w:hint="eastAsia"/>
          <w:color w:val="auto"/>
          <w:lang w:val="en-US" w:eastAsia="zh-CN"/>
        </w:rPr>
        <w:t>+</w:t>
      </w:r>
      <w:r>
        <w:rPr>
          <w:rFonts w:hint="default"/>
          <w:color w:val="auto"/>
          <w:lang w:val="en-US" w:eastAsia="zh-CN"/>
        </w:rPr>
        <w:t>82.36m，相互之间隔有防爆堤</w:t>
      </w:r>
      <w:r>
        <w:rPr>
          <w:rFonts w:hint="eastAsia"/>
          <w:color w:val="auto"/>
          <w:lang w:val="en-US" w:eastAsia="zh-CN"/>
        </w:rPr>
        <w:t>，</w:t>
      </w:r>
      <w:r>
        <w:rPr>
          <w:rFonts w:hint="default"/>
          <w:color w:val="auto"/>
          <w:lang w:val="en-US" w:eastAsia="zh-CN"/>
        </w:rPr>
        <w:t>且其北侧有座</w:t>
      </w:r>
      <w:r>
        <w:rPr>
          <w:rFonts w:hint="eastAsia"/>
          <w:color w:val="auto"/>
          <w:lang w:val="en-US" w:eastAsia="zh-CN"/>
        </w:rPr>
        <w:t>+</w:t>
      </w:r>
      <w:r>
        <w:rPr>
          <w:rFonts w:hint="default"/>
          <w:color w:val="auto"/>
          <w:lang w:val="en-US" w:eastAsia="zh-CN"/>
        </w:rPr>
        <w:t>87.3m高的小山包，尾矿库库区干堆体起堆处距离约200m，同时考虑到设计的尾矿坝在6级地震加速度下还能正常运行，故爆炸冲击波不会对尾矿坝稳定安全造成影响。</w:t>
      </w:r>
    </w:p>
    <w:p w14:paraId="70D85E39">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color w:val="auto"/>
          <w:lang w:val="en-US" w:eastAsia="zh-CN"/>
        </w:rPr>
      </w:pPr>
      <w:r>
        <w:rPr>
          <w:rFonts w:hint="default"/>
          <w:color w:val="auto"/>
          <w:lang w:val="en-US" w:eastAsia="zh-CN"/>
        </w:rPr>
        <w:t>202</w:t>
      </w:r>
      <w:r>
        <w:rPr>
          <w:rFonts w:hint="eastAsia"/>
          <w:color w:val="auto"/>
          <w:lang w:val="en-US" w:eastAsia="zh-CN"/>
        </w:rPr>
        <w:t>5</w:t>
      </w:r>
      <w:r>
        <w:rPr>
          <w:rFonts w:hint="default"/>
          <w:color w:val="auto"/>
          <w:lang w:val="en-US" w:eastAsia="zh-CN"/>
        </w:rPr>
        <w:t>年5月</w:t>
      </w:r>
      <w:r>
        <w:rPr>
          <w:rFonts w:hint="eastAsia"/>
          <w:color w:val="auto"/>
          <w:lang w:val="en-US" w:eastAsia="zh-CN"/>
        </w:rPr>
        <w:t>，江西省宜丰万国矿业有限公司委托</w:t>
      </w:r>
      <w:r>
        <w:rPr>
          <w:rFonts w:hint="default"/>
          <w:color w:val="auto"/>
          <w:lang w:val="en-US" w:eastAsia="zh-CN"/>
        </w:rPr>
        <w:t>南昌安达安全技术咨询有限公司</w:t>
      </w:r>
      <w:r>
        <w:rPr>
          <w:rFonts w:hint="eastAsia"/>
          <w:color w:val="auto"/>
          <w:lang w:val="en-US" w:eastAsia="zh-CN"/>
        </w:rPr>
        <w:t>对爆破器材库进行了现状评价，出具了</w:t>
      </w:r>
      <w:r>
        <w:rPr>
          <w:rFonts w:hint="default"/>
          <w:color w:val="auto"/>
          <w:lang w:val="en-US" w:eastAsia="zh-CN"/>
        </w:rPr>
        <w:t>《江西省宜丰万国矿业有限公司江西省宜丰县新庄镇龙溪村民用爆炸物品储存库安全现状评价报告》</w:t>
      </w:r>
      <w:r>
        <w:rPr>
          <w:rFonts w:hint="eastAsia"/>
          <w:color w:val="auto"/>
          <w:lang w:val="en-US" w:eastAsia="zh-CN"/>
        </w:rPr>
        <w:t>，</w:t>
      </w:r>
      <w:r>
        <w:rPr>
          <w:rFonts w:hint="default"/>
          <w:color w:val="auto"/>
          <w:lang w:val="en-US" w:eastAsia="zh-CN"/>
        </w:rPr>
        <w:t>得出结论：江西省宜丰万国矿业有限公司位于江西省宜丰县新庄镇龙溪村的民用爆炸物品储存库</w:t>
      </w:r>
      <w:r>
        <w:rPr>
          <w:rFonts w:hint="eastAsia"/>
          <w:color w:val="auto"/>
          <w:lang w:val="en-US" w:eastAsia="zh-CN"/>
        </w:rPr>
        <w:t>（</w:t>
      </w:r>
      <w:r>
        <w:rPr>
          <w:rFonts w:hint="default"/>
          <w:color w:val="auto"/>
          <w:lang w:val="en-US" w:eastAsia="zh-CN"/>
        </w:rPr>
        <w:t>炸药库</w:t>
      </w:r>
      <w:r>
        <w:rPr>
          <w:rFonts w:hint="eastAsia"/>
          <w:color w:val="auto"/>
          <w:lang w:val="en-US" w:eastAsia="zh-CN"/>
        </w:rPr>
        <w:t>：</w:t>
      </w:r>
      <w:r>
        <w:rPr>
          <w:rFonts w:hint="default"/>
          <w:color w:val="auto"/>
          <w:lang w:val="en-US" w:eastAsia="zh-CN"/>
        </w:rPr>
        <w:t>20000kg工业炸药</w:t>
      </w:r>
      <w:r>
        <w:rPr>
          <w:rFonts w:hint="eastAsia"/>
          <w:color w:val="auto"/>
          <w:lang w:val="en-US" w:eastAsia="zh-CN"/>
        </w:rPr>
        <w:t>；</w:t>
      </w:r>
      <w:r>
        <w:rPr>
          <w:rFonts w:hint="default"/>
          <w:color w:val="auto"/>
          <w:lang w:val="en-US" w:eastAsia="zh-CN"/>
        </w:rPr>
        <w:t>雷管库</w:t>
      </w:r>
      <w:r>
        <w:rPr>
          <w:rFonts w:hint="eastAsia"/>
          <w:color w:val="auto"/>
          <w:lang w:val="en-US" w:eastAsia="zh-CN"/>
        </w:rPr>
        <w:t>：</w:t>
      </w:r>
      <w:r>
        <w:rPr>
          <w:rFonts w:hint="default"/>
          <w:color w:val="auto"/>
          <w:lang w:val="en-US" w:eastAsia="zh-CN"/>
        </w:rPr>
        <w:t>100000发工业雷管</w:t>
      </w:r>
      <w:r>
        <w:rPr>
          <w:rFonts w:hint="eastAsia"/>
          <w:color w:val="auto"/>
          <w:lang w:val="en-US" w:eastAsia="zh-CN"/>
        </w:rPr>
        <w:t>）</w:t>
      </w:r>
      <w:r>
        <w:rPr>
          <w:rFonts w:hint="default"/>
          <w:color w:val="auto"/>
          <w:lang w:val="en-US" w:eastAsia="zh-CN"/>
        </w:rPr>
        <w:t>储存条件和安全管理符合安全要求，本次评价结论为</w:t>
      </w:r>
      <w:r>
        <w:rPr>
          <w:rFonts w:hint="eastAsia"/>
          <w:color w:val="auto"/>
          <w:lang w:val="en-US" w:eastAsia="zh-CN"/>
        </w:rPr>
        <w:t>“</w:t>
      </w:r>
      <w:r>
        <w:rPr>
          <w:rFonts w:hint="default"/>
          <w:color w:val="auto"/>
          <w:lang w:val="en-US" w:eastAsia="zh-CN"/>
        </w:rPr>
        <w:t>合格</w:t>
      </w:r>
      <w:r>
        <w:rPr>
          <w:rFonts w:hint="eastAsia"/>
          <w:color w:val="auto"/>
          <w:lang w:val="en-US" w:eastAsia="zh-CN"/>
        </w:rPr>
        <w:t>”</w:t>
      </w:r>
      <w:r>
        <w:rPr>
          <w:rFonts w:hint="default"/>
          <w:color w:val="auto"/>
          <w:lang w:val="en-US" w:eastAsia="zh-CN"/>
        </w:rPr>
        <w:t>，该民用爆炸物品储存库具备继续使用条件。</w:t>
      </w:r>
    </w:p>
    <w:p w14:paraId="71E7EAD1">
      <w:pPr>
        <w:ind w:left="0" w:leftChars="0" w:firstLine="0" w:firstLineChars="0"/>
        <w:jc w:val="center"/>
        <w:rPr>
          <w:rFonts w:hint="default"/>
          <w:color w:val="auto"/>
          <w:lang w:val="en-US" w:eastAsia="zh-CN"/>
        </w:rPr>
      </w:pPr>
      <w:r>
        <w:rPr>
          <w:color w:val="auto"/>
        </w:rPr>
        <w:drawing>
          <wp:inline distT="0" distB="0" distL="114300" distR="114300">
            <wp:extent cx="5039995" cy="1830070"/>
            <wp:effectExtent l="0" t="0" r="8255" b="17780"/>
            <wp:docPr id="1" name="图片 2" descr="QQ截图2020041211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截图20200412111207"/>
                    <pic:cNvPicPr>
                      <a:picLocks noChangeAspect="1"/>
                    </pic:cNvPicPr>
                  </pic:nvPicPr>
                  <pic:blipFill>
                    <a:blip r:embed="rId10"/>
                    <a:stretch>
                      <a:fillRect/>
                    </a:stretch>
                  </pic:blipFill>
                  <pic:spPr>
                    <a:xfrm>
                      <a:off x="0" y="0"/>
                      <a:ext cx="5039995" cy="1830070"/>
                    </a:xfrm>
                    <a:prstGeom prst="rect">
                      <a:avLst/>
                    </a:prstGeom>
                    <a:noFill/>
                    <a:ln>
                      <a:noFill/>
                    </a:ln>
                  </pic:spPr>
                </pic:pic>
              </a:graphicData>
            </a:graphic>
          </wp:inline>
        </w:drawing>
      </w:r>
    </w:p>
    <w:p w14:paraId="55F94B42">
      <w:pPr>
        <w:ind w:left="0" w:leftChars="0" w:firstLine="0" w:firstLineChars="0"/>
        <w:jc w:val="center"/>
        <w:rPr>
          <w:rFonts w:hint="default"/>
          <w:color w:val="auto"/>
          <w:lang w:val="en-US" w:eastAsia="zh-CN"/>
        </w:rPr>
      </w:pPr>
      <w:r>
        <w:rPr>
          <w:rFonts w:hint="eastAsia"/>
          <w:color w:val="auto"/>
          <w:lang w:val="en-US" w:eastAsia="zh-CN"/>
        </w:rPr>
        <w:t xml:space="preserve">图2.10-1 </w:t>
      </w:r>
      <w:r>
        <w:rPr>
          <w:rFonts w:hint="default"/>
          <w:color w:val="auto"/>
          <w:lang w:val="en-US" w:eastAsia="zh-CN"/>
        </w:rPr>
        <w:t>尾矿库下游区域状况图</w:t>
      </w:r>
    </w:p>
    <w:p w14:paraId="47708E68">
      <w:pPr>
        <w:ind w:left="0" w:leftChars="0" w:firstLine="0" w:firstLineChars="0"/>
        <w:jc w:val="center"/>
        <w:rPr>
          <w:rFonts w:hint="default"/>
          <w:color w:val="auto"/>
          <w:lang w:val="en-US" w:eastAsia="zh-CN"/>
        </w:rPr>
      </w:pPr>
      <w:r>
        <w:rPr>
          <w:rFonts w:hint="default"/>
          <w:color w:val="auto"/>
          <w:lang w:val="en-US" w:eastAsia="zh-CN"/>
        </w:rPr>
        <w:br w:type="page"/>
      </w:r>
    </w:p>
    <w:p w14:paraId="07B96571">
      <w:pPr>
        <w:pStyle w:val="2"/>
        <w:numPr>
          <w:ilvl w:val="0"/>
          <w:numId w:val="3"/>
        </w:numPr>
        <w:bidi w:val="0"/>
        <w:ind w:left="0" w:leftChars="0" w:firstLine="643" w:firstLineChars="200"/>
        <w:rPr>
          <w:rFonts w:hint="default"/>
          <w:color w:val="auto"/>
          <w:lang w:val="en-US" w:eastAsia="zh-CN"/>
        </w:rPr>
      </w:pPr>
      <w:bookmarkStart w:id="196" w:name="_Toc28966"/>
      <w:bookmarkStart w:id="197" w:name="_Toc16325"/>
      <w:bookmarkStart w:id="198" w:name="_Toc10699"/>
      <w:bookmarkStart w:id="199" w:name="_Toc6734"/>
      <w:r>
        <w:rPr>
          <w:rFonts w:hint="default"/>
          <w:color w:val="auto"/>
          <w:lang w:val="en-US" w:eastAsia="zh-CN"/>
        </w:rPr>
        <w:t>辩识与分析危险、有害因素</w:t>
      </w:r>
      <w:bookmarkEnd w:id="196"/>
      <w:bookmarkEnd w:id="197"/>
      <w:bookmarkEnd w:id="198"/>
      <w:bookmarkEnd w:id="199"/>
      <w:r>
        <w:rPr>
          <w:rFonts w:hint="default"/>
          <w:color w:val="auto"/>
          <w:lang w:val="en-US" w:eastAsia="zh-CN"/>
        </w:rPr>
        <w:tab/>
      </w:r>
    </w:p>
    <w:p w14:paraId="53A18270">
      <w:pPr>
        <w:rPr>
          <w:rFonts w:hint="default"/>
          <w:color w:val="auto"/>
          <w:lang w:val="en-US" w:eastAsia="zh-CN"/>
        </w:rPr>
      </w:pPr>
      <w:r>
        <w:rPr>
          <w:rFonts w:hint="default"/>
          <w:color w:val="auto"/>
          <w:lang w:val="en-US" w:eastAsia="zh-CN"/>
        </w:rPr>
        <w:t>尾矿库是矿山的一项重要生产设施，它的运行状况好坏，直接关系到矿山的安全生产和人民生命财产的安全。据统计，在世界上的各种重大灾害中，尾矿库灾害仅次于发生地震、霍乱、洪水和氢弹爆炸而居于第18位。它一旦发生事故，必将对下游地区居民的生命和财产造成巨大灾害，并对环境造成严重污染。</w:t>
      </w:r>
    </w:p>
    <w:p w14:paraId="1CEAE9BC">
      <w:pPr>
        <w:pStyle w:val="3"/>
        <w:numPr>
          <w:ilvl w:val="1"/>
          <w:numId w:val="0"/>
        </w:numPr>
        <w:bidi w:val="0"/>
        <w:ind w:left="0" w:leftChars="0" w:firstLine="0" w:firstLineChars="0"/>
        <w:rPr>
          <w:rFonts w:hint="eastAsia"/>
          <w:color w:val="auto"/>
          <w:lang w:eastAsia="zh-CN"/>
        </w:rPr>
      </w:pPr>
      <w:bookmarkStart w:id="200" w:name="_Toc1374"/>
      <w:bookmarkStart w:id="201" w:name="_Toc3280"/>
      <w:bookmarkStart w:id="202" w:name="_Toc25017"/>
      <w:bookmarkStart w:id="203" w:name="_Toc24321"/>
      <w:bookmarkStart w:id="204" w:name="_Toc5371"/>
      <w:bookmarkStart w:id="205" w:name="_Toc23486"/>
      <w:bookmarkStart w:id="206" w:name="_Toc9916"/>
      <w:r>
        <w:rPr>
          <w:rFonts w:hint="eastAsia" w:cs="Times New Roman"/>
          <w:b/>
          <w:color w:val="auto"/>
          <w:kern w:val="2"/>
          <w:sz w:val="30"/>
          <w:szCs w:val="24"/>
          <w:lang w:val="en-US" w:eastAsia="zh-CN" w:bidi="ar-SA"/>
        </w:rPr>
        <w:t>3</w:t>
      </w:r>
      <w:r>
        <w:rPr>
          <w:rFonts w:hint="default" w:ascii="Times New Roman" w:hAnsi="Times New Roman" w:eastAsia="黑体" w:cs="Times New Roman"/>
          <w:b/>
          <w:color w:val="auto"/>
          <w:kern w:val="2"/>
          <w:sz w:val="30"/>
          <w:szCs w:val="24"/>
          <w:lang w:val="en-US" w:eastAsia="zh-CN" w:bidi="ar-SA"/>
        </w:rPr>
        <w:t>.1</w:t>
      </w:r>
      <w:r>
        <w:rPr>
          <w:rFonts w:hint="eastAsia" w:cs="Times New Roman"/>
          <w:b/>
          <w:color w:val="auto"/>
          <w:kern w:val="2"/>
          <w:sz w:val="30"/>
          <w:szCs w:val="24"/>
          <w:lang w:val="en-US" w:eastAsia="zh-CN" w:bidi="ar-SA"/>
        </w:rPr>
        <w:t xml:space="preserve"> </w:t>
      </w:r>
      <w:r>
        <w:rPr>
          <w:rFonts w:hint="eastAsia"/>
          <w:color w:val="auto"/>
          <w:lang w:eastAsia="zh-CN"/>
        </w:rPr>
        <w:t>尾矿库病害的产生原因</w:t>
      </w:r>
      <w:bookmarkEnd w:id="200"/>
      <w:bookmarkEnd w:id="201"/>
      <w:bookmarkEnd w:id="202"/>
      <w:bookmarkEnd w:id="203"/>
      <w:bookmarkEnd w:id="204"/>
      <w:bookmarkEnd w:id="205"/>
      <w:bookmarkEnd w:id="206"/>
    </w:p>
    <w:p w14:paraId="06F4F278">
      <w:pPr>
        <w:rPr>
          <w:rFonts w:hint="eastAsia"/>
          <w:color w:val="auto"/>
          <w:lang w:eastAsia="zh-CN"/>
        </w:rPr>
      </w:pPr>
      <w:r>
        <w:rPr>
          <w:rFonts w:hint="eastAsia" w:eastAsia="宋体"/>
          <w:color w:val="auto"/>
          <w:lang w:eastAsia="zh-CN"/>
        </w:rPr>
        <w:t>尾矿库从勘察、设计、施工到使用的全过程中，任何一个环节有毛病，都可能导致尾矿库不能正常使用。其中，由于生产管理不善、操作不当或外界环境因素干扰所造成的病害比较容易检查发现；而勘察、设计、施工或其它原因造成隐患，在使用初期不易显现出来，这些常被人忽视的隐患往往属于很难补救和治理的病害。</w:t>
      </w:r>
    </w:p>
    <w:p w14:paraId="069BB11A">
      <w:pPr>
        <w:pStyle w:val="4"/>
        <w:bidi w:val="0"/>
        <w:rPr>
          <w:rFonts w:hint="eastAsia"/>
          <w:color w:val="auto"/>
          <w:lang w:eastAsia="zh-CN"/>
        </w:rPr>
      </w:pPr>
      <w:bookmarkStart w:id="207" w:name="_Toc27439"/>
      <w:bookmarkStart w:id="208" w:name="_Toc25961"/>
      <w:bookmarkStart w:id="209" w:name="_Toc29693"/>
      <w:bookmarkStart w:id="210" w:name="_Toc19828"/>
      <w:bookmarkStart w:id="211" w:name="_Toc9241"/>
      <w:bookmarkStart w:id="212" w:name="_Toc20861"/>
      <w:bookmarkStart w:id="213" w:name="_Toc20826"/>
      <w:r>
        <w:rPr>
          <w:rFonts w:hint="eastAsia"/>
          <w:color w:val="auto"/>
          <w:lang w:eastAsia="zh-CN"/>
        </w:rPr>
        <w:t>3.1.1</w:t>
      </w:r>
      <w:r>
        <w:rPr>
          <w:rFonts w:hint="eastAsia"/>
          <w:color w:val="auto"/>
          <w:lang w:val="en-US" w:eastAsia="zh-CN"/>
        </w:rPr>
        <w:t xml:space="preserve"> </w:t>
      </w:r>
      <w:r>
        <w:rPr>
          <w:rFonts w:hint="eastAsia"/>
          <w:color w:val="auto"/>
          <w:lang w:eastAsia="zh-CN"/>
        </w:rPr>
        <w:t>勘察因素造成的病害</w:t>
      </w:r>
      <w:bookmarkEnd w:id="207"/>
      <w:bookmarkEnd w:id="208"/>
      <w:bookmarkEnd w:id="209"/>
      <w:bookmarkEnd w:id="210"/>
      <w:bookmarkEnd w:id="211"/>
      <w:bookmarkEnd w:id="212"/>
      <w:bookmarkEnd w:id="213"/>
    </w:p>
    <w:p w14:paraId="6C5E77AA">
      <w:pPr>
        <w:rPr>
          <w:rFonts w:hint="eastAsia"/>
          <w:color w:val="auto"/>
          <w:lang w:eastAsia="zh-CN"/>
        </w:rPr>
      </w:pPr>
      <w:r>
        <w:rPr>
          <w:rFonts w:hint="eastAsia" w:eastAsia="宋体"/>
          <w:color w:val="auto"/>
          <w:lang w:eastAsia="zh-CN"/>
        </w:rPr>
        <w:t>对库区、坝基、排洪管线等处的不良地质条件未能查明，就可能造成库内滑坡、坝体变形、坝基渗漏、排洪涵管断裂、排水井倒塌等病害。</w:t>
      </w:r>
    </w:p>
    <w:p w14:paraId="13730F9C">
      <w:pPr>
        <w:rPr>
          <w:rFonts w:hint="eastAsia"/>
          <w:color w:val="auto"/>
          <w:lang w:eastAsia="zh-CN"/>
        </w:rPr>
      </w:pPr>
      <w:r>
        <w:rPr>
          <w:rFonts w:hint="eastAsia" w:eastAsia="宋体"/>
          <w:color w:val="auto"/>
          <w:lang w:eastAsia="zh-CN"/>
        </w:rPr>
        <w:t>对尾矿堆坝坝体的勘察质量低劣，则导致稳定分析、排洪能力等结论的不可靠。</w:t>
      </w:r>
    </w:p>
    <w:p w14:paraId="209C9E53">
      <w:pPr>
        <w:pStyle w:val="4"/>
        <w:bidi w:val="0"/>
        <w:rPr>
          <w:rFonts w:hint="eastAsia"/>
          <w:color w:val="auto"/>
          <w:lang w:eastAsia="zh-CN"/>
        </w:rPr>
      </w:pPr>
      <w:bookmarkStart w:id="214" w:name="_Toc6634"/>
      <w:bookmarkStart w:id="215" w:name="_Toc22549"/>
      <w:bookmarkStart w:id="216" w:name="_Toc6407"/>
      <w:bookmarkStart w:id="217" w:name="_Toc30883"/>
      <w:bookmarkStart w:id="218" w:name="_Toc14833"/>
      <w:bookmarkStart w:id="219" w:name="_Toc3239"/>
      <w:bookmarkStart w:id="220" w:name="_Toc4962"/>
      <w:r>
        <w:rPr>
          <w:rFonts w:hint="eastAsia"/>
          <w:color w:val="auto"/>
          <w:lang w:eastAsia="zh-CN"/>
        </w:rPr>
        <w:t>3.1.2</w:t>
      </w:r>
      <w:r>
        <w:rPr>
          <w:rFonts w:hint="eastAsia"/>
          <w:color w:val="auto"/>
          <w:lang w:val="en-US" w:eastAsia="zh-CN"/>
        </w:rPr>
        <w:t xml:space="preserve"> </w:t>
      </w:r>
      <w:r>
        <w:rPr>
          <w:rFonts w:hint="eastAsia"/>
          <w:color w:val="auto"/>
          <w:lang w:eastAsia="zh-CN"/>
        </w:rPr>
        <w:t>设计因素造成的病害</w:t>
      </w:r>
      <w:bookmarkEnd w:id="214"/>
      <w:bookmarkEnd w:id="215"/>
      <w:bookmarkEnd w:id="216"/>
      <w:bookmarkEnd w:id="217"/>
      <w:bookmarkEnd w:id="218"/>
      <w:bookmarkEnd w:id="219"/>
      <w:bookmarkEnd w:id="220"/>
    </w:p>
    <w:p w14:paraId="0DA18BE8">
      <w:pPr>
        <w:bidi w:val="0"/>
        <w:rPr>
          <w:rFonts w:hint="eastAsia"/>
          <w:color w:val="auto"/>
          <w:lang w:eastAsia="zh-CN"/>
        </w:rPr>
      </w:pPr>
      <w:r>
        <w:rPr>
          <w:rFonts w:hint="eastAsia" w:eastAsia="宋体"/>
          <w:color w:val="auto"/>
          <w:lang w:eastAsia="zh-CN"/>
        </w:rPr>
        <w:t>设计质量低劣表现在基础资料不确切、设计方案及技术论证方法不当、不遵循设计规范、对库水位及浸润线深度的控制要求不明确，或要求不切实际等方面。尽管目前设计单位资质齐全，但上述因素造成尾矿库带病运行的现象屡见不鲜。由此造成的隐患大多为坝体在中、后期稳定性和防洪能力不能满足设计规范的要求。其次，排水构筑物出现断裂、气蚀、倒塌等病害也可能是由于设计人员技术不高或经验不足所造成。</w:t>
      </w:r>
    </w:p>
    <w:p w14:paraId="5F3635FD">
      <w:pPr>
        <w:pStyle w:val="4"/>
        <w:bidi w:val="0"/>
        <w:rPr>
          <w:rFonts w:hint="eastAsia"/>
          <w:color w:val="auto"/>
          <w:lang w:eastAsia="zh-CN"/>
        </w:rPr>
      </w:pPr>
      <w:bookmarkStart w:id="221" w:name="_Toc17545"/>
      <w:bookmarkStart w:id="222" w:name="_Toc582"/>
      <w:bookmarkStart w:id="223" w:name="_Toc29215"/>
      <w:bookmarkStart w:id="224" w:name="_Toc19724"/>
      <w:bookmarkStart w:id="225" w:name="_Toc14439"/>
      <w:bookmarkStart w:id="226" w:name="_Toc25605"/>
      <w:bookmarkStart w:id="227" w:name="_Toc1234"/>
      <w:r>
        <w:rPr>
          <w:rFonts w:hint="eastAsia"/>
          <w:color w:val="auto"/>
          <w:lang w:eastAsia="zh-CN"/>
        </w:rPr>
        <w:t>3.1.3</w:t>
      </w:r>
      <w:r>
        <w:rPr>
          <w:rFonts w:hint="eastAsia"/>
          <w:color w:val="auto"/>
          <w:lang w:val="en-US" w:eastAsia="zh-CN"/>
        </w:rPr>
        <w:t xml:space="preserve"> </w:t>
      </w:r>
      <w:r>
        <w:rPr>
          <w:rFonts w:hint="eastAsia"/>
          <w:color w:val="auto"/>
          <w:lang w:eastAsia="zh-CN"/>
        </w:rPr>
        <w:t>施工因素造成的病害</w:t>
      </w:r>
      <w:bookmarkEnd w:id="221"/>
      <w:bookmarkEnd w:id="222"/>
      <w:bookmarkEnd w:id="223"/>
      <w:bookmarkEnd w:id="224"/>
      <w:bookmarkEnd w:id="225"/>
      <w:bookmarkEnd w:id="226"/>
      <w:bookmarkEnd w:id="227"/>
    </w:p>
    <w:p w14:paraId="758B3856">
      <w:pPr>
        <w:rPr>
          <w:rFonts w:hint="eastAsia"/>
          <w:color w:val="auto"/>
          <w:lang w:eastAsia="zh-CN"/>
        </w:rPr>
      </w:pPr>
      <w:r>
        <w:rPr>
          <w:rFonts w:hint="eastAsia" w:eastAsia="宋体"/>
          <w:color w:val="auto"/>
          <w:lang w:eastAsia="zh-CN"/>
        </w:rPr>
        <w:t>初期坝施工中清基不彻底、坝体密实度不均、坝料不符合要求、反滤层铺设不当等，会造成坝体沉降不均、坝基或坝体漏矿、后期坝局部塌陷；排洪构筑物有蜂窝、麻面或强度不达标，当负荷逐渐增大时，会造成掉块、漏筋、断裂、甚至倒塌等病害。</w:t>
      </w:r>
    </w:p>
    <w:p w14:paraId="3165544F">
      <w:pPr>
        <w:pStyle w:val="4"/>
        <w:bidi w:val="0"/>
        <w:rPr>
          <w:rFonts w:hint="eastAsia"/>
          <w:color w:val="auto"/>
          <w:lang w:eastAsia="zh-CN"/>
        </w:rPr>
      </w:pPr>
      <w:bookmarkStart w:id="228" w:name="_Toc4862"/>
      <w:bookmarkStart w:id="229" w:name="_Toc9219"/>
      <w:bookmarkStart w:id="230" w:name="_Toc18452"/>
      <w:bookmarkStart w:id="231" w:name="_Toc13765"/>
      <w:bookmarkStart w:id="232" w:name="_Toc13268"/>
      <w:bookmarkStart w:id="233" w:name="_Toc19265"/>
      <w:bookmarkStart w:id="234" w:name="_Toc29857"/>
      <w:r>
        <w:rPr>
          <w:rFonts w:hint="eastAsia"/>
          <w:color w:val="auto"/>
          <w:lang w:eastAsia="zh-CN"/>
        </w:rPr>
        <w:t>3.1.4</w:t>
      </w:r>
      <w:r>
        <w:rPr>
          <w:rFonts w:hint="eastAsia"/>
          <w:color w:val="auto"/>
          <w:lang w:val="en-US" w:eastAsia="zh-CN"/>
        </w:rPr>
        <w:t xml:space="preserve"> </w:t>
      </w:r>
      <w:r>
        <w:rPr>
          <w:rFonts w:hint="eastAsia"/>
          <w:color w:val="auto"/>
          <w:lang w:eastAsia="zh-CN"/>
        </w:rPr>
        <w:t>操作管理不当造成的病害</w:t>
      </w:r>
      <w:bookmarkEnd w:id="228"/>
      <w:bookmarkEnd w:id="229"/>
      <w:bookmarkEnd w:id="230"/>
      <w:bookmarkEnd w:id="231"/>
      <w:bookmarkEnd w:id="232"/>
      <w:bookmarkEnd w:id="233"/>
      <w:bookmarkEnd w:id="234"/>
    </w:p>
    <w:p w14:paraId="51EA40AF">
      <w:pPr>
        <w:bidi w:val="0"/>
        <w:rPr>
          <w:rFonts w:hint="eastAsia" w:eastAsia="宋体"/>
          <w:color w:val="auto"/>
          <w:lang w:eastAsia="zh-CN"/>
        </w:rPr>
      </w:pPr>
      <w:r>
        <w:rPr>
          <w:rFonts w:hint="eastAsia" w:eastAsia="宋体"/>
          <w:color w:val="auto"/>
          <w:lang w:eastAsia="zh-CN"/>
        </w:rPr>
        <w:t>在长期生产过程中，由于操作不当造成的常见病害和隐患如下：</w:t>
      </w:r>
    </w:p>
    <w:p w14:paraId="2CDFD554">
      <w:pPr>
        <w:bidi w:val="0"/>
        <w:rPr>
          <w:rFonts w:hint="eastAsia" w:eastAsia="宋体"/>
          <w:color w:val="auto"/>
          <w:lang w:eastAsia="zh-CN"/>
        </w:rPr>
      </w:pPr>
      <w:r>
        <w:rPr>
          <w:rFonts w:hint="eastAsia" w:eastAsia="宋体"/>
          <w:color w:val="auto"/>
          <w:lang w:eastAsia="zh-CN"/>
        </w:rPr>
        <w:t>1.</w:t>
      </w:r>
      <w:r>
        <w:rPr>
          <w:rFonts w:hint="eastAsia"/>
          <w:color w:val="auto"/>
          <w:lang w:val="en-US" w:eastAsia="zh-CN"/>
        </w:rPr>
        <w:t xml:space="preserve"> </w:t>
      </w:r>
      <w:r>
        <w:rPr>
          <w:rFonts w:hint="eastAsia" w:eastAsia="宋体"/>
          <w:color w:val="auto"/>
          <w:lang w:eastAsia="zh-CN"/>
        </w:rPr>
        <w:t>坝面维护不善，雨水冲刷拉沟，严重时会造成局部坝段滑坡；</w:t>
      </w:r>
    </w:p>
    <w:p w14:paraId="7FC02B3C">
      <w:pPr>
        <w:bidi w:val="0"/>
        <w:rPr>
          <w:rFonts w:hint="eastAsia" w:eastAsia="宋体"/>
          <w:color w:val="auto"/>
          <w:lang w:eastAsia="zh-CN"/>
        </w:rPr>
      </w:pPr>
      <w:r>
        <w:rPr>
          <w:rFonts w:hint="eastAsia" w:eastAsia="宋体"/>
          <w:color w:val="auto"/>
          <w:lang w:eastAsia="zh-CN"/>
        </w:rPr>
        <w:t>2.</w:t>
      </w:r>
      <w:r>
        <w:rPr>
          <w:rFonts w:hint="eastAsia"/>
          <w:color w:val="auto"/>
          <w:lang w:val="en-US" w:eastAsia="zh-CN"/>
        </w:rPr>
        <w:t xml:space="preserve"> </w:t>
      </w:r>
      <w:r>
        <w:rPr>
          <w:rFonts w:hint="eastAsia" w:eastAsia="宋体"/>
          <w:color w:val="auto"/>
          <w:lang w:eastAsia="zh-CN"/>
        </w:rPr>
        <w:t>长期对排洪构筑物不进行检查、维修，致使堵塞、露筋、塌陷等隐患未能及时发现。</w:t>
      </w:r>
    </w:p>
    <w:p w14:paraId="6BD61235">
      <w:pPr>
        <w:bidi w:val="0"/>
        <w:rPr>
          <w:rFonts w:hint="eastAsia"/>
          <w:color w:val="auto"/>
          <w:lang w:eastAsia="zh-CN"/>
        </w:rPr>
      </w:pPr>
      <w:r>
        <w:rPr>
          <w:rFonts w:hint="eastAsia" w:eastAsia="宋体"/>
          <w:color w:val="auto"/>
          <w:lang w:eastAsia="zh-CN"/>
        </w:rPr>
        <w:t>由于管理不当造成的问题主要表现在未能有效地对勘察、设计、施工和操作进行必要的审查和监督；对设计意图不甚了解，片面追求经济效益，未按设计要求指导生产；对防洪、防震问题抱有侥幸心理；明知有隐患，不能及时采取措施消除；未经原设计同意，擅自修改设计等。</w:t>
      </w:r>
    </w:p>
    <w:p w14:paraId="1101F3A2">
      <w:pPr>
        <w:pStyle w:val="4"/>
        <w:bidi w:val="0"/>
        <w:rPr>
          <w:rFonts w:hint="eastAsia"/>
          <w:color w:val="auto"/>
          <w:lang w:eastAsia="zh-CN"/>
        </w:rPr>
      </w:pPr>
      <w:bookmarkStart w:id="235" w:name="_Toc17842"/>
      <w:bookmarkStart w:id="236" w:name="_Toc25124"/>
      <w:bookmarkStart w:id="237" w:name="_Toc10866"/>
      <w:bookmarkStart w:id="238" w:name="_Toc6286"/>
      <w:bookmarkStart w:id="239" w:name="_Toc3890"/>
      <w:bookmarkStart w:id="240" w:name="_Toc27510"/>
      <w:bookmarkStart w:id="241" w:name="_Toc13913"/>
      <w:r>
        <w:rPr>
          <w:rFonts w:hint="eastAsia"/>
          <w:color w:val="auto"/>
          <w:lang w:eastAsia="zh-CN"/>
        </w:rPr>
        <w:t>3.1.5</w:t>
      </w:r>
      <w:r>
        <w:rPr>
          <w:rFonts w:hint="eastAsia"/>
          <w:color w:val="auto"/>
          <w:lang w:val="en-US" w:eastAsia="zh-CN"/>
        </w:rPr>
        <w:t xml:space="preserve"> </w:t>
      </w:r>
      <w:r>
        <w:rPr>
          <w:rFonts w:hint="eastAsia"/>
          <w:color w:val="auto"/>
          <w:lang w:eastAsia="zh-CN"/>
        </w:rPr>
        <w:t>其他因素造成的病害</w:t>
      </w:r>
      <w:bookmarkEnd w:id="235"/>
      <w:bookmarkEnd w:id="236"/>
      <w:bookmarkEnd w:id="237"/>
      <w:bookmarkEnd w:id="238"/>
      <w:bookmarkEnd w:id="239"/>
      <w:bookmarkEnd w:id="240"/>
      <w:bookmarkEnd w:id="241"/>
    </w:p>
    <w:p w14:paraId="53D8F588">
      <w:pPr>
        <w:rPr>
          <w:rFonts w:hint="eastAsia" w:eastAsia="宋体"/>
          <w:color w:val="auto"/>
          <w:lang w:eastAsia="zh-CN"/>
        </w:rPr>
      </w:pPr>
      <w:r>
        <w:rPr>
          <w:rFonts w:hint="eastAsia" w:eastAsia="宋体"/>
          <w:color w:val="auto"/>
          <w:lang w:eastAsia="zh-CN"/>
        </w:rPr>
        <w:t>暴雨、地震之后可能对坝体、排洪构筑物造成病害：</w:t>
      </w:r>
    </w:p>
    <w:p w14:paraId="2440E7EC">
      <w:pPr>
        <w:rPr>
          <w:rFonts w:hint="eastAsia" w:eastAsia="宋体"/>
          <w:color w:val="auto"/>
          <w:lang w:eastAsia="zh-CN"/>
        </w:rPr>
      </w:pPr>
      <w:r>
        <w:rPr>
          <w:rFonts w:hint="eastAsia" w:eastAsia="宋体"/>
          <w:color w:val="auto"/>
          <w:lang w:eastAsia="zh-CN"/>
        </w:rPr>
        <w:t>1.</w:t>
      </w:r>
      <w:r>
        <w:rPr>
          <w:rFonts w:hint="eastAsia"/>
          <w:color w:val="auto"/>
          <w:lang w:val="en-US" w:eastAsia="zh-CN"/>
        </w:rPr>
        <w:t xml:space="preserve"> </w:t>
      </w:r>
      <w:r>
        <w:rPr>
          <w:rFonts w:hint="eastAsia" w:eastAsia="宋体"/>
          <w:color w:val="auto"/>
          <w:lang w:eastAsia="zh-CN"/>
        </w:rPr>
        <w:t>由于矿石性质或选矿工艺流程变更，引起尾矿性质（粒度组成、粒径、比重、矿浆浓度等）的改变，而这种改变如果对坝体稳定和防洪不利时，自然会成为隐患；</w:t>
      </w:r>
    </w:p>
    <w:p w14:paraId="402E175C">
      <w:pPr>
        <w:rPr>
          <w:rFonts w:hint="eastAsia" w:eastAsia="宋体"/>
          <w:color w:val="auto"/>
          <w:lang w:eastAsia="zh-CN"/>
        </w:rPr>
      </w:pPr>
      <w:r>
        <w:rPr>
          <w:rFonts w:hint="eastAsia" w:eastAsia="宋体"/>
          <w:color w:val="auto"/>
          <w:lang w:eastAsia="zh-CN"/>
        </w:rPr>
        <w:t>2.</w:t>
      </w:r>
      <w:r>
        <w:rPr>
          <w:rFonts w:hint="eastAsia"/>
          <w:color w:val="auto"/>
          <w:lang w:val="en-US" w:eastAsia="zh-CN"/>
        </w:rPr>
        <w:t xml:space="preserve"> </w:t>
      </w:r>
      <w:r>
        <w:rPr>
          <w:rFonts w:hint="eastAsia" w:eastAsia="宋体"/>
          <w:color w:val="auto"/>
          <w:lang w:eastAsia="zh-CN"/>
        </w:rPr>
        <w:t>因工农关系未协调好，而产生的干扰常常造成尾矿库隐患。如农民在库区上游甚至于在库区以内乱采、滥挖等。</w:t>
      </w:r>
    </w:p>
    <w:p w14:paraId="0C5B9809">
      <w:pPr>
        <w:rPr>
          <w:rFonts w:hint="eastAsia" w:eastAsia="宋体"/>
          <w:color w:val="auto"/>
          <w:lang w:eastAsia="zh-CN"/>
        </w:rPr>
      </w:pPr>
      <w:r>
        <w:rPr>
          <w:rFonts w:hint="eastAsia" w:eastAsia="宋体"/>
          <w:color w:val="auto"/>
          <w:lang w:eastAsia="zh-CN"/>
        </w:rPr>
        <w:t>根据实际发生事故的统计资料，各种尾矿库事故发生的原因与比例见表3.1-1。</w:t>
      </w:r>
    </w:p>
    <w:p w14:paraId="08A8C6E2">
      <w:pPr>
        <w:rPr>
          <w:rFonts w:hint="eastAsia" w:eastAsia="宋体"/>
          <w:color w:val="auto"/>
          <w:lang w:eastAsia="zh-CN"/>
        </w:rPr>
      </w:pPr>
    </w:p>
    <w:p w14:paraId="772ECDB3">
      <w:pPr>
        <w:rPr>
          <w:rFonts w:hint="eastAsia" w:eastAsia="宋体"/>
          <w:color w:val="auto"/>
          <w:lang w:eastAsia="zh-CN"/>
        </w:rPr>
      </w:pPr>
    </w:p>
    <w:p w14:paraId="6F0E51BD">
      <w:pPr>
        <w:rPr>
          <w:rFonts w:hint="eastAsia" w:eastAsia="宋体"/>
          <w:color w:val="auto"/>
          <w:lang w:eastAsia="zh-CN"/>
        </w:rPr>
      </w:pPr>
    </w:p>
    <w:p w14:paraId="1FD8761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cs="Times New Roman"/>
          <w:color w:val="auto"/>
        </w:rPr>
      </w:pPr>
      <w:r>
        <w:rPr>
          <w:rFonts w:ascii="Times New Roman" w:hAnsi="Times New Roman" w:eastAsia="宋体" w:cs="Times New Roman"/>
          <w:color w:val="auto"/>
        </w:rPr>
        <w:t>表3</w:t>
      </w:r>
      <w:r>
        <w:rPr>
          <w:rFonts w:hint="eastAsia" w:cs="Times New Roman"/>
          <w:color w:val="auto"/>
          <w:lang w:val="en-US" w:eastAsia="zh-CN"/>
        </w:rPr>
        <w:t>.1</w:t>
      </w:r>
      <w:r>
        <w:rPr>
          <w:rFonts w:hint="eastAsia" w:ascii="Times New Roman" w:hAnsi="Times New Roman" w:eastAsia="宋体" w:cs="Times New Roman"/>
          <w:color w:val="auto"/>
        </w:rPr>
        <w:t>-</w:t>
      </w:r>
      <w:r>
        <w:rPr>
          <w:rFonts w:ascii="Times New Roman" w:hAnsi="Times New Roman" w:eastAsia="宋体" w:cs="Times New Roman"/>
          <w:color w:val="auto"/>
        </w:rPr>
        <w:t>1</w:t>
      </w:r>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尾矿库失事的主要原因分析表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1539"/>
        <w:gridCol w:w="1539"/>
        <w:gridCol w:w="1539"/>
        <w:gridCol w:w="1539"/>
        <w:gridCol w:w="1539"/>
      </w:tblGrid>
      <w:tr w14:paraId="15C86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39" w:type="dxa"/>
            <w:noWrap w:val="0"/>
            <w:vAlign w:val="center"/>
          </w:tcPr>
          <w:p w14:paraId="2A0B7C0C">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失事原因</w:t>
            </w:r>
          </w:p>
        </w:tc>
        <w:tc>
          <w:tcPr>
            <w:tcW w:w="1539" w:type="dxa"/>
            <w:noWrap w:val="0"/>
            <w:vAlign w:val="center"/>
          </w:tcPr>
          <w:p w14:paraId="47EE2D5A">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洪水漫顶</w:t>
            </w:r>
          </w:p>
        </w:tc>
        <w:tc>
          <w:tcPr>
            <w:tcW w:w="1539" w:type="dxa"/>
            <w:noWrap w:val="0"/>
            <w:vAlign w:val="center"/>
          </w:tcPr>
          <w:p w14:paraId="52F066C0">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坝身渗漏</w:t>
            </w:r>
          </w:p>
          <w:p w14:paraId="38316D15">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（包括管涌）</w:t>
            </w:r>
          </w:p>
        </w:tc>
        <w:tc>
          <w:tcPr>
            <w:tcW w:w="1539" w:type="dxa"/>
            <w:noWrap w:val="0"/>
            <w:vAlign w:val="center"/>
          </w:tcPr>
          <w:p w14:paraId="2D7B845C">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基础渗漏</w:t>
            </w:r>
          </w:p>
          <w:p w14:paraId="3FD3233D">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（包括管涌）</w:t>
            </w:r>
          </w:p>
        </w:tc>
        <w:tc>
          <w:tcPr>
            <w:tcW w:w="1539" w:type="dxa"/>
            <w:noWrap w:val="0"/>
            <w:vAlign w:val="center"/>
          </w:tcPr>
          <w:p w14:paraId="6B1E00C4">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排洪或</w:t>
            </w:r>
          </w:p>
          <w:p w14:paraId="6D0CE4C9">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泄水工程</w:t>
            </w:r>
          </w:p>
        </w:tc>
        <w:tc>
          <w:tcPr>
            <w:tcW w:w="1539" w:type="dxa"/>
            <w:noWrap w:val="0"/>
            <w:vAlign w:val="center"/>
          </w:tcPr>
          <w:p w14:paraId="25427B2D">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w:t>
            </w:r>
          </w:p>
        </w:tc>
      </w:tr>
      <w:tr w14:paraId="46B3E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39" w:type="dxa"/>
            <w:noWrap w:val="0"/>
            <w:vAlign w:val="center"/>
          </w:tcPr>
          <w:p w14:paraId="676EF84A">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比例（%）</w:t>
            </w:r>
          </w:p>
        </w:tc>
        <w:tc>
          <w:tcPr>
            <w:tcW w:w="1539" w:type="dxa"/>
            <w:noWrap w:val="0"/>
            <w:vAlign w:val="center"/>
          </w:tcPr>
          <w:p w14:paraId="496214AB">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w:t>
            </w:r>
          </w:p>
        </w:tc>
        <w:tc>
          <w:tcPr>
            <w:tcW w:w="1539" w:type="dxa"/>
            <w:noWrap w:val="0"/>
            <w:vAlign w:val="center"/>
          </w:tcPr>
          <w:p w14:paraId="5DD30F17">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w:t>
            </w:r>
          </w:p>
        </w:tc>
        <w:tc>
          <w:tcPr>
            <w:tcW w:w="1539" w:type="dxa"/>
            <w:noWrap w:val="0"/>
            <w:vAlign w:val="center"/>
          </w:tcPr>
          <w:p w14:paraId="0F44B20C">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539" w:type="dxa"/>
            <w:noWrap w:val="0"/>
            <w:vAlign w:val="center"/>
          </w:tcPr>
          <w:p w14:paraId="1C5FDBF7">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1539" w:type="dxa"/>
            <w:noWrap w:val="0"/>
            <w:vAlign w:val="center"/>
          </w:tcPr>
          <w:p w14:paraId="739E0B15">
            <w:pPr>
              <w:spacing w:line="300" w:lineRule="exact"/>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bl>
    <w:p w14:paraId="5B4F0721">
      <w:pPr>
        <w:bidi w:val="0"/>
        <w:rPr>
          <w:rFonts w:hint="eastAsia" w:eastAsia="宋体"/>
          <w:color w:val="auto"/>
          <w:lang w:eastAsia="zh-CN"/>
        </w:rPr>
      </w:pPr>
      <w:r>
        <w:rPr>
          <w:rFonts w:hint="eastAsia" w:eastAsia="宋体"/>
          <w:color w:val="auto"/>
          <w:lang w:eastAsia="zh-CN"/>
        </w:rPr>
        <w:t>通过统计分析可知，洪水漫顶和渗漏破坏造成的失事几率较大。洪水漫顶的主要原因：</w:t>
      </w:r>
    </w:p>
    <w:p w14:paraId="0551339B">
      <w:pPr>
        <w:bidi w:val="0"/>
        <w:rPr>
          <w:rFonts w:hint="eastAsia" w:eastAsia="宋体"/>
          <w:color w:val="auto"/>
          <w:lang w:eastAsia="zh-CN"/>
        </w:rPr>
      </w:pPr>
      <w:r>
        <w:rPr>
          <w:rFonts w:hint="eastAsia" w:eastAsia="宋体"/>
          <w:color w:val="auto"/>
          <w:lang w:eastAsia="zh-CN"/>
        </w:rPr>
        <w:t>（1）排水系统能力不够；</w:t>
      </w:r>
    </w:p>
    <w:p w14:paraId="42697149">
      <w:pPr>
        <w:bidi w:val="0"/>
        <w:rPr>
          <w:rFonts w:hint="eastAsia" w:eastAsia="宋体"/>
          <w:color w:val="auto"/>
          <w:lang w:eastAsia="zh-CN"/>
        </w:rPr>
      </w:pPr>
      <w:r>
        <w:rPr>
          <w:rFonts w:hint="eastAsia" w:eastAsia="宋体"/>
          <w:color w:val="auto"/>
          <w:lang w:eastAsia="zh-CN"/>
        </w:rPr>
        <w:t>（2）尾矿库的调洪能力和安全超高过小；</w:t>
      </w:r>
    </w:p>
    <w:p w14:paraId="1686A55A">
      <w:pPr>
        <w:bidi w:val="0"/>
        <w:rPr>
          <w:rFonts w:hint="eastAsia" w:eastAsia="宋体"/>
          <w:color w:val="auto"/>
          <w:lang w:eastAsia="zh-CN"/>
        </w:rPr>
      </w:pPr>
      <w:r>
        <w:rPr>
          <w:rFonts w:hint="eastAsia" w:eastAsia="宋体"/>
          <w:color w:val="auto"/>
          <w:lang w:eastAsia="zh-CN"/>
        </w:rPr>
        <w:t>（3）用子坝挡水；</w:t>
      </w:r>
    </w:p>
    <w:p w14:paraId="7CB0AA11">
      <w:pPr>
        <w:bidi w:val="0"/>
        <w:rPr>
          <w:rFonts w:hint="eastAsia" w:eastAsia="宋体"/>
          <w:color w:val="auto"/>
          <w:lang w:eastAsia="zh-CN"/>
        </w:rPr>
      </w:pPr>
      <w:r>
        <w:rPr>
          <w:rFonts w:hint="eastAsia" w:eastAsia="宋体"/>
          <w:color w:val="auto"/>
          <w:lang w:eastAsia="zh-CN"/>
        </w:rPr>
        <w:t>（4）管理中的失误造成排水系统堵塞。</w:t>
      </w:r>
    </w:p>
    <w:p w14:paraId="202EC415">
      <w:pPr>
        <w:bidi w:val="0"/>
        <w:rPr>
          <w:rFonts w:hint="eastAsia" w:eastAsia="宋体"/>
          <w:color w:val="auto"/>
          <w:lang w:eastAsia="zh-CN"/>
        </w:rPr>
      </w:pPr>
      <w:r>
        <w:rPr>
          <w:rFonts w:hint="eastAsia" w:eastAsia="宋体"/>
          <w:color w:val="auto"/>
          <w:lang w:eastAsia="zh-CN"/>
        </w:rPr>
        <w:t>坝身渗漏的主要原因：</w:t>
      </w:r>
    </w:p>
    <w:p w14:paraId="715670BB">
      <w:pPr>
        <w:bidi w:val="0"/>
        <w:rPr>
          <w:rFonts w:hint="eastAsia" w:eastAsia="宋体"/>
          <w:color w:val="auto"/>
          <w:lang w:eastAsia="zh-CN"/>
        </w:rPr>
      </w:pPr>
      <w:r>
        <w:rPr>
          <w:rFonts w:hint="eastAsia" w:eastAsia="宋体"/>
          <w:color w:val="auto"/>
          <w:lang w:eastAsia="zh-CN"/>
        </w:rPr>
        <w:t>（1）尾矿坝无排渗设施；</w:t>
      </w:r>
    </w:p>
    <w:p w14:paraId="7B04B982">
      <w:pPr>
        <w:bidi w:val="0"/>
        <w:rPr>
          <w:rFonts w:hint="eastAsia" w:eastAsia="宋体"/>
          <w:color w:val="auto"/>
          <w:lang w:eastAsia="zh-CN"/>
        </w:rPr>
      </w:pPr>
      <w:r>
        <w:rPr>
          <w:rFonts w:hint="eastAsia" w:eastAsia="宋体"/>
          <w:color w:val="auto"/>
          <w:lang w:eastAsia="zh-CN"/>
        </w:rPr>
        <w:t>（2）尾矿坝下游坝面坡度过陡；</w:t>
      </w:r>
    </w:p>
    <w:p w14:paraId="13B80407">
      <w:pPr>
        <w:bidi w:val="0"/>
        <w:rPr>
          <w:rFonts w:hint="eastAsia" w:eastAsia="宋体"/>
          <w:color w:val="auto"/>
          <w:lang w:eastAsia="zh-CN"/>
        </w:rPr>
      </w:pPr>
      <w:r>
        <w:rPr>
          <w:rFonts w:hint="eastAsia" w:eastAsia="宋体"/>
          <w:color w:val="auto"/>
          <w:lang w:eastAsia="zh-CN"/>
        </w:rPr>
        <w:t>基础渗漏的主要原因：</w:t>
      </w:r>
    </w:p>
    <w:p w14:paraId="37789617">
      <w:pPr>
        <w:bidi w:val="0"/>
        <w:rPr>
          <w:rFonts w:hint="eastAsia" w:eastAsia="宋体"/>
          <w:color w:val="auto"/>
          <w:lang w:eastAsia="zh-CN"/>
        </w:rPr>
      </w:pPr>
      <w:r>
        <w:rPr>
          <w:rFonts w:hint="eastAsia" w:eastAsia="宋体"/>
          <w:color w:val="auto"/>
          <w:lang w:eastAsia="zh-CN"/>
        </w:rPr>
        <w:t>（1）坝基的工程地质条件差，且施工时未进行必要的处理；</w:t>
      </w:r>
    </w:p>
    <w:p w14:paraId="76E0628A">
      <w:pPr>
        <w:bidi w:val="0"/>
        <w:rPr>
          <w:rFonts w:hint="eastAsia" w:eastAsia="宋体"/>
          <w:color w:val="auto"/>
          <w:lang w:eastAsia="zh-CN"/>
        </w:rPr>
      </w:pPr>
      <w:r>
        <w:rPr>
          <w:rFonts w:hint="eastAsia" w:eastAsia="宋体"/>
          <w:color w:val="auto"/>
          <w:lang w:eastAsia="zh-CN"/>
        </w:rPr>
        <w:t>（2）筑坝材料不当；</w:t>
      </w:r>
    </w:p>
    <w:p w14:paraId="755CB1D4">
      <w:pPr>
        <w:bidi w:val="0"/>
        <w:rPr>
          <w:rFonts w:hint="eastAsia" w:eastAsia="宋体"/>
          <w:color w:val="auto"/>
          <w:lang w:eastAsia="zh-CN"/>
        </w:rPr>
      </w:pPr>
      <w:r>
        <w:rPr>
          <w:rFonts w:hint="eastAsia" w:eastAsia="宋体"/>
          <w:color w:val="auto"/>
          <w:lang w:eastAsia="zh-CN"/>
        </w:rPr>
        <w:t>（3）无排渗设施。</w:t>
      </w:r>
    </w:p>
    <w:p w14:paraId="2EEDC223">
      <w:pPr>
        <w:bidi w:val="0"/>
        <w:rPr>
          <w:rFonts w:hint="eastAsia" w:eastAsia="宋体"/>
          <w:color w:val="auto"/>
          <w:lang w:eastAsia="zh-CN"/>
        </w:rPr>
      </w:pPr>
      <w:r>
        <w:rPr>
          <w:rFonts w:hint="eastAsia" w:eastAsia="宋体"/>
          <w:color w:val="auto"/>
          <w:lang w:eastAsia="zh-CN"/>
        </w:rPr>
        <w:t>排洪或泄水工程发生事故的主要原因：</w:t>
      </w:r>
    </w:p>
    <w:p w14:paraId="369C26D2">
      <w:pPr>
        <w:bidi w:val="0"/>
        <w:rPr>
          <w:rFonts w:hint="eastAsia" w:eastAsia="宋体"/>
          <w:color w:val="auto"/>
          <w:lang w:eastAsia="zh-CN"/>
        </w:rPr>
      </w:pPr>
      <w:r>
        <w:rPr>
          <w:rFonts w:hint="eastAsia" w:eastAsia="宋体"/>
          <w:color w:val="auto"/>
          <w:lang w:eastAsia="zh-CN"/>
        </w:rPr>
        <w:t>（1）排水设施的施工质量不符合设计要求；</w:t>
      </w:r>
    </w:p>
    <w:p w14:paraId="3A320FBD">
      <w:pPr>
        <w:bidi w:val="0"/>
        <w:rPr>
          <w:rFonts w:hint="eastAsia" w:eastAsia="宋体"/>
          <w:color w:val="auto"/>
          <w:lang w:eastAsia="zh-CN"/>
        </w:rPr>
      </w:pPr>
      <w:r>
        <w:rPr>
          <w:rFonts w:hint="eastAsia" w:eastAsia="宋体"/>
          <w:color w:val="auto"/>
          <w:lang w:eastAsia="zh-CN"/>
        </w:rPr>
        <w:t>（2）排水工程基础不稳而未进行处理；</w:t>
      </w:r>
    </w:p>
    <w:p w14:paraId="076C2DA1">
      <w:pPr>
        <w:bidi w:val="0"/>
        <w:rPr>
          <w:rFonts w:hint="eastAsia" w:eastAsia="宋体"/>
          <w:color w:val="auto"/>
          <w:lang w:eastAsia="zh-CN"/>
        </w:rPr>
      </w:pPr>
      <w:r>
        <w:rPr>
          <w:rFonts w:hint="eastAsia" w:eastAsia="宋体"/>
          <w:color w:val="auto"/>
          <w:lang w:eastAsia="zh-CN"/>
        </w:rPr>
        <w:t>（3）管理措施不当或误操作引发。</w:t>
      </w:r>
    </w:p>
    <w:p w14:paraId="549663C0">
      <w:pPr>
        <w:bidi w:val="0"/>
        <w:rPr>
          <w:rFonts w:hint="eastAsia"/>
          <w:color w:val="auto"/>
          <w:lang w:eastAsia="zh-CN"/>
        </w:rPr>
      </w:pPr>
      <w:r>
        <w:rPr>
          <w:rFonts w:hint="eastAsia" w:eastAsia="宋体"/>
          <w:color w:val="auto"/>
          <w:lang w:eastAsia="zh-CN"/>
        </w:rPr>
        <w:t>事故分析还表明，地基渗漏失事多发生在4年坝龄以前，而50%发生在运行的第一年里；坝身渗漏造成失事的有三分之一发生在竣工后5年之内；溢洪泄水构筑物破坏有1/3发生在施工后的一年之内，而泄流失事的有60%在泄流时发生；坝坡或坝肩滑动而失事的，96%在竣工15年后发生；因不均匀变形，贯穿性裂缝而失事的，60%以上是在坝体竣工后很快发生。</w:t>
      </w:r>
    </w:p>
    <w:p w14:paraId="2D4C2B6F">
      <w:pPr>
        <w:pStyle w:val="4"/>
        <w:bidi w:val="0"/>
        <w:rPr>
          <w:rFonts w:hint="eastAsia"/>
          <w:color w:val="auto"/>
          <w:lang w:eastAsia="zh-CN"/>
        </w:rPr>
      </w:pPr>
      <w:bookmarkStart w:id="242" w:name="_Toc3175"/>
      <w:bookmarkStart w:id="243" w:name="_Toc14570"/>
      <w:bookmarkStart w:id="244" w:name="_Toc17862"/>
      <w:bookmarkStart w:id="245" w:name="_Toc29460"/>
      <w:bookmarkStart w:id="246" w:name="_Toc4051"/>
      <w:bookmarkStart w:id="247" w:name="_Toc17809"/>
      <w:bookmarkStart w:id="248" w:name="_Toc5088"/>
      <w:r>
        <w:rPr>
          <w:rFonts w:hint="eastAsia"/>
          <w:color w:val="auto"/>
          <w:lang w:eastAsia="zh-CN"/>
        </w:rPr>
        <w:t>3.1.6</w:t>
      </w:r>
      <w:r>
        <w:rPr>
          <w:rFonts w:hint="eastAsia"/>
          <w:color w:val="auto"/>
          <w:lang w:val="en-US" w:eastAsia="zh-CN"/>
        </w:rPr>
        <w:t xml:space="preserve"> </w:t>
      </w:r>
      <w:r>
        <w:rPr>
          <w:rFonts w:hint="eastAsia"/>
          <w:color w:val="auto"/>
          <w:lang w:eastAsia="zh-CN"/>
        </w:rPr>
        <w:t>尾矿库失事实例</w:t>
      </w:r>
      <w:bookmarkEnd w:id="242"/>
      <w:bookmarkEnd w:id="243"/>
      <w:bookmarkEnd w:id="244"/>
      <w:bookmarkEnd w:id="245"/>
      <w:bookmarkEnd w:id="246"/>
      <w:bookmarkEnd w:id="247"/>
      <w:bookmarkEnd w:id="248"/>
    </w:p>
    <w:p w14:paraId="4C5DF5AE">
      <w:pPr>
        <w:rPr>
          <w:rFonts w:hint="eastAsia" w:eastAsia="宋体"/>
          <w:color w:val="auto"/>
          <w:lang w:eastAsia="zh-CN"/>
        </w:rPr>
      </w:pPr>
      <w:r>
        <w:rPr>
          <w:rFonts w:hint="eastAsia" w:eastAsia="宋体"/>
          <w:color w:val="auto"/>
          <w:lang w:eastAsia="zh-CN"/>
        </w:rPr>
        <w:t>实例1：2003年6月，因大宝山地区普降大雨，8日槽对坑尾矿库东侧下游山体因土体水饱和而产生滑坡，导致溢洪道的陡坡段中部出现断裂和导流管中间折断，尾矿库的排洪通道受到严重影响。</w:t>
      </w:r>
    </w:p>
    <w:p w14:paraId="0163D222">
      <w:pPr>
        <w:rPr>
          <w:rFonts w:hint="eastAsia" w:eastAsia="宋体"/>
          <w:color w:val="auto"/>
          <w:lang w:eastAsia="zh-CN"/>
        </w:rPr>
      </w:pPr>
      <w:r>
        <w:rPr>
          <w:rFonts w:hint="eastAsia" w:eastAsia="宋体"/>
          <w:color w:val="auto"/>
          <w:lang w:eastAsia="zh-CN"/>
        </w:rPr>
        <w:t>实例2：湖北省大冶有色金属公司龙角山铜矿尾矿库溃坝，死亡28人，失踪3人。</w:t>
      </w:r>
    </w:p>
    <w:p w14:paraId="6CB79D97">
      <w:pPr>
        <w:rPr>
          <w:rFonts w:hint="eastAsia" w:eastAsia="宋体"/>
          <w:color w:val="auto"/>
          <w:lang w:eastAsia="zh-CN"/>
        </w:rPr>
      </w:pPr>
      <w:r>
        <w:rPr>
          <w:rFonts w:hint="eastAsia" w:eastAsia="宋体"/>
          <w:color w:val="auto"/>
          <w:lang w:eastAsia="zh-CN"/>
        </w:rPr>
        <w:t>实例3：大厂鸿图尾矿库倒塌，导致28人死亡，56人受伤、70多间房屋倒塌的重大事故。</w:t>
      </w:r>
    </w:p>
    <w:p w14:paraId="07438C75">
      <w:pPr>
        <w:rPr>
          <w:rFonts w:hint="eastAsia" w:eastAsia="宋体"/>
          <w:color w:val="auto"/>
          <w:lang w:eastAsia="zh-CN"/>
        </w:rPr>
      </w:pPr>
      <w:r>
        <w:rPr>
          <w:rFonts w:hint="eastAsia" w:eastAsia="宋体"/>
          <w:color w:val="auto"/>
          <w:lang w:eastAsia="zh-CN"/>
        </w:rPr>
        <w:t>实例4：2006年4月30日18时24分，陕西省商洛市镇安县黄金矿业有限责任公司尾矿库在加高坝体扩容施工时发生溃坝事故，外泄尾矿砂量约20万m3，冲毁居民房屋76间，22人被淹埋，5人获救，17人失踪。</w:t>
      </w:r>
    </w:p>
    <w:p w14:paraId="48A5D191">
      <w:pPr>
        <w:rPr>
          <w:rFonts w:hint="eastAsia" w:eastAsia="宋体"/>
          <w:color w:val="auto"/>
          <w:lang w:eastAsia="zh-CN"/>
        </w:rPr>
      </w:pPr>
      <w:r>
        <w:rPr>
          <w:rFonts w:hint="eastAsia" w:eastAsia="宋体"/>
          <w:color w:val="auto"/>
          <w:lang w:eastAsia="zh-CN"/>
        </w:rPr>
        <w:t>实例5：2006年12月27日，贵州紫金矿业股份有限公司贞丰县水银洞金矿尾矿库子坝发生塌溃事故，约20万m</w:t>
      </w:r>
      <w:r>
        <w:rPr>
          <w:rFonts w:hint="eastAsia" w:eastAsia="宋体"/>
          <w:color w:val="auto"/>
          <w:vertAlign w:val="superscript"/>
          <w:lang w:eastAsia="zh-CN"/>
        </w:rPr>
        <w:t>3</w:t>
      </w:r>
      <w:r>
        <w:rPr>
          <w:rFonts w:hint="eastAsia" w:eastAsia="宋体"/>
          <w:color w:val="auto"/>
          <w:lang w:eastAsia="zh-CN"/>
        </w:rPr>
        <w:t>尾矿下泄，造成1人轻伤，下游2座水库受到污染，其中，约17万m</w:t>
      </w:r>
      <w:r>
        <w:rPr>
          <w:rFonts w:hint="eastAsia" w:eastAsia="宋体"/>
          <w:color w:val="auto"/>
          <w:vertAlign w:val="superscript"/>
          <w:lang w:eastAsia="zh-CN"/>
        </w:rPr>
        <w:t>3</w:t>
      </w:r>
      <w:r>
        <w:rPr>
          <w:rFonts w:hint="eastAsia" w:eastAsia="宋体"/>
          <w:color w:val="auto"/>
          <w:lang w:eastAsia="zh-CN"/>
        </w:rPr>
        <w:t>尾矿排入小厂水库(废弃水库)，3万m3尾矿溢出小厂水库后进入白坟水库（农灌水库）。</w:t>
      </w:r>
    </w:p>
    <w:p w14:paraId="62F1F648">
      <w:pPr>
        <w:rPr>
          <w:rFonts w:hint="eastAsia"/>
          <w:color w:val="auto"/>
          <w:lang w:eastAsia="zh-CN"/>
        </w:rPr>
      </w:pPr>
      <w:r>
        <w:rPr>
          <w:rFonts w:hint="eastAsia" w:eastAsia="宋体"/>
          <w:color w:val="auto"/>
          <w:lang w:eastAsia="zh-CN"/>
        </w:rPr>
        <w:t>实例6：2008年9月8日山西省襄汾县新塔矿业公司尾矿坝溃坝，死亡281人。</w:t>
      </w:r>
    </w:p>
    <w:p w14:paraId="2E796B20">
      <w:pPr>
        <w:pStyle w:val="3"/>
        <w:bidi w:val="0"/>
        <w:rPr>
          <w:rFonts w:hint="eastAsia"/>
          <w:color w:val="auto"/>
          <w:lang w:eastAsia="zh-CN"/>
        </w:rPr>
      </w:pPr>
      <w:bookmarkStart w:id="249" w:name="_Toc9448"/>
      <w:bookmarkStart w:id="250" w:name="_Toc19671"/>
      <w:bookmarkStart w:id="251" w:name="_Toc712"/>
      <w:bookmarkStart w:id="252" w:name="_Toc24174"/>
      <w:bookmarkStart w:id="253" w:name="_Toc2457"/>
      <w:bookmarkStart w:id="254" w:name="_Toc2637"/>
      <w:bookmarkStart w:id="255" w:name="_Toc19341"/>
      <w:r>
        <w:rPr>
          <w:rFonts w:hint="eastAsia"/>
          <w:color w:val="auto"/>
          <w:lang w:eastAsia="zh-CN"/>
        </w:rPr>
        <w:t>3.2</w:t>
      </w:r>
      <w:r>
        <w:rPr>
          <w:rFonts w:hint="eastAsia"/>
          <w:color w:val="auto"/>
          <w:lang w:val="en-US" w:eastAsia="zh-CN"/>
        </w:rPr>
        <w:t xml:space="preserve"> </w:t>
      </w:r>
      <w:r>
        <w:rPr>
          <w:rFonts w:hint="eastAsia"/>
          <w:color w:val="auto"/>
          <w:lang w:eastAsia="zh-CN"/>
        </w:rPr>
        <w:t>尾矿库危险、有害因素分析</w:t>
      </w:r>
      <w:bookmarkEnd w:id="249"/>
      <w:bookmarkEnd w:id="250"/>
      <w:bookmarkEnd w:id="251"/>
      <w:bookmarkEnd w:id="252"/>
      <w:bookmarkEnd w:id="253"/>
      <w:bookmarkEnd w:id="254"/>
      <w:bookmarkEnd w:id="255"/>
    </w:p>
    <w:p w14:paraId="630D96F0">
      <w:pPr>
        <w:pStyle w:val="4"/>
        <w:bidi w:val="0"/>
        <w:rPr>
          <w:rFonts w:hint="eastAsia"/>
          <w:color w:val="auto"/>
          <w:lang w:eastAsia="zh-CN"/>
        </w:rPr>
      </w:pPr>
      <w:bookmarkStart w:id="256" w:name="_Toc16352"/>
      <w:bookmarkStart w:id="257" w:name="_Toc31038"/>
      <w:bookmarkStart w:id="258" w:name="_Toc18593"/>
      <w:bookmarkStart w:id="259" w:name="_Toc13809"/>
      <w:bookmarkStart w:id="260" w:name="_Toc17421"/>
      <w:bookmarkStart w:id="261" w:name="_Toc19893"/>
      <w:bookmarkStart w:id="262" w:name="_Toc25754"/>
      <w:r>
        <w:rPr>
          <w:rFonts w:hint="eastAsia"/>
          <w:color w:val="auto"/>
          <w:lang w:eastAsia="zh-CN"/>
        </w:rPr>
        <w:t>3.2.1</w:t>
      </w:r>
      <w:r>
        <w:rPr>
          <w:rFonts w:hint="eastAsia"/>
          <w:color w:val="auto"/>
          <w:lang w:val="en-US" w:eastAsia="zh-CN"/>
        </w:rPr>
        <w:t xml:space="preserve"> </w:t>
      </w:r>
      <w:r>
        <w:rPr>
          <w:rFonts w:hint="eastAsia"/>
          <w:color w:val="auto"/>
          <w:lang w:eastAsia="zh-CN"/>
        </w:rPr>
        <w:t>滑坡（坝坡失稳）</w:t>
      </w:r>
      <w:bookmarkEnd w:id="256"/>
      <w:bookmarkEnd w:id="257"/>
      <w:bookmarkEnd w:id="258"/>
      <w:bookmarkEnd w:id="259"/>
      <w:bookmarkEnd w:id="260"/>
      <w:bookmarkEnd w:id="261"/>
      <w:bookmarkEnd w:id="262"/>
    </w:p>
    <w:p w14:paraId="69598818">
      <w:pPr>
        <w:numPr>
          <w:ilvl w:val="0"/>
          <w:numId w:val="0"/>
        </w:numPr>
        <w:bidi w:val="0"/>
        <w:ind w:left="0" w:leftChars="0" w:firstLine="560" w:firstLineChars="200"/>
        <w:rPr>
          <w:rFonts w:hint="default"/>
          <w:color w:val="auto"/>
          <w:lang w:val="en-US" w:eastAsia="zh-CN"/>
        </w:rPr>
      </w:pPr>
      <w:r>
        <w:rPr>
          <w:rFonts w:hint="default"/>
          <w:color w:val="auto"/>
          <w:lang w:val="en-US" w:eastAsia="zh-CN"/>
        </w:rPr>
        <w:t>滑坡是尾矿坝最危险的因素之一，较大规模的滑坡，往往是垮坝事故的先兆，即使是较小的滑坡也不能掉以轻心。有些滑坡是突然发生的，有的先由裂缝开始，如不及时处理，逐步扩大和漫延，则可能造成垮坝重大事故。</w:t>
      </w:r>
    </w:p>
    <w:p w14:paraId="550FE9B7">
      <w:pPr>
        <w:numPr>
          <w:ilvl w:val="0"/>
          <w:numId w:val="0"/>
        </w:numPr>
        <w:bidi w:val="0"/>
        <w:ind w:left="0" w:leftChars="0" w:firstLine="560" w:firstLineChars="200"/>
        <w:rPr>
          <w:rFonts w:hint="default"/>
          <w:color w:val="auto"/>
          <w:lang w:val="en-US" w:eastAsia="zh-CN"/>
        </w:rPr>
      </w:pPr>
      <w:r>
        <w:rPr>
          <w:rFonts w:hint="default"/>
          <w:color w:val="auto"/>
          <w:lang w:val="en-US" w:eastAsia="zh-CN"/>
        </w:rPr>
        <w:t>滑坡的种类，按滑坡的性质分剪切性滑坡，塑流性滑坡和液化性滑坡。</w:t>
      </w:r>
    </w:p>
    <w:p w14:paraId="094CD76D">
      <w:pPr>
        <w:numPr>
          <w:ilvl w:val="0"/>
          <w:numId w:val="0"/>
        </w:numPr>
        <w:bidi w:val="0"/>
        <w:ind w:left="0" w:leftChars="0" w:firstLine="560" w:firstLineChars="200"/>
        <w:rPr>
          <w:rFonts w:hint="default"/>
          <w:color w:val="auto"/>
          <w:lang w:val="en-US" w:eastAsia="zh-CN"/>
        </w:rPr>
      </w:pPr>
      <w:r>
        <w:rPr>
          <w:rFonts w:hint="default"/>
          <w:color w:val="auto"/>
          <w:lang w:val="en-US" w:eastAsia="zh-CN"/>
        </w:rPr>
        <w:t>滑坡的主要原因：</w:t>
      </w:r>
    </w:p>
    <w:p w14:paraId="6CE93FF3">
      <w:pPr>
        <w:numPr>
          <w:ilvl w:val="0"/>
          <w:numId w:val="0"/>
        </w:numPr>
        <w:bidi w:val="0"/>
        <w:ind w:left="0" w:leftChars="0" w:firstLine="560" w:firstLineChars="200"/>
        <w:rPr>
          <w:rFonts w:hint="default"/>
          <w:color w:val="auto"/>
          <w:lang w:val="en-US" w:eastAsia="zh-CN"/>
        </w:rPr>
      </w:pPr>
      <w:r>
        <w:rPr>
          <w:rFonts w:hint="default"/>
          <w:color w:val="auto"/>
          <w:lang w:val="en-US" w:eastAsia="zh-CN"/>
        </w:rPr>
        <w:t>1. 尾矿坝边坡陡于设计边坡，坝体抗滑安全系数不足；</w:t>
      </w:r>
    </w:p>
    <w:p w14:paraId="0A03DA5D">
      <w:pPr>
        <w:numPr>
          <w:ilvl w:val="0"/>
          <w:numId w:val="0"/>
        </w:numPr>
        <w:bidi w:val="0"/>
        <w:ind w:left="0" w:leftChars="0" w:firstLine="560" w:firstLineChars="200"/>
        <w:rPr>
          <w:rFonts w:hint="default"/>
          <w:color w:val="auto"/>
          <w:lang w:val="en-US" w:eastAsia="zh-CN"/>
        </w:rPr>
      </w:pPr>
      <w:r>
        <w:rPr>
          <w:rFonts w:hint="default"/>
          <w:color w:val="auto"/>
          <w:lang w:val="en-US" w:eastAsia="zh-CN"/>
        </w:rPr>
        <w:t>2. 坝面维护不善，雨水冲刷拉沟，严重时会造成局部坝段滑坡；</w:t>
      </w:r>
    </w:p>
    <w:p w14:paraId="3B2762CF">
      <w:pPr>
        <w:numPr>
          <w:ilvl w:val="0"/>
          <w:numId w:val="0"/>
        </w:numPr>
        <w:bidi w:val="0"/>
        <w:ind w:left="0" w:leftChars="0" w:firstLine="560" w:firstLineChars="200"/>
        <w:rPr>
          <w:rFonts w:hint="default"/>
          <w:color w:val="auto"/>
          <w:lang w:val="en-US" w:eastAsia="zh-CN"/>
        </w:rPr>
      </w:pPr>
      <w:r>
        <w:rPr>
          <w:rFonts w:hint="default"/>
          <w:color w:val="auto"/>
          <w:lang w:val="en-US" w:eastAsia="zh-CN"/>
        </w:rPr>
        <w:t>3. 尾矿坝坡面无排水系统或排水系统不完善，造成坝面冲刷严重，威胁坝体安全。</w:t>
      </w:r>
    </w:p>
    <w:p w14:paraId="7C36784D">
      <w:pPr>
        <w:numPr>
          <w:ilvl w:val="0"/>
          <w:numId w:val="0"/>
        </w:numPr>
        <w:bidi w:val="0"/>
        <w:ind w:left="0" w:leftChars="0" w:firstLine="560" w:firstLineChars="200"/>
        <w:rPr>
          <w:rFonts w:hint="default"/>
          <w:color w:val="auto"/>
          <w:lang w:val="en-US" w:eastAsia="zh-CN"/>
        </w:rPr>
      </w:pPr>
      <w:r>
        <w:rPr>
          <w:rFonts w:hint="default"/>
          <w:color w:val="auto"/>
          <w:lang w:val="en-US" w:eastAsia="zh-CN"/>
        </w:rPr>
        <w:t>4. 为增加蓄水量，片面提高库内水位，造成尾矿库安全超高不足，降低坝体稳定性。</w:t>
      </w:r>
    </w:p>
    <w:p w14:paraId="6F3A2909">
      <w:pPr>
        <w:bidi w:val="0"/>
        <w:rPr>
          <w:rFonts w:hint="default"/>
          <w:color w:val="auto"/>
          <w:lang w:val="en-US" w:eastAsia="zh-CN"/>
        </w:rPr>
      </w:pPr>
      <w:r>
        <w:rPr>
          <w:rFonts w:hint="default"/>
          <w:color w:val="auto"/>
          <w:lang w:val="en-US" w:eastAsia="zh-CN"/>
        </w:rPr>
        <w:t>经现场检查，</w:t>
      </w:r>
      <w:r>
        <w:rPr>
          <w:rFonts w:hint="eastAsia"/>
          <w:color w:val="auto"/>
          <w:lang w:val="en-US" w:eastAsia="zh-CN"/>
        </w:rPr>
        <w:t>宜丰新庄铜铅锌矿尾矿库</w:t>
      </w:r>
      <w:r>
        <w:rPr>
          <w:rFonts w:hint="default"/>
          <w:color w:val="auto"/>
          <w:lang w:val="en-US" w:eastAsia="zh-CN"/>
        </w:rPr>
        <w:t>尾矿坝无滑坡现象。</w:t>
      </w:r>
    </w:p>
    <w:p w14:paraId="3503BFFE">
      <w:pPr>
        <w:pStyle w:val="4"/>
        <w:bidi w:val="0"/>
        <w:rPr>
          <w:rFonts w:hint="default"/>
          <w:color w:val="auto"/>
          <w:lang w:val="en-US" w:eastAsia="zh-CN"/>
        </w:rPr>
      </w:pPr>
      <w:bookmarkStart w:id="263" w:name="_Toc13996"/>
      <w:bookmarkStart w:id="264" w:name="_Toc29734"/>
      <w:bookmarkStart w:id="265" w:name="_Toc10273"/>
      <w:bookmarkStart w:id="266" w:name="_Toc1246"/>
      <w:bookmarkStart w:id="267" w:name="_Toc23723"/>
      <w:r>
        <w:rPr>
          <w:rFonts w:hint="default"/>
          <w:color w:val="auto"/>
          <w:lang w:val="en-US" w:eastAsia="zh-CN"/>
        </w:rPr>
        <w:t>3.2.2</w:t>
      </w:r>
      <w:r>
        <w:rPr>
          <w:rFonts w:hint="eastAsia"/>
          <w:color w:val="auto"/>
          <w:lang w:val="en-US" w:eastAsia="zh-CN"/>
        </w:rPr>
        <w:t xml:space="preserve"> </w:t>
      </w:r>
      <w:r>
        <w:rPr>
          <w:rFonts w:hint="default"/>
          <w:color w:val="auto"/>
          <w:lang w:val="en-US" w:eastAsia="zh-CN"/>
        </w:rPr>
        <w:t>洪水漫顶</w:t>
      </w:r>
      <w:bookmarkEnd w:id="263"/>
      <w:bookmarkEnd w:id="264"/>
      <w:bookmarkEnd w:id="265"/>
      <w:bookmarkEnd w:id="266"/>
      <w:bookmarkEnd w:id="267"/>
    </w:p>
    <w:p w14:paraId="2CC229CC">
      <w:pPr>
        <w:rPr>
          <w:rFonts w:hint="eastAsia"/>
          <w:color w:val="auto"/>
          <w:lang w:eastAsia="zh-CN"/>
        </w:rPr>
      </w:pPr>
      <w:r>
        <w:rPr>
          <w:rFonts w:hint="eastAsia" w:eastAsia="宋体"/>
          <w:color w:val="auto"/>
          <w:lang w:eastAsia="zh-CN"/>
        </w:rPr>
        <w:t>洪水漫顶是造成尾矿库事故的主要危险因素，造成洪水漫顶的原因有：</w:t>
      </w:r>
    </w:p>
    <w:p w14:paraId="11282074">
      <w:pPr>
        <w:numPr>
          <w:ilvl w:val="0"/>
          <w:numId w:val="0"/>
        </w:numPr>
        <w:ind w:firstLine="560" w:firstLineChars="200"/>
        <w:rPr>
          <w:rFonts w:hint="eastAsia"/>
          <w:color w:val="auto"/>
          <w:lang w:eastAsia="zh-CN"/>
        </w:rPr>
      </w:pPr>
      <w:r>
        <w:rPr>
          <w:rFonts w:hint="eastAsia"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eastAsia" w:eastAsia="宋体"/>
          <w:color w:val="auto"/>
          <w:lang w:eastAsia="zh-CN"/>
        </w:rPr>
        <w:t>排水系统能力不够；</w:t>
      </w:r>
    </w:p>
    <w:p w14:paraId="422886FC">
      <w:pPr>
        <w:numPr>
          <w:ilvl w:val="0"/>
          <w:numId w:val="0"/>
        </w:numPr>
        <w:ind w:left="0" w:leftChars="0" w:firstLine="560" w:firstLineChars="200"/>
        <w:rPr>
          <w:rFonts w:hint="eastAsia"/>
          <w:color w:val="auto"/>
          <w:lang w:eastAsia="zh-CN"/>
        </w:rPr>
      </w:pPr>
      <w:r>
        <w:rPr>
          <w:rFonts w:hint="eastAsia" w:ascii="Times New Roman" w:hAnsi="Times New Roman" w:eastAsia="宋体" w:cs="Times New Roman"/>
          <w:color w:val="auto"/>
          <w:kern w:val="2"/>
          <w:sz w:val="28"/>
          <w:szCs w:val="24"/>
          <w:lang w:val="en-US" w:eastAsia="zh-CN" w:bidi="ar-SA"/>
        </w:rPr>
        <w:t>2.</w:t>
      </w:r>
      <w:r>
        <w:rPr>
          <w:rFonts w:hint="eastAsia" w:cs="Times New Roman"/>
          <w:color w:val="auto"/>
          <w:kern w:val="2"/>
          <w:sz w:val="28"/>
          <w:szCs w:val="24"/>
          <w:lang w:val="en-US" w:eastAsia="zh-CN" w:bidi="ar-SA"/>
        </w:rPr>
        <w:t xml:space="preserve"> </w:t>
      </w:r>
      <w:r>
        <w:rPr>
          <w:rFonts w:hint="eastAsia" w:eastAsia="宋体"/>
          <w:color w:val="auto"/>
          <w:lang w:eastAsia="zh-CN"/>
        </w:rPr>
        <w:t>尾矿库的调洪能力和安全超高过小；</w:t>
      </w:r>
    </w:p>
    <w:p w14:paraId="405A5783">
      <w:pPr>
        <w:numPr>
          <w:ilvl w:val="0"/>
          <w:numId w:val="0"/>
        </w:numPr>
        <w:ind w:left="0" w:leftChars="0" w:firstLine="560" w:firstLineChars="200"/>
        <w:rPr>
          <w:rFonts w:hint="eastAsia"/>
          <w:color w:val="auto"/>
          <w:lang w:eastAsia="zh-CN"/>
        </w:rPr>
      </w:pPr>
      <w:r>
        <w:rPr>
          <w:rFonts w:hint="eastAsia" w:ascii="Times New Roman" w:hAnsi="Times New Roman" w:eastAsia="宋体" w:cs="Times New Roman"/>
          <w:color w:val="auto"/>
          <w:kern w:val="2"/>
          <w:sz w:val="28"/>
          <w:szCs w:val="24"/>
          <w:lang w:val="en-US" w:eastAsia="zh-CN" w:bidi="ar-SA"/>
        </w:rPr>
        <w:t>3.</w:t>
      </w:r>
      <w:r>
        <w:rPr>
          <w:rFonts w:hint="eastAsia" w:cs="Times New Roman"/>
          <w:color w:val="auto"/>
          <w:kern w:val="2"/>
          <w:sz w:val="28"/>
          <w:szCs w:val="24"/>
          <w:lang w:val="en-US" w:eastAsia="zh-CN" w:bidi="ar-SA"/>
        </w:rPr>
        <w:t xml:space="preserve"> </w:t>
      </w:r>
      <w:r>
        <w:rPr>
          <w:rFonts w:hint="eastAsia" w:eastAsia="宋体"/>
          <w:color w:val="auto"/>
          <w:lang w:eastAsia="zh-CN"/>
        </w:rPr>
        <w:t>管理中的失误造成排水系统堵塞。</w:t>
      </w:r>
    </w:p>
    <w:p w14:paraId="1359BCBC">
      <w:pPr>
        <w:rPr>
          <w:rFonts w:hint="eastAsia" w:eastAsia="宋体"/>
          <w:color w:val="auto"/>
          <w:lang w:eastAsia="zh-CN"/>
        </w:rPr>
      </w:pPr>
      <w:r>
        <w:rPr>
          <w:rFonts w:hint="eastAsia" w:eastAsia="宋体"/>
          <w:color w:val="auto"/>
          <w:lang w:eastAsia="zh-CN"/>
        </w:rPr>
        <w:t>经现场检查，</w:t>
      </w:r>
      <w:r>
        <w:rPr>
          <w:rFonts w:hint="eastAsia" w:ascii="Times New Roman" w:eastAsia="宋体"/>
          <w:color w:val="auto"/>
          <w:lang w:val="en-US" w:eastAsia="zh-CN"/>
        </w:rPr>
        <w:t>未发现</w:t>
      </w:r>
      <w:r>
        <w:rPr>
          <w:rFonts w:hint="eastAsia"/>
          <w:color w:val="auto"/>
          <w:lang w:val="en-US" w:eastAsia="zh-CN"/>
        </w:rPr>
        <w:t>宜丰新庄铜铅锌矿尾矿库</w:t>
      </w:r>
      <w:r>
        <w:rPr>
          <w:rFonts w:hint="eastAsia" w:ascii="Times New Roman" w:eastAsia="宋体"/>
          <w:color w:val="auto"/>
          <w:lang w:val="en-US" w:eastAsia="zh-CN"/>
        </w:rPr>
        <w:t>有洪水漫顶现象</w:t>
      </w:r>
      <w:r>
        <w:rPr>
          <w:rFonts w:hint="eastAsia" w:eastAsia="宋体"/>
          <w:color w:val="auto"/>
          <w:lang w:eastAsia="zh-CN"/>
        </w:rPr>
        <w:t>。</w:t>
      </w:r>
    </w:p>
    <w:p w14:paraId="14E08E07">
      <w:pPr>
        <w:pStyle w:val="4"/>
        <w:bidi w:val="0"/>
        <w:rPr>
          <w:rFonts w:hint="eastAsia"/>
          <w:color w:val="auto"/>
          <w:lang w:eastAsia="zh-CN"/>
        </w:rPr>
      </w:pPr>
      <w:bookmarkStart w:id="268" w:name="_Toc25695"/>
      <w:bookmarkStart w:id="269" w:name="_Toc22957"/>
      <w:bookmarkStart w:id="270" w:name="_Toc22296"/>
      <w:bookmarkStart w:id="271" w:name="_Toc4158"/>
      <w:bookmarkStart w:id="272" w:name="_Toc4699"/>
      <w:bookmarkStart w:id="273" w:name="_Toc23180"/>
      <w:bookmarkStart w:id="274" w:name="_Toc14757"/>
      <w:r>
        <w:rPr>
          <w:rFonts w:hint="eastAsia"/>
          <w:color w:val="auto"/>
          <w:lang w:eastAsia="zh-CN"/>
        </w:rPr>
        <w:t>3.2.3</w:t>
      </w:r>
      <w:r>
        <w:rPr>
          <w:rFonts w:hint="eastAsia"/>
          <w:color w:val="auto"/>
          <w:lang w:val="en-US" w:eastAsia="zh-CN"/>
        </w:rPr>
        <w:t xml:space="preserve"> </w:t>
      </w:r>
      <w:r>
        <w:rPr>
          <w:rFonts w:hint="eastAsia"/>
          <w:color w:val="auto"/>
          <w:lang w:eastAsia="zh-CN"/>
        </w:rPr>
        <w:t>渗漏</w:t>
      </w:r>
      <w:bookmarkEnd w:id="268"/>
      <w:bookmarkEnd w:id="269"/>
      <w:bookmarkEnd w:id="270"/>
      <w:bookmarkEnd w:id="271"/>
      <w:bookmarkEnd w:id="272"/>
      <w:bookmarkEnd w:id="273"/>
      <w:bookmarkEnd w:id="274"/>
    </w:p>
    <w:p w14:paraId="2E74C76B">
      <w:pPr>
        <w:bidi w:val="0"/>
        <w:rPr>
          <w:rFonts w:hint="eastAsia"/>
          <w:color w:val="auto"/>
          <w:lang w:eastAsia="zh-CN"/>
        </w:rPr>
      </w:pPr>
      <w:r>
        <w:rPr>
          <w:rFonts w:hint="eastAsia" w:eastAsia="宋体"/>
          <w:color w:val="auto"/>
          <w:lang w:eastAsia="zh-CN"/>
        </w:rPr>
        <w:t>非正常渗漏也是尾矿库常见的危险、有害因素，异常渗漏常导致溢流出口处坝体流土、冲刷及管涌等多种形式的破坏，严重的会导致垮坝事故。非正常渗漏按渗漏的部位可分为：坝体渗漏、坝基渗漏。</w:t>
      </w:r>
    </w:p>
    <w:p w14:paraId="7C9EA514">
      <w:pPr>
        <w:numPr>
          <w:ilvl w:val="0"/>
          <w:numId w:val="4"/>
        </w:numPr>
        <w:bidi w:val="0"/>
        <w:ind w:firstLine="560" w:firstLineChars="200"/>
        <w:rPr>
          <w:rFonts w:hint="eastAsia"/>
          <w:color w:val="auto"/>
          <w:lang w:eastAsia="zh-CN"/>
        </w:rPr>
      </w:pPr>
      <w:r>
        <w:rPr>
          <w:rFonts w:hint="eastAsia" w:eastAsia="宋体"/>
          <w:color w:val="auto"/>
          <w:lang w:eastAsia="zh-CN"/>
        </w:rPr>
        <w:t>坝体渗漏的主要原因：</w:t>
      </w:r>
    </w:p>
    <w:p w14:paraId="35DEB0F7">
      <w:pPr>
        <w:bidi w:val="0"/>
        <w:rPr>
          <w:rFonts w:hint="eastAsia"/>
          <w:color w:val="auto"/>
          <w:lang w:eastAsia="zh-CN"/>
        </w:rPr>
      </w:pPr>
      <w:r>
        <w:rPr>
          <w:rFonts w:hint="eastAsia" w:eastAsia="宋体"/>
          <w:color w:val="auto"/>
          <w:lang w:eastAsia="zh-CN"/>
        </w:rPr>
        <w:t>（1）尾矿坝无排渗设施；</w:t>
      </w:r>
    </w:p>
    <w:p w14:paraId="2445AED0">
      <w:pPr>
        <w:bidi w:val="0"/>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2</w:t>
      </w:r>
      <w:r>
        <w:rPr>
          <w:rFonts w:hint="eastAsia" w:eastAsia="宋体"/>
          <w:color w:val="auto"/>
          <w:lang w:eastAsia="zh-CN"/>
        </w:rPr>
        <w:t>）尾矿澄清距离过短；</w:t>
      </w:r>
    </w:p>
    <w:p w14:paraId="40E31C99">
      <w:pPr>
        <w:bidi w:val="0"/>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3</w:t>
      </w:r>
      <w:r>
        <w:rPr>
          <w:rFonts w:hint="eastAsia" w:eastAsia="宋体"/>
          <w:color w:val="auto"/>
          <w:lang w:eastAsia="zh-CN"/>
        </w:rPr>
        <w:t>）尾矿坝下游坝面坡度过陡。</w:t>
      </w:r>
    </w:p>
    <w:p w14:paraId="4827C5A4">
      <w:pPr>
        <w:bidi w:val="0"/>
        <w:rPr>
          <w:rFonts w:hint="eastAsia"/>
          <w:color w:val="auto"/>
          <w:lang w:eastAsia="zh-CN"/>
        </w:rPr>
      </w:pPr>
      <w:r>
        <w:rPr>
          <w:rFonts w:hint="eastAsia" w:ascii="Times New Roman" w:eastAsia="宋体"/>
          <w:color w:val="auto"/>
          <w:lang w:val="en-US" w:eastAsia="zh-CN"/>
        </w:rPr>
        <w:t xml:space="preserve">2. </w:t>
      </w:r>
      <w:r>
        <w:rPr>
          <w:rFonts w:hint="eastAsia" w:eastAsia="宋体"/>
          <w:color w:val="auto"/>
          <w:lang w:eastAsia="zh-CN"/>
        </w:rPr>
        <w:t>基础渗漏的主要原因：</w:t>
      </w:r>
    </w:p>
    <w:p w14:paraId="085F1D84">
      <w:pPr>
        <w:bidi w:val="0"/>
        <w:rPr>
          <w:rFonts w:hint="eastAsia"/>
          <w:color w:val="auto"/>
          <w:lang w:eastAsia="zh-CN"/>
        </w:rPr>
      </w:pPr>
      <w:r>
        <w:rPr>
          <w:rFonts w:hint="eastAsia" w:eastAsia="宋体"/>
          <w:color w:val="auto"/>
          <w:lang w:eastAsia="zh-CN"/>
        </w:rPr>
        <w:t>（1）坝基的工程地质条件差，且施工时未进行必要的处理；</w:t>
      </w:r>
    </w:p>
    <w:p w14:paraId="2955FD39">
      <w:pPr>
        <w:bidi w:val="0"/>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2</w:t>
      </w:r>
      <w:r>
        <w:rPr>
          <w:rFonts w:hint="eastAsia" w:eastAsia="宋体"/>
          <w:color w:val="auto"/>
          <w:lang w:eastAsia="zh-CN"/>
        </w:rPr>
        <w:t>）筑坝材料不当；</w:t>
      </w:r>
    </w:p>
    <w:p w14:paraId="5216B32D">
      <w:pPr>
        <w:bidi w:val="0"/>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3</w:t>
      </w:r>
      <w:r>
        <w:rPr>
          <w:rFonts w:hint="eastAsia" w:eastAsia="宋体"/>
          <w:color w:val="auto"/>
          <w:lang w:eastAsia="zh-CN"/>
        </w:rPr>
        <w:t>）无排渗设施。</w:t>
      </w:r>
    </w:p>
    <w:p w14:paraId="40CF9C64">
      <w:pPr>
        <w:bidi w:val="0"/>
        <w:rPr>
          <w:rFonts w:hint="eastAsia"/>
          <w:color w:val="auto"/>
          <w:lang w:eastAsia="zh-CN"/>
        </w:rPr>
      </w:pPr>
      <w:r>
        <w:rPr>
          <w:rFonts w:hint="eastAsia" w:eastAsia="宋体"/>
          <w:color w:val="auto"/>
          <w:lang w:eastAsia="zh-CN"/>
        </w:rPr>
        <w:t>经现场检查，</w:t>
      </w:r>
      <w:r>
        <w:rPr>
          <w:rFonts w:hint="eastAsia"/>
          <w:color w:val="auto"/>
          <w:lang w:val="en-US" w:eastAsia="zh-CN"/>
        </w:rPr>
        <w:t>宜丰新庄铜铅锌矿尾矿库</w:t>
      </w:r>
      <w:r>
        <w:rPr>
          <w:rFonts w:hint="eastAsia" w:eastAsia="宋体"/>
          <w:color w:val="auto"/>
          <w:lang w:eastAsia="zh-CN"/>
        </w:rPr>
        <w:t>尾矿坝无渗漏现象。</w:t>
      </w:r>
    </w:p>
    <w:p w14:paraId="0A2FD7BF">
      <w:pPr>
        <w:pStyle w:val="4"/>
        <w:bidi w:val="0"/>
        <w:rPr>
          <w:rFonts w:hint="eastAsia"/>
          <w:color w:val="auto"/>
          <w:lang w:eastAsia="zh-CN"/>
        </w:rPr>
      </w:pPr>
      <w:bookmarkStart w:id="275" w:name="_Toc13021"/>
      <w:bookmarkStart w:id="276" w:name="_Toc10654"/>
      <w:bookmarkStart w:id="277" w:name="_Toc32626"/>
      <w:bookmarkStart w:id="278" w:name="_Toc10894"/>
      <w:bookmarkStart w:id="279" w:name="_Toc25317"/>
      <w:bookmarkStart w:id="280" w:name="_Toc3485"/>
      <w:bookmarkStart w:id="281" w:name="_Toc4825"/>
      <w:r>
        <w:rPr>
          <w:rFonts w:hint="eastAsia"/>
          <w:color w:val="auto"/>
          <w:lang w:eastAsia="zh-CN"/>
        </w:rPr>
        <w:t>3.2.4</w:t>
      </w:r>
      <w:r>
        <w:rPr>
          <w:rFonts w:hint="eastAsia"/>
          <w:color w:val="auto"/>
          <w:lang w:val="en-US" w:eastAsia="zh-CN"/>
        </w:rPr>
        <w:t xml:space="preserve"> </w:t>
      </w:r>
      <w:r>
        <w:rPr>
          <w:rFonts w:hint="eastAsia"/>
          <w:color w:val="auto"/>
          <w:lang w:eastAsia="zh-CN"/>
        </w:rPr>
        <w:t>排水、泄洪构筑物破坏</w:t>
      </w:r>
      <w:bookmarkEnd w:id="275"/>
      <w:bookmarkEnd w:id="276"/>
      <w:bookmarkEnd w:id="277"/>
      <w:bookmarkEnd w:id="278"/>
      <w:bookmarkEnd w:id="279"/>
      <w:bookmarkEnd w:id="280"/>
      <w:bookmarkEnd w:id="281"/>
    </w:p>
    <w:p w14:paraId="3CC26989">
      <w:pPr>
        <w:rPr>
          <w:rFonts w:hint="eastAsia"/>
          <w:color w:val="auto"/>
          <w:lang w:eastAsia="zh-CN"/>
        </w:rPr>
      </w:pPr>
      <w:r>
        <w:rPr>
          <w:rFonts w:hint="eastAsia" w:ascii="Times New Roman" w:eastAsia="宋体"/>
          <w:color w:val="auto"/>
          <w:lang w:val="en-US" w:eastAsia="zh-CN"/>
        </w:rPr>
        <w:t xml:space="preserve">1. </w:t>
      </w:r>
      <w:r>
        <w:rPr>
          <w:rFonts w:hint="eastAsia" w:eastAsia="宋体"/>
          <w:color w:val="auto"/>
          <w:lang w:eastAsia="zh-CN"/>
        </w:rPr>
        <w:t>排洪构筑物堵塞</w:t>
      </w:r>
    </w:p>
    <w:p w14:paraId="42B9146D">
      <w:pPr>
        <w:rPr>
          <w:rFonts w:hint="eastAsia"/>
          <w:color w:val="auto"/>
          <w:lang w:eastAsia="zh-CN"/>
        </w:rPr>
      </w:pPr>
      <w:r>
        <w:rPr>
          <w:rFonts w:hint="eastAsia" w:eastAsia="宋体"/>
          <w:color w:val="auto"/>
          <w:lang w:eastAsia="zh-CN"/>
        </w:rPr>
        <w:t>排洪构筑物堵塞导致排洪能力急剧下降，库水位上升，安全超高不够，直接危及坝体安全。</w:t>
      </w:r>
    </w:p>
    <w:p w14:paraId="59E29B46">
      <w:pPr>
        <w:rPr>
          <w:rFonts w:hint="eastAsia"/>
          <w:color w:val="auto"/>
          <w:lang w:eastAsia="zh-CN"/>
        </w:rPr>
      </w:pPr>
      <w:r>
        <w:rPr>
          <w:rFonts w:hint="eastAsia" w:eastAsia="宋体"/>
          <w:color w:val="auto"/>
          <w:lang w:eastAsia="zh-CN"/>
        </w:rPr>
        <w:t>排洪构筑物堵塞主要原因有：</w:t>
      </w:r>
    </w:p>
    <w:p w14:paraId="498646EC">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1</w:t>
      </w:r>
      <w:r>
        <w:rPr>
          <w:rFonts w:hint="eastAsia" w:eastAsia="宋体"/>
          <w:color w:val="auto"/>
          <w:lang w:eastAsia="zh-CN"/>
        </w:rPr>
        <w:t>）进水口杂物淤积；</w:t>
      </w:r>
    </w:p>
    <w:p w14:paraId="15B8D5B6">
      <w:pPr>
        <w:rPr>
          <w:rFonts w:hint="eastAsia"/>
          <w:color w:val="auto"/>
          <w:lang w:eastAsia="zh-CN"/>
        </w:rPr>
      </w:pPr>
      <w:r>
        <w:rPr>
          <w:rFonts w:hint="eastAsia" w:eastAsia="宋体"/>
          <w:color w:val="auto"/>
          <w:lang w:eastAsia="zh-CN"/>
        </w:rPr>
        <w:t>（2）构筑物垮塌；</w:t>
      </w:r>
    </w:p>
    <w:p w14:paraId="4262D250">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3</w:t>
      </w:r>
      <w:r>
        <w:rPr>
          <w:rFonts w:hint="eastAsia" w:eastAsia="宋体"/>
          <w:color w:val="auto"/>
          <w:lang w:eastAsia="zh-CN"/>
        </w:rPr>
        <w:t>）长期对排洪构筑物不进行检查、维修，致使堵塞、露筋、塌陷等隐患未能及时发现。</w:t>
      </w:r>
    </w:p>
    <w:p w14:paraId="57C93A82">
      <w:pPr>
        <w:rPr>
          <w:rFonts w:hint="eastAsia"/>
          <w:color w:val="auto"/>
          <w:lang w:eastAsia="zh-CN"/>
        </w:rPr>
      </w:pPr>
      <w:r>
        <w:rPr>
          <w:rFonts w:hint="eastAsia" w:ascii="Times New Roman" w:eastAsia="宋体"/>
          <w:color w:val="auto"/>
          <w:lang w:val="en-US" w:eastAsia="zh-CN"/>
        </w:rPr>
        <w:t xml:space="preserve">2. </w:t>
      </w:r>
      <w:r>
        <w:rPr>
          <w:rFonts w:hint="eastAsia" w:eastAsia="宋体"/>
          <w:color w:val="auto"/>
          <w:lang w:eastAsia="zh-CN"/>
        </w:rPr>
        <w:t>排洪构筑物错动、断裂、气蚀、垮塌</w:t>
      </w:r>
    </w:p>
    <w:p w14:paraId="386E1EE0">
      <w:pPr>
        <w:rPr>
          <w:rFonts w:hint="eastAsia"/>
          <w:color w:val="auto"/>
          <w:lang w:eastAsia="zh-CN"/>
        </w:rPr>
      </w:pPr>
      <w:r>
        <w:rPr>
          <w:rFonts w:hint="eastAsia" w:eastAsia="宋体"/>
          <w:color w:val="auto"/>
          <w:lang w:eastAsia="zh-CN"/>
        </w:rPr>
        <w:t>排洪构筑物错动、断裂常常造成大量泄漏，垮塌造成堵塞，排洪能力急剧下降，直接危及坝体安全。</w:t>
      </w:r>
    </w:p>
    <w:p w14:paraId="10FEEFFD">
      <w:pPr>
        <w:rPr>
          <w:rFonts w:hint="eastAsia"/>
          <w:color w:val="auto"/>
          <w:lang w:eastAsia="zh-CN"/>
        </w:rPr>
      </w:pPr>
      <w:r>
        <w:rPr>
          <w:rFonts w:hint="eastAsia" w:eastAsia="宋体"/>
          <w:color w:val="auto"/>
          <w:lang w:eastAsia="zh-CN"/>
        </w:rPr>
        <w:t>排洪构筑物断裂、垮塌常由下列原因引起：</w:t>
      </w:r>
    </w:p>
    <w:p w14:paraId="149D6444">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1</w:t>
      </w:r>
      <w:r>
        <w:rPr>
          <w:rFonts w:hint="eastAsia" w:eastAsia="宋体"/>
          <w:color w:val="auto"/>
          <w:lang w:eastAsia="zh-CN"/>
        </w:rPr>
        <w:t>）未按设计要求施工；</w:t>
      </w:r>
    </w:p>
    <w:p w14:paraId="4858B42E">
      <w:pPr>
        <w:rPr>
          <w:rFonts w:hint="eastAsia"/>
          <w:color w:val="auto"/>
          <w:lang w:eastAsia="zh-CN"/>
        </w:rPr>
      </w:pPr>
      <w:r>
        <w:rPr>
          <w:rFonts w:hint="eastAsia" w:eastAsia="宋体"/>
          <w:color w:val="auto"/>
          <w:lang w:eastAsia="zh-CN"/>
        </w:rPr>
        <w:t>（2）排洪管线等处的地基不均匀沉陷；出现不均匀或集中荷载；水流流态改变等；</w:t>
      </w:r>
    </w:p>
    <w:p w14:paraId="7606DEBB">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3</w:t>
      </w:r>
      <w:r>
        <w:rPr>
          <w:rFonts w:hint="eastAsia" w:eastAsia="宋体"/>
          <w:color w:val="auto"/>
          <w:lang w:eastAsia="zh-CN"/>
        </w:rPr>
        <w:t>）排洪构筑物有蜂窝、麻面或强度不达标，当负荷逐渐增大时，会造成掉块、漏筋、断裂、甚至倒塌等病害。</w:t>
      </w:r>
    </w:p>
    <w:p w14:paraId="6BF73899">
      <w:pPr>
        <w:rPr>
          <w:rFonts w:hint="eastAsia"/>
          <w:color w:val="auto"/>
          <w:lang w:eastAsia="zh-CN"/>
        </w:rPr>
      </w:pPr>
      <w:r>
        <w:rPr>
          <w:rFonts w:hint="eastAsia" w:ascii="Times New Roman" w:eastAsia="宋体"/>
          <w:color w:val="auto"/>
          <w:lang w:val="en-US" w:eastAsia="zh-CN"/>
        </w:rPr>
        <w:t xml:space="preserve">3. </w:t>
      </w:r>
      <w:r>
        <w:rPr>
          <w:rFonts w:hint="eastAsia" w:eastAsia="宋体"/>
          <w:color w:val="auto"/>
          <w:lang w:eastAsia="zh-CN"/>
        </w:rPr>
        <w:t>排洪构筑物排洪能力不足</w:t>
      </w:r>
    </w:p>
    <w:p w14:paraId="30FC0E39">
      <w:pPr>
        <w:rPr>
          <w:rFonts w:hint="eastAsia"/>
          <w:color w:val="auto"/>
          <w:lang w:eastAsia="zh-CN"/>
        </w:rPr>
      </w:pPr>
      <w:r>
        <w:rPr>
          <w:rFonts w:hint="eastAsia" w:eastAsia="宋体"/>
          <w:color w:val="auto"/>
          <w:lang w:eastAsia="zh-CN"/>
        </w:rPr>
        <w:t>排洪构筑物排洪能力不足就不能及时排泄设计频率暴雨的洪水，库水位上升，危及坝体安全。</w:t>
      </w:r>
    </w:p>
    <w:p w14:paraId="4C48A32F">
      <w:pPr>
        <w:rPr>
          <w:rFonts w:hint="eastAsia"/>
          <w:color w:val="auto"/>
          <w:lang w:eastAsia="zh-CN"/>
        </w:rPr>
      </w:pPr>
      <w:r>
        <w:rPr>
          <w:rFonts w:hint="eastAsia" w:eastAsia="宋体"/>
          <w:color w:val="auto"/>
          <w:lang w:eastAsia="zh-CN"/>
        </w:rPr>
        <w:t>导致排洪构筑物排洪能力不足的主要原因有：</w:t>
      </w:r>
    </w:p>
    <w:p w14:paraId="305F62E9">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1</w:t>
      </w:r>
      <w:r>
        <w:rPr>
          <w:rFonts w:hint="eastAsia" w:eastAsia="宋体"/>
          <w:color w:val="auto"/>
          <w:lang w:eastAsia="zh-CN"/>
        </w:rPr>
        <w:t>）原设计洪水标准低于现行标准；</w:t>
      </w:r>
    </w:p>
    <w:p w14:paraId="0DDD6720">
      <w:pPr>
        <w:rPr>
          <w:rFonts w:hint="eastAsia"/>
          <w:color w:val="auto"/>
          <w:lang w:eastAsia="zh-CN"/>
        </w:rPr>
      </w:pPr>
      <w:r>
        <w:rPr>
          <w:rFonts w:hint="eastAsia" w:eastAsia="宋体"/>
          <w:color w:val="auto"/>
          <w:lang w:eastAsia="zh-CN"/>
        </w:rPr>
        <w:t>（2）为节约投资，人为缩小排洪通道断面尺寸；</w:t>
      </w:r>
    </w:p>
    <w:p w14:paraId="3D4B8B4D">
      <w:pPr>
        <w:rPr>
          <w:rFonts w:hint="eastAsia"/>
          <w:color w:val="auto"/>
          <w:lang w:eastAsia="zh-CN"/>
        </w:rPr>
      </w:pPr>
      <w:r>
        <w:rPr>
          <w:rFonts w:hint="eastAsia" w:eastAsia="宋体"/>
          <w:color w:val="auto"/>
          <w:lang w:eastAsia="zh-CN"/>
        </w:rPr>
        <w:t>（</w:t>
      </w:r>
      <w:r>
        <w:rPr>
          <w:rFonts w:hint="eastAsia" w:ascii="Times New Roman" w:eastAsia="宋体"/>
          <w:color w:val="auto"/>
          <w:lang w:val="en-US" w:eastAsia="zh-CN"/>
        </w:rPr>
        <w:t>3</w:t>
      </w:r>
      <w:r>
        <w:rPr>
          <w:rFonts w:hint="eastAsia" w:eastAsia="宋体"/>
          <w:color w:val="auto"/>
          <w:lang w:eastAsia="zh-CN"/>
        </w:rPr>
        <w:t>）排洪通道存在限制性“瓶颈”。</w:t>
      </w:r>
    </w:p>
    <w:p w14:paraId="7B549F09">
      <w:pPr>
        <w:rPr>
          <w:rFonts w:hint="eastAsia" w:eastAsia="宋体"/>
          <w:color w:val="auto"/>
          <w:lang w:eastAsia="zh-CN"/>
        </w:rPr>
      </w:pPr>
      <w:r>
        <w:rPr>
          <w:rFonts w:hint="eastAsia" w:eastAsia="宋体"/>
          <w:color w:val="auto"/>
          <w:lang w:eastAsia="zh-CN"/>
        </w:rPr>
        <w:t>经现场检查，</w:t>
      </w:r>
      <w:r>
        <w:rPr>
          <w:rFonts w:hint="eastAsia"/>
          <w:color w:val="auto"/>
          <w:lang w:val="en-US" w:eastAsia="zh-CN"/>
        </w:rPr>
        <w:t>宜丰新庄铜铅锌矿尾矿库</w:t>
      </w:r>
      <w:r>
        <w:rPr>
          <w:rFonts w:hint="eastAsia" w:eastAsia="宋体"/>
          <w:color w:val="auto"/>
          <w:lang w:eastAsia="zh-CN"/>
        </w:rPr>
        <w:t>排洪构筑物无破坏现象。</w:t>
      </w:r>
    </w:p>
    <w:p w14:paraId="7A047A7E">
      <w:pPr>
        <w:pStyle w:val="4"/>
        <w:bidi w:val="0"/>
        <w:rPr>
          <w:rFonts w:hint="eastAsia"/>
          <w:color w:val="auto"/>
          <w:lang w:eastAsia="zh-CN"/>
        </w:rPr>
      </w:pPr>
      <w:bookmarkStart w:id="282" w:name="_Toc22489"/>
      <w:bookmarkStart w:id="283" w:name="_Toc31822"/>
      <w:bookmarkStart w:id="284" w:name="_Toc13841"/>
      <w:bookmarkStart w:id="285" w:name="_Toc1016"/>
      <w:bookmarkStart w:id="286" w:name="_Toc13987"/>
      <w:bookmarkStart w:id="287" w:name="_Toc24258"/>
      <w:bookmarkStart w:id="288" w:name="_Toc21019"/>
      <w:r>
        <w:rPr>
          <w:rFonts w:hint="eastAsia"/>
          <w:color w:val="auto"/>
          <w:lang w:eastAsia="zh-CN"/>
        </w:rPr>
        <w:t>3.2.5</w:t>
      </w:r>
      <w:r>
        <w:rPr>
          <w:rFonts w:hint="eastAsia"/>
          <w:color w:val="auto"/>
          <w:lang w:val="en-US" w:eastAsia="zh-CN"/>
        </w:rPr>
        <w:t xml:space="preserve"> </w:t>
      </w:r>
      <w:r>
        <w:rPr>
          <w:rFonts w:hint="eastAsia"/>
          <w:color w:val="auto"/>
          <w:lang w:eastAsia="zh-CN"/>
        </w:rPr>
        <w:t>调洪库容不足</w:t>
      </w:r>
      <w:bookmarkEnd w:id="282"/>
      <w:bookmarkEnd w:id="283"/>
      <w:bookmarkEnd w:id="284"/>
      <w:bookmarkEnd w:id="285"/>
      <w:bookmarkEnd w:id="286"/>
      <w:bookmarkEnd w:id="287"/>
      <w:bookmarkEnd w:id="288"/>
    </w:p>
    <w:p w14:paraId="214459B5">
      <w:pPr>
        <w:bidi w:val="0"/>
        <w:rPr>
          <w:rFonts w:hint="eastAsia"/>
          <w:color w:val="auto"/>
          <w:lang w:eastAsia="zh-CN"/>
        </w:rPr>
      </w:pPr>
      <w:r>
        <w:rPr>
          <w:rFonts w:hint="eastAsia" w:eastAsia="宋体"/>
          <w:color w:val="auto"/>
          <w:lang w:eastAsia="zh-CN"/>
        </w:rPr>
        <w:t>调洪库容不足将降低尾矿库的防洪能力，遇大洪水时将造成溃坝事故。导致调洪库容不足的原因有：汛期保持高水位运行，造成调洪库容不足。</w:t>
      </w:r>
    </w:p>
    <w:p w14:paraId="3F9EE4C3">
      <w:pPr>
        <w:bidi w:val="0"/>
        <w:rPr>
          <w:rFonts w:hint="eastAsia"/>
          <w:color w:val="auto"/>
          <w:lang w:eastAsia="zh-CN"/>
        </w:rPr>
      </w:pPr>
      <w:r>
        <w:rPr>
          <w:rFonts w:hint="eastAsia" w:eastAsia="宋体"/>
          <w:color w:val="auto"/>
          <w:lang w:eastAsia="zh-CN"/>
        </w:rPr>
        <w:t>经现场检查，未发现</w:t>
      </w:r>
      <w:r>
        <w:rPr>
          <w:rFonts w:hint="eastAsia"/>
          <w:color w:val="auto"/>
          <w:lang w:val="en-US" w:eastAsia="zh-CN"/>
        </w:rPr>
        <w:t>宜丰新庄铜铅锌矿尾矿库</w:t>
      </w:r>
      <w:r>
        <w:rPr>
          <w:rFonts w:hint="eastAsia" w:eastAsia="宋体"/>
          <w:color w:val="auto"/>
          <w:lang w:eastAsia="zh-CN"/>
        </w:rPr>
        <w:t>有调洪库容不足现象。</w:t>
      </w:r>
    </w:p>
    <w:p w14:paraId="2B0EFD8C">
      <w:pPr>
        <w:pStyle w:val="4"/>
        <w:bidi w:val="0"/>
        <w:rPr>
          <w:rFonts w:hint="eastAsia"/>
          <w:color w:val="auto"/>
          <w:lang w:eastAsia="zh-CN"/>
        </w:rPr>
      </w:pPr>
      <w:bookmarkStart w:id="289" w:name="_Toc8439"/>
      <w:bookmarkStart w:id="290" w:name="_Toc6933"/>
      <w:bookmarkStart w:id="291" w:name="_Toc19731"/>
      <w:bookmarkStart w:id="292" w:name="_Toc1861"/>
      <w:bookmarkStart w:id="293" w:name="_Toc20582"/>
      <w:bookmarkStart w:id="294" w:name="_Toc24697"/>
      <w:bookmarkStart w:id="295" w:name="_Toc7102"/>
      <w:r>
        <w:rPr>
          <w:rFonts w:hint="eastAsia"/>
          <w:color w:val="auto"/>
          <w:lang w:eastAsia="zh-CN"/>
        </w:rPr>
        <w:t>3.2.6</w:t>
      </w:r>
      <w:r>
        <w:rPr>
          <w:rFonts w:hint="eastAsia"/>
          <w:color w:val="auto"/>
          <w:lang w:val="en-US" w:eastAsia="zh-CN"/>
        </w:rPr>
        <w:t xml:space="preserve"> </w:t>
      </w:r>
      <w:r>
        <w:rPr>
          <w:rFonts w:hint="eastAsia"/>
          <w:color w:val="auto"/>
          <w:lang w:eastAsia="zh-CN"/>
        </w:rPr>
        <w:t>裂缝</w:t>
      </w:r>
      <w:bookmarkEnd w:id="289"/>
      <w:bookmarkEnd w:id="290"/>
      <w:bookmarkEnd w:id="291"/>
      <w:bookmarkEnd w:id="292"/>
      <w:bookmarkEnd w:id="293"/>
      <w:bookmarkEnd w:id="294"/>
      <w:bookmarkEnd w:id="295"/>
    </w:p>
    <w:p w14:paraId="7BF37B7E">
      <w:pPr>
        <w:rPr>
          <w:rFonts w:hint="eastAsia"/>
          <w:color w:val="auto"/>
          <w:lang w:eastAsia="zh-CN"/>
        </w:rPr>
      </w:pPr>
      <w:r>
        <w:rPr>
          <w:rFonts w:hint="eastAsia" w:eastAsia="宋体"/>
          <w:color w:val="auto"/>
          <w:lang w:eastAsia="zh-CN"/>
        </w:rPr>
        <w:t>裂缝是尾矿坝较为常见的有害因素，某些细小的横向裂缝有可能发展成为坝体的集中渗漏通道，有的纵向裂缝或水平裂缝也可能是坝体出现滑塌的预兆。</w:t>
      </w:r>
    </w:p>
    <w:p w14:paraId="4B97007E">
      <w:pPr>
        <w:rPr>
          <w:rFonts w:hint="eastAsia"/>
          <w:color w:val="auto"/>
          <w:lang w:eastAsia="zh-CN"/>
        </w:rPr>
      </w:pPr>
      <w:r>
        <w:rPr>
          <w:rFonts w:hint="eastAsia" w:eastAsia="宋体"/>
          <w:color w:val="auto"/>
          <w:lang w:eastAsia="zh-CN"/>
        </w:rPr>
        <w:t>裂缝的主要成因有：</w:t>
      </w:r>
    </w:p>
    <w:p w14:paraId="565BE8B8">
      <w:pPr>
        <w:numPr>
          <w:ilvl w:val="0"/>
          <w:numId w:val="5"/>
        </w:numPr>
        <w:ind w:firstLine="560" w:firstLineChars="200"/>
        <w:rPr>
          <w:rFonts w:hint="eastAsia"/>
          <w:color w:val="auto"/>
          <w:lang w:eastAsia="zh-CN"/>
        </w:rPr>
      </w:pPr>
      <w:r>
        <w:rPr>
          <w:rFonts w:hint="eastAsia" w:eastAsia="宋体"/>
          <w:color w:val="auto"/>
          <w:lang w:eastAsia="zh-CN"/>
        </w:rPr>
        <w:t>坝基承载能力不均衡；</w:t>
      </w:r>
    </w:p>
    <w:p w14:paraId="557C6F7B">
      <w:pPr>
        <w:numPr>
          <w:ilvl w:val="0"/>
          <w:numId w:val="5"/>
        </w:numPr>
        <w:ind w:left="0" w:leftChars="0" w:firstLine="560" w:firstLineChars="200"/>
        <w:rPr>
          <w:rFonts w:hint="eastAsia"/>
          <w:color w:val="auto"/>
          <w:lang w:eastAsia="zh-CN"/>
        </w:rPr>
      </w:pPr>
      <w:r>
        <w:rPr>
          <w:rFonts w:hint="eastAsia" w:eastAsia="宋体"/>
          <w:color w:val="auto"/>
          <w:lang w:eastAsia="zh-CN"/>
        </w:rPr>
        <w:t>坝体施工质量差；</w:t>
      </w:r>
    </w:p>
    <w:p w14:paraId="221E49F1">
      <w:pPr>
        <w:numPr>
          <w:ilvl w:val="0"/>
          <w:numId w:val="5"/>
        </w:numPr>
        <w:ind w:left="0" w:leftChars="0" w:firstLine="560" w:firstLineChars="200"/>
        <w:rPr>
          <w:rFonts w:hint="eastAsia"/>
          <w:color w:val="auto"/>
          <w:lang w:eastAsia="zh-CN"/>
        </w:rPr>
      </w:pPr>
      <w:r>
        <w:rPr>
          <w:rFonts w:hint="eastAsia" w:eastAsia="宋体"/>
          <w:color w:val="auto"/>
          <w:lang w:eastAsia="zh-CN"/>
        </w:rPr>
        <w:t>坝身结构及断面尺寸设计不当。</w:t>
      </w:r>
    </w:p>
    <w:p w14:paraId="60329B18">
      <w:pPr>
        <w:numPr>
          <w:ilvl w:val="0"/>
          <w:numId w:val="0"/>
        </w:numPr>
        <w:ind w:leftChars="200"/>
        <w:rPr>
          <w:rFonts w:hint="eastAsia"/>
          <w:color w:val="auto"/>
          <w:lang w:eastAsia="zh-CN"/>
        </w:rPr>
      </w:pPr>
      <w:r>
        <w:rPr>
          <w:rFonts w:hint="eastAsia" w:eastAsia="宋体"/>
          <w:color w:val="auto"/>
          <w:lang w:eastAsia="zh-CN"/>
        </w:rPr>
        <w:t>经现场检查，</w:t>
      </w:r>
      <w:r>
        <w:rPr>
          <w:rFonts w:hint="eastAsia"/>
          <w:color w:val="auto"/>
          <w:lang w:val="en-US" w:eastAsia="zh-CN"/>
        </w:rPr>
        <w:t>宜丰新庄铜铅锌矿尾矿库</w:t>
      </w:r>
      <w:r>
        <w:rPr>
          <w:rFonts w:hint="eastAsia" w:eastAsia="宋体"/>
          <w:color w:val="auto"/>
          <w:lang w:eastAsia="zh-CN"/>
        </w:rPr>
        <w:t>尾矿坝无裂缝现象。</w:t>
      </w:r>
    </w:p>
    <w:p w14:paraId="678387AA">
      <w:pPr>
        <w:pStyle w:val="4"/>
        <w:bidi w:val="0"/>
        <w:rPr>
          <w:rFonts w:hint="eastAsia"/>
          <w:color w:val="auto"/>
          <w:lang w:eastAsia="zh-CN"/>
        </w:rPr>
      </w:pPr>
      <w:bookmarkStart w:id="296" w:name="_Toc17523"/>
      <w:bookmarkStart w:id="297" w:name="_Toc16022"/>
      <w:bookmarkStart w:id="298" w:name="_Toc24233"/>
      <w:bookmarkStart w:id="299" w:name="_Toc22878"/>
      <w:bookmarkStart w:id="300" w:name="_Toc21162"/>
      <w:bookmarkStart w:id="301" w:name="_Toc7015"/>
      <w:bookmarkStart w:id="302" w:name="_Toc27308"/>
      <w:r>
        <w:rPr>
          <w:rFonts w:hint="eastAsia"/>
          <w:color w:val="auto"/>
          <w:lang w:eastAsia="zh-CN"/>
        </w:rPr>
        <w:t>3.2.7</w:t>
      </w:r>
      <w:r>
        <w:rPr>
          <w:rFonts w:hint="eastAsia"/>
          <w:color w:val="auto"/>
          <w:lang w:val="en-US" w:eastAsia="zh-CN"/>
        </w:rPr>
        <w:t xml:space="preserve"> </w:t>
      </w:r>
      <w:r>
        <w:rPr>
          <w:rFonts w:hint="eastAsia"/>
          <w:color w:val="auto"/>
          <w:lang w:eastAsia="zh-CN"/>
        </w:rPr>
        <w:t>淹溺</w:t>
      </w:r>
      <w:bookmarkEnd w:id="296"/>
      <w:bookmarkEnd w:id="297"/>
      <w:bookmarkEnd w:id="298"/>
      <w:bookmarkEnd w:id="299"/>
      <w:bookmarkEnd w:id="300"/>
      <w:bookmarkEnd w:id="301"/>
      <w:bookmarkEnd w:id="302"/>
    </w:p>
    <w:p w14:paraId="75A126DF">
      <w:pPr>
        <w:rPr>
          <w:rFonts w:hint="eastAsia"/>
          <w:color w:val="auto"/>
          <w:lang w:eastAsia="zh-CN"/>
        </w:rPr>
      </w:pPr>
      <w:r>
        <w:rPr>
          <w:rFonts w:hint="eastAsia" w:eastAsia="宋体"/>
          <w:color w:val="auto"/>
          <w:lang w:eastAsia="zh-CN"/>
        </w:rPr>
        <w:t>操作人员在进行排水</w:t>
      </w:r>
      <w:r>
        <w:rPr>
          <w:rFonts w:hint="eastAsia"/>
          <w:color w:val="auto"/>
          <w:lang w:val="en-US" w:eastAsia="zh-CN"/>
        </w:rPr>
        <w:t>斜槽盖</w:t>
      </w:r>
      <w:r>
        <w:rPr>
          <w:rFonts w:hint="eastAsia" w:eastAsia="宋体"/>
          <w:color w:val="auto"/>
          <w:lang w:eastAsia="zh-CN"/>
        </w:rPr>
        <w:t>板添加等作业时，不慎坠入水中；及人员在巡查尾矿库时意外坠入水中；或外来人员在库内深水区游泳，意外抽筋等，将造成人员淹溺窒息。</w:t>
      </w:r>
    </w:p>
    <w:p w14:paraId="4D5BB716">
      <w:pPr>
        <w:pStyle w:val="4"/>
        <w:bidi w:val="0"/>
        <w:rPr>
          <w:rFonts w:hint="eastAsia"/>
          <w:color w:val="auto"/>
          <w:lang w:eastAsia="zh-CN"/>
        </w:rPr>
      </w:pPr>
      <w:bookmarkStart w:id="303" w:name="_Toc20007"/>
      <w:bookmarkStart w:id="304" w:name="_Toc2713"/>
      <w:bookmarkStart w:id="305" w:name="_Toc30493"/>
      <w:bookmarkStart w:id="306" w:name="_Toc10329"/>
      <w:bookmarkStart w:id="307" w:name="_Toc16476"/>
      <w:bookmarkStart w:id="308" w:name="_Toc29136"/>
      <w:bookmarkStart w:id="309" w:name="_Toc30427"/>
      <w:r>
        <w:rPr>
          <w:rFonts w:hint="eastAsia"/>
          <w:color w:val="auto"/>
          <w:lang w:eastAsia="zh-CN"/>
        </w:rPr>
        <w:t>3.2.8</w:t>
      </w:r>
      <w:r>
        <w:rPr>
          <w:rFonts w:hint="eastAsia"/>
          <w:color w:val="auto"/>
          <w:lang w:val="en-US" w:eastAsia="zh-CN"/>
        </w:rPr>
        <w:t xml:space="preserve"> </w:t>
      </w:r>
      <w:r>
        <w:rPr>
          <w:rFonts w:hint="eastAsia"/>
          <w:color w:val="auto"/>
          <w:lang w:eastAsia="zh-CN"/>
        </w:rPr>
        <w:t>高处坠落</w:t>
      </w:r>
      <w:bookmarkEnd w:id="303"/>
      <w:bookmarkEnd w:id="304"/>
      <w:bookmarkEnd w:id="305"/>
      <w:bookmarkEnd w:id="306"/>
      <w:bookmarkEnd w:id="307"/>
      <w:bookmarkEnd w:id="308"/>
      <w:bookmarkEnd w:id="309"/>
    </w:p>
    <w:p w14:paraId="6EB89685">
      <w:pPr>
        <w:rPr>
          <w:rFonts w:hint="eastAsia"/>
          <w:color w:val="auto"/>
          <w:lang w:eastAsia="zh-CN"/>
        </w:rPr>
      </w:pPr>
      <w:r>
        <w:rPr>
          <w:rFonts w:hint="eastAsia" w:eastAsia="宋体"/>
          <w:color w:val="auto"/>
          <w:lang w:eastAsia="zh-CN"/>
        </w:rPr>
        <w:t>高处坠落是指在2m以上的高处进行作业过程中发生坠落造成的伤亡事故。本项目主要是指在库区陡峭地段（如出</w:t>
      </w:r>
      <w:r>
        <w:rPr>
          <w:rFonts w:hint="eastAsia"/>
          <w:color w:val="auto"/>
          <w:lang w:val="en-US" w:eastAsia="zh-CN"/>
        </w:rPr>
        <w:t>排水斜槽</w:t>
      </w:r>
      <w:r>
        <w:rPr>
          <w:rFonts w:hint="eastAsia" w:eastAsia="宋体"/>
          <w:color w:val="auto"/>
          <w:lang w:eastAsia="zh-CN"/>
        </w:rPr>
        <w:t>的检查）巡查时，思想麻痹、身体、精神状态不良等意外发生高处坠落事故。</w:t>
      </w:r>
    </w:p>
    <w:p w14:paraId="46C8DCF5">
      <w:pPr>
        <w:pStyle w:val="4"/>
        <w:bidi w:val="0"/>
        <w:rPr>
          <w:rFonts w:hint="eastAsia"/>
          <w:color w:val="auto"/>
          <w:lang w:eastAsia="zh-CN"/>
        </w:rPr>
      </w:pPr>
      <w:bookmarkStart w:id="310" w:name="_Toc15721"/>
      <w:bookmarkStart w:id="311" w:name="_Toc11288"/>
      <w:bookmarkStart w:id="312" w:name="_Toc22054"/>
      <w:bookmarkStart w:id="313" w:name="_Toc10291"/>
      <w:bookmarkStart w:id="314" w:name="_Toc6233"/>
      <w:bookmarkStart w:id="315" w:name="_Toc16086"/>
      <w:r>
        <w:rPr>
          <w:rFonts w:hint="eastAsia"/>
          <w:color w:val="auto"/>
          <w:lang w:eastAsia="zh-CN"/>
        </w:rPr>
        <w:t>3.2.9</w:t>
      </w:r>
      <w:r>
        <w:rPr>
          <w:rFonts w:hint="eastAsia"/>
          <w:color w:val="auto"/>
          <w:lang w:val="en-US" w:eastAsia="zh-CN"/>
        </w:rPr>
        <w:t xml:space="preserve"> </w:t>
      </w:r>
      <w:r>
        <w:rPr>
          <w:rFonts w:hint="eastAsia"/>
          <w:color w:val="auto"/>
          <w:lang w:eastAsia="zh-CN"/>
        </w:rPr>
        <w:t>库区山体滑坡、塌方和泥石流</w:t>
      </w:r>
      <w:bookmarkEnd w:id="310"/>
      <w:bookmarkEnd w:id="311"/>
      <w:bookmarkEnd w:id="312"/>
      <w:bookmarkEnd w:id="313"/>
      <w:bookmarkEnd w:id="314"/>
      <w:bookmarkEnd w:id="315"/>
    </w:p>
    <w:p w14:paraId="332C5E38">
      <w:pPr>
        <w:rPr>
          <w:rFonts w:hint="eastAsia"/>
          <w:color w:val="auto"/>
          <w:lang w:eastAsia="zh-CN"/>
        </w:rPr>
      </w:pPr>
      <w:r>
        <w:rPr>
          <w:rFonts w:hint="eastAsia"/>
          <w:color w:val="auto"/>
          <w:lang w:eastAsia="zh-CN"/>
        </w:rPr>
        <w:t>尾矿库库区山体滑坡、塌方和泥石流会阻塞库内排洪系统造成洪水漫顶，对尾矿库的安全产生不利影响。</w:t>
      </w:r>
    </w:p>
    <w:p w14:paraId="049DA27C">
      <w:pPr>
        <w:rPr>
          <w:rFonts w:hint="eastAsia"/>
          <w:color w:val="auto"/>
          <w:lang w:eastAsia="zh-CN"/>
        </w:rPr>
      </w:pPr>
      <w:r>
        <w:rPr>
          <w:rFonts w:hint="eastAsia"/>
          <w:color w:val="auto"/>
          <w:lang w:eastAsia="zh-CN"/>
        </w:rPr>
        <w:t>经现场检查，</w:t>
      </w:r>
      <w:r>
        <w:rPr>
          <w:rFonts w:hint="eastAsia"/>
          <w:color w:val="auto"/>
          <w:lang w:val="en-US" w:eastAsia="zh-CN"/>
        </w:rPr>
        <w:t>宜丰新庄铜铅锌矿尾矿库</w:t>
      </w:r>
      <w:r>
        <w:rPr>
          <w:rFonts w:hint="eastAsia"/>
          <w:color w:val="auto"/>
          <w:lang w:eastAsia="zh-CN"/>
        </w:rPr>
        <w:t>库区不存在滑坡、泥石流等不良地质作用，周边山体植被茂密，无库区山体滑坡、塌方和泥石流危害。</w:t>
      </w:r>
    </w:p>
    <w:p w14:paraId="41A704A4">
      <w:pPr>
        <w:pStyle w:val="4"/>
        <w:bidi w:val="0"/>
        <w:rPr>
          <w:rFonts w:hint="eastAsia"/>
          <w:color w:val="auto"/>
          <w:lang w:eastAsia="zh-CN"/>
        </w:rPr>
      </w:pPr>
      <w:bookmarkStart w:id="316" w:name="_Toc26047"/>
      <w:bookmarkStart w:id="317" w:name="_Toc394"/>
      <w:bookmarkStart w:id="318" w:name="_Toc9632"/>
      <w:bookmarkStart w:id="319" w:name="_Toc29353"/>
      <w:bookmarkStart w:id="320" w:name="_Toc227"/>
      <w:bookmarkStart w:id="321" w:name="_Toc5951"/>
      <w:r>
        <w:rPr>
          <w:rFonts w:hint="eastAsia"/>
          <w:color w:val="auto"/>
          <w:lang w:eastAsia="zh-CN"/>
        </w:rPr>
        <w:t>3.2.10</w:t>
      </w:r>
      <w:r>
        <w:rPr>
          <w:rFonts w:hint="eastAsia"/>
          <w:color w:val="auto"/>
          <w:lang w:val="en-US" w:eastAsia="zh-CN"/>
        </w:rPr>
        <w:t xml:space="preserve"> </w:t>
      </w:r>
      <w:r>
        <w:rPr>
          <w:rFonts w:hint="eastAsia"/>
          <w:color w:val="auto"/>
          <w:lang w:eastAsia="zh-CN"/>
        </w:rPr>
        <w:t>不良环境因素</w:t>
      </w:r>
      <w:bookmarkEnd w:id="316"/>
      <w:bookmarkEnd w:id="317"/>
      <w:bookmarkEnd w:id="318"/>
      <w:bookmarkEnd w:id="319"/>
      <w:bookmarkEnd w:id="320"/>
      <w:bookmarkEnd w:id="321"/>
    </w:p>
    <w:p w14:paraId="1E8DBA49">
      <w:pPr>
        <w:rPr>
          <w:rFonts w:hint="eastAsia" w:eastAsia="宋体"/>
          <w:color w:val="auto"/>
          <w:lang w:eastAsia="zh-CN"/>
        </w:rPr>
      </w:pPr>
      <w:r>
        <w:rPr>
          <w:rFonts w:hint="eastAsia" w:eastAsia="宋体"/>
          <w:color w:val="auto"/>
          <w:lang w:eastAsia="zh-CN"/>
        </w:rPr>
        <w:t>主要指恶劣自然条件下的不安全因素，如超设计频率暴雨洪水、库区地震、库区山体滑坡等因素。</w:t>
      </w:r>
    </w:p>
    <w:p w14:paraId="1D1E24D9">
      <w:pPr>
        <w:pStyle w:val="4"/>
        <w:bidi w:val="0"/>
        <w:rPr>
          <w:rFonts w:hint="eastAsia"/>
          <w:color w:val="auto"/>
          <w:lang w:eastAsia="zh-CN"/>
        </w:rPr>
      </w:pPr>
      <w:bookmarkStart w:id="322" w:name="_Toc5960"/>
      <w:bookmarkStart w:id="323" w:name="_Toc13227"/>
      <w:bookmarkStart w:id="324" w:name="_Toc25431"/>
      <w:bookmarkStart w:id="325" w:name="_Toc5079"/>
      <w:r>
        <w:rPr>
          <w:rFonts w:hint="eastAsia"/>
          <w:color w:val="auto"/>
          <w:lang w:eastAsia="zh-CN"/>
        </w:rPr>
        <w:t>3.2.11</w:t>
      </w:r>
      <w:r>
        <w:rPr>
          <w:rFonts w:hint="eastAsia"/>
          <w:color w:val="auto"/>
          <w:lang w:val="en-US" w:eastAsia="zh-CN"/>
        </w:rPr>
        <w:t xml:space="preserve"> </w:t>
      </w:r>
      <w:r>
        <w:rPr>
          <w:rFonts w:hint="eastAsia"/>
          <w:color w:val="auto"/>
          <w:lang w:eastAsia="zh-CN"/>
        </w:rPr>
        <w:t>其他因素造成的病害</w:t>
      </w:r>
      <w:bookmarkEnd w:id="322"/>
      <w:bookmarkEnd w:id="323"/>
      <w:bookmarkEnd w:id="324"/>
      <w:bookmarkEnd w:id="325"/>
    </w:p>
    <w:p w14:paraId="2656885B">
      <w:pPr>
        <w:rPr>
          <w:rFonts w:hint="eastAsia" w:eastAsia="宋体"/>
          <w:color w:val="auto"/>
          <w:lang w:eastAsia="zh-CN"/>
        </w:rPr>
      </w:pPr>
      <w:r>
        <w:rPr>
          <w:rFonts w:hint="eastAsia" w:eastAsia="宋体"/>
          <w:color w:val="auto"/>
          <w:lang w:eastAsia="zh-CN"/>
        </w:rPr>
        <w:t>一、车辆伤害</w:t>
      </w:r>
    </w:p>
    <w:p w14:paraId="71BD4C8C">
      <w:pPr>
        <w:rPr>
          <w:rFonts w:hint="eastAsia" w:eastAsia="宋体"/>
          <w:color w:val="auto"/>
          <w:lang w:eastAsia="zh-CN"/>
        </w:rPr>
      </w:pPr>
      <w:r>
        <w:rPr>
          <w:rFonts w:hint="eastAsia" w:eastAsia="宋体"/>
          <w:color w:val="auto"/>
          <w:lang w:eastAsia="zh-CN"/>
        </w:rPr>
        <w:t>检查人员检查</w:t>
      </w:r>
      <w:r>
        <w:rPr>
          <w:rFonts w:hint="eastAsia"/>
          <w:color w:val="auto"/>
          <w:lang w:val="en-US" w:eastAsia="zh-CN"/>
        </w:rPr>
        <w:t>宜丰新庄铜铅锌矿尾矿库</w:t>
      </w:r>
      <w:r>
        <w:rPr>
          <w:rFonts w:hint="eastAsia" w:eastAsia="宋体"/>
          <w:color w:val="auto"/>
          <w:lang w:eastAsia="zh-CN"/>
        </w:rPr>
        <w:t>时，有时乘坐汽车出入，虽然只是在库区</w:t>
      </w:r>
      <w:r>
        <w:rPr>
          <w:rFonts w:hint="eastAsia"/>
          <w:color w:val="auto"/>
          <w:lang w:val="en-US" w:eastAsia="zh-CN"/>
        </w:rPr>
        <w:t>外</w:t>
      </w:r>
      <w:r>
        <w:rPr>
          <w:rFonts w:hint="eastAsia" w:eastAsia="宋体"/>
          <w:color w:val="auto"/>
          <w:lang w:eastAsia="zh-CN"/>
        </w:rPr>
        <w:t>进行行驶，但如果对安全驾驶和行车安全的重要性认识不足，</w:t>
      </w:r>
      <w:r>
        <w:rPr>
          <w:rFonts w:hint="eastAsia"/>
          <w:color w:val="auto"/>
          <w:lang w:val="en-US" w:eastAsia="zh-CN"/>
        </w:rPr>
        <w:t>同时</w:t>
      </w:r>
      <w:r>
        <w:rPr>
          <w:rFonts w:hint="eastAsia"/>
          <w:color w:val="auto"/>
          <w:lang w:val="en-US" w:eastAsia="zh-CN"/>
        </w:rPr>
        <w:t>库内运输车辆运输尾矿、推土机摊铺尾矿时</w:t>
      </w:r>
      <w:r>
        <w:rPr>
          <w:rFonts w:hint="eastAsia" w:eastAsia="宋体"/>
          <w:color w:val="auto"/>
          <w:lang w:eastAsia="zh-CN"/>
        </w:rPr>
        <w:t>思想麻痹、违章驾驶、管理不善和车辆带病运行等</w:t>
      </w:r>
      <w:r>
        <w:rPr>
          <w:rFonts w:hint="eastAsia"/>
          <w:color w:val="auto"/>
          <w:lang w:eastAsia="zh-CN"/>
        </w:rPr>
        <w:t>，</w:t>
      </w:r>
      <w:r>
        <w:rPr>
          <w:rFonts w:hint="eastAsia"/>
          <w:color w:val="auto"/>
          <w:lang w:val="en-US" w:eastAsia="zh-CN"/>
        </w:rPr>
        <w:t>都</w:t>
      </w:r>
      <w:r>
        <w:rPr>
          <w:rFonts w:hint="eastAsia" w:eastAsia="宋体"/>
          <w:color w:val="auto"/>
          <w:lang w:eastAsia="zh-CN"/>
        </w:rPr>
        <w:t>会造成车辆伤害事故。</w:t>
      </w:r>
    </w:p>
    <w:p w14:paraId="622D8D51">
      <w:pPr>
        <w:rPr>
          <w:rFonts w:hint="eastAsia" w:eastAsia="宋体"/>
          <w:color w:val="auto"/>
          <w:lang w:eastAsia="zh-CN"/>
        </w:rPr>
      </w:pPr>
      <w:r>
        <w:rPr>
          <w:rFonts w:hint="eastAsia" w:eastAsia="宋体"/>
          <w:color w:val="auto"/>
          <w:lang w:eastAsia="zh-CN"/>
        </w:rPr>
        <w:t>车辆伤害主要有：有碰撞、刮擦、翻车、坠车、失火和搬运、装卸中坠落及物体打击等。</w:t>
      </w:r>
    </w:p>
    <w:p w14:paraId="0AC4EF8F">
      <w:pPr>
        <w:rPr>
          <w:rFonts w:hint="eastAsia" w:eastAsia="宋体"/>
          <w:color w:val="auto"/>
          <w:lang w:eastAsia="zh-CN"/>
        </w:rPr>
      </w:pPr>
      <w:r>
        <w:rPr>
          <w:rFonts w:hint="eastAsia" w:eastAsia="宋体"/>
          <w:color w:val="auto"/>
          <w:lang w:eastAsia="zh-CN"/>
        </w:rPr>
        <w:t>车辆伤害事故的主要原因：</w:t>
      </w:r>
    </w:p>
    <w:p w14:paraId="426D8311">
      <w:pPr>
        <w:rPr>
          <w:rFonts w:hint="eastAsia" w:eastAsia="宋体"/>
          <w:color w:val="auto"/>
          <w:lang w:eastAsia="zh-CN"/>
        </w:rPr>
      </w:pPr>
      <w:r>
        <w:rPr>
          <w:rFonts w:hint="eastAsia" w:eastAsia="宋体"/>
          <w:color w:val="auto"/>
          <w:lang w:eastAsia="zh-CN"/>
        </w:rPr>
        <w:t>1. 违章驾车、疏忽大意，如超速、超载等；</w:t>
      </w:r>
    </w:p>
    <w:p w14:paraId="38EADEDB">
      <w:pPr>
        <w:rPr>
          <w:rFonts w:hint="eastAsia" w:eastAsia="宋体"/>
          <w:color w:val="auto"/>
          <w:lang w:eastAsia="zh-CN"/>
        </w:rPr>
      </w:pPr>
      <w:r>
        <w:rPr>
          <w:rFonts w:hint="eastAsia" w:eastAsia="宋体"/>
          <w:color w:val="auto"/>
          <w:lang w:eastAsia="zh-CN"/>
        </w:rPr>
        <w:t>2. 驾驶员疲劳作业、酒后驾驶或开“英雄车”、“斗气车”；</w:t>
      </w:r>
    </w:p>
    <w:p w14:paraId="7BA884E3">
      <w:pPr>
        <w:rPr>
          <w:rFonts w:hint="eastAsia" w:eastAsia="宋体"/>
          <w:color w:val="auto"/>
          <w:lang w:eastAsia="zh-CN"/>
        </w:rPr>
      </w:pPr>
      <w:r>
        <w:rPr>
          <w:rFonts w:hint="eastAsia" w:eastAsia="宋体"/>
          <w:color w:val="auto"/>
          <w:lang w:eastAsia="zh-CN"/>
        </w:rPr>
        <w:t>3. 车况欠佳（照明、刹车、喇叭、离合等不良）、运输车辆带“病”行驶、会车安全距离不足；</w:t>
      </w:r>
    </w:p>
    <w:p w14:paraId="23671E49">
      <w:pPr>
        <w:rPr>
          <w:rFonts w:hint="eastAsia" w:eastAsia="宋体"/>
          <w:color w:val="auto"/>
          <w:lang w:eastAsia="zh-CN"/>
        </w:rPr>
      </w:pPr>
      <w:r>
        <w:rPr>
          <w:rFonts w:hint="eastAsia" w:eastAsia="宋体"/>
          <w:color w:val="auto"/>
          <w:lang w:eastAsia="zh-CN"/>
        </w:rPr>
        <w:t>4. 道路条件差（路面不平整、陡坡、弯急、安全标识不清或无安全标识、车道与人行道不分）；</w:t>
      </w:r>
    </w:p>
    <w:p w14:paraId="142F20EB">
      <w:pPr>
        <w:rPr>
          <w:rFonts w:hint="eastAsia" w:eastAsia="宋体"/>
          <w:color w:val="auto"/>
          <w:lang w:eastAsia="zh-CN"/>
        </w:rPr>
      </w:pPr>
      <w:r>
        <w:rPr>
          <w:rFonts w:hint="eastAsia" w:eastAsia="宋体"/>
          <w:color w:val="auto"/>
          <w:lang w:eastAsia="zh-CN"/>
        </w:rPr>
        <w:t>5. 环境恶劣，如大风、暴雨、冰雪、冰冻、黄昏等天气；</w:t>
      </w:r>
    </w:p>
    <w:p w14:paraId="67AC2E35">
      <w:pPr>
        <w:rPr>
          <w:rFonts w:hint="eastAsia" w:eastAsia="宋体"/>
          <w:color w:val="auto"/>
          <w:lang w:eastAsia="zh-CN"/>
        </w:rPr>
      </w:pPr>
      <w:r>
        <w:rPr>
          <w:rFonts w:hint="eastAsia" w:eastAsia="宋体"/>
          <w:color w:val="auto"/>
          <w:lang w:eastAsia="zh-CN"/>
        </w:rPr>
        <w:t>6. 运输管理制度不健全；</w:t>
      </w:r>
    </w:p>
    <w:p w14:paraId="2B1C604A">
      <w:pPr>
        <w:rPr>
          <w:rFonts w:hint="eastAsia" w:eastAsia="宋体"/>
          <w:color w:val="auto"/>
          <w:lang w:eastAsia="zh-CN"/>
        </w:rPr>
      </w:pPr>
      <w:r>
        <w:rPr>
          <w:rFonts w:hint="eastAsia" w:eastAsia="宋体"/>
          <w:color w:val="auto"/>
          <w:lang w:eastAsia="zh-CN"/>
        </w:rPr>
        <w:t>7. 行人不走人行道，安全意识淡薄或精力不集中，躲避不及时或与车辆抢道等。</w:t>
      </w:r>
    </w:p>
    <w:p w14:paraId="2B02966E">
      <w:pPr>
        <w:rPr>
          <w:rFonts w:hint="eastAsia" w:eastAsia="宋体"/>
          <w:color w:val="auto"/>
          <w:lang w:eastAsia="zh-CN"/>
        </w:rPr>
      </w:pPr>
      <w:r>
        <w:rPr>
          <w:rFonts w:hint="eastAsia" w:eastAsia="宋体"/>
          <w:color w:val="auto"/>
          <w:lang w:eastAsia="zh-CN"/>
        </w:rPr>
        <w:t>车辆伤害存在的场所：出入库道路。</w:t>
      </w:r>
    </w:p>
    <w:p w14:paraId="5331F064">
      <w:pPr>
        <w:rPr>
          <w:rFonts w:hint="eastAsia" w:eastAsia="宋体"/>
          <w:color w:val="auto"/>
          <w:lang w:eastAsia="zh-CN"/>
        </w:rPr>
      </w:pPr>
      <w:r>
        <w:rPr>
          <w:rFonts w:hint="eastAsia" w:eastAsia="宋体"/>
          <w:color w:val="auto"/>
          <w:lang w:eastAsia="zh-CN"/>
        </w:rPr>
        <w:t>二、触电（雷电）</w:t>
      </w:r>
    </w:p>
    <w:p w14:paraId="4B99BAA4">
      <w:pPr>
        <w:rPr>
          <w:rFonts w:hint="eastAsia" w:eastAsia="宋体"/>
          <w:color w:val="auto"/>
          <w:lang w:eastAsia="zh-CN"/>
        </w:rPr>
      </w:pPr>
      <w:r>
        <w:rPr>
          <w:rFonts w:hint="eastAsia"/>
          <w:color w:val="auto"/>
          <w:lang w:val="en-US" w:eastAsia="zh-CN"/>
        </w:rPr>
        <w:t>宜丰新庄铜铅锌矿尾矿库</w:t>
      </w:r>
      <w:r>
        <w:rPr>
          <w:rFonts w:hint="eastAsia" w:eastAsia="宋体"/>
          <w:color w:val="auto"/>
          <w:lang w:eastAsia="zh-CN"/>
        </w:rPr>
        <w:t>架设有照明供电线路以及开关柜，存在着触电危害，而且库区地处山区，易遭受雷电危害。</w:t>
      </w:r>
    </w:p>
    <w:p w14:paraId="3D27A046">
      <w:pPr>
        <w:rPr>
          <w:rFonts w:hint="eastAsia" w:eastAsia="宋体"/>
          <w:color w:val="auto"/>
          <w:lang w:eastAsia="zh-CN"/>
        </w:rPr>
      </w:pPr>
      <w:r>
        <w:rPr>
          <w:rFonts w:hint="eastAsia" w:eastAsia="宋体"/>
          <w:color w:val="auto"/>
          <w:lang w:eastAsia="zh-CN"/>
        </w:rPr>
        <w:t>触电危害的主要原因：</w:t>
      </w:r>
    </w:p>
    <w:p w14:paraId="0921BB0F">
      <w:pPr>
        <w:rPr>
          <w:rFonts w:hint="eastAsia" w:eastAsia="宋体"/>
          <w:color w:val="auto"/>
          <w:lang w:eastAsia="zh-CN"/>
        </w:rPr>
      </w:pPr>
      <w:r>
        <w:rPr>
          <w:rFonts w:hint="eastAsia" w:eastAsia="宋体"/>
          <w:color w:val="auto"/>
          <w:lang w:eastAsia="zh-CN"/>
        </w:rPr>
        <w:t>1. 电器设备、线路在设计、安装上存在缺陷，或在运行中缺乏必要的检修维护，造成漏电、短路、接头松脱、绝缘失效等；</w:t>
      </w:r>
    </w:p>
    <w:p w14:paraId="72FBA4BE">
      <w:pPr>
        <w:rPr>
          <w:rFonts w:hint="eastAsia" w:eastAsia="宋体"/>
          <w:color w:val="auto"/>
          <w:lang w:eastAsia="zh-CN"/>
        </w:rPr>
      </w:pPr>
      <w:r>
        <w:rPr>
          <w:rFonts w:hint="eastAsia" w:eastAsia="宋体"/>
          <w:color w:val="auto"/>
          <w:lang w:eastAsia="zh-CN"/>
        </w:rPr>
        <w:t>2. 没有必要的安全技术措施（如漏电保护等）或安全技术措施失效；</w:t>
      </w:r>
    </w:p>
    <w:p w14:paraId="21B0C63E">
      <w:pPr>
        <w:rPr>
          <w:rFonts w:hint="eastAsia" w:eastAsia="宋体"/>
          <w:color w:val="auto"/>
          <w:lang w:eastAsia="zh-CN"/>
        </w:rPr>
      </w:pPr>
      <w:r>
        <w:rPr>
          <w:rFonts w:hint="eastAsia" w:eastAsia="宋体"/>
          <w:color w:val="auto"/>
          <w:lang w:eastAsia="zh-CN"/>
        </w:rPr>
        <w:t>3. 雷雨时期，需要巡库，可能发生雷击伤害事故；</w:t>
      </w:r>
    </w:p>
    <w:p w14:paraId="78251F97">
      <w:pPr>
        <w:rPr>
          <w:rFonts w:hint="eastAsia" w:eastAsia="宋体"/>
          <w:color w:val="auto"/>
          <w:lang w:eastAsia="zh-CN"/>
        </w:rPr>
      </w:pPr>
      <w:r>
        <w:rPr>
          <w:rFonts w:hint="eastAsia" w:eastAsia="宋体"/>
          <w:color w:val="auto"/>
          <w:lang w:eastAsia="zh-CN"/>
        </w:rPr>
        <w:t>4. 运行管理不当，管理制度不完善，组织措施不健全；</w:t>
      </w:r>
    </w:p>
    <w:p w14:paraId="3BA31DB5">
      <w:pPr>
        <w:rPr>
          <w:rFonts w:hint="eastAsia" w:eastAsia="宋体"/>
          <w:color w:val="auto"/>
          <w:lang w:eastAsia="zh-CN"/>
        </w:rPr>
      </w:pPr>
      <w:r>
        <w:rPr>
          <w:rFonts w:hint="eastAsia" w:eastAsia="宋体"/>
          <w:color w:val="auto"/>
          <w:lang w:eastAsia="zh-CN"/>
        </w:rPr>
        <w:t>5. 操作失误，或违章作业等。</w:t>
      </w:r>
    </w:p>
    <w:p w14:paraId="4723D6BD">
      <w:pPr>
        <w:rPr>
          <w:rFonts w:hint="eastAsia" w:eastAsia="宋体"/>
          <w:color w:val="auto"/>
          <w:lang w:eastAsia="zh-CN"/>
        </w:rPr>
      </w:pPr>
      <w:r>
        <w:rPr>
          <w:rFonts w:hint="eastAsia" w:eastAsia="宋体"/>
          <w:color w:val="auto"/>
          <w:lang w:eastAsia="zh-CN"/>
        </w:rPr>
        <w:t>危害后果：</w:t>
      </w:r>
    </w:p>
    <w:p w14:paraId="698B5679">
      <w:pPr>
        <w:rPr>
          <w:rFonts w:hint="eastAsia" w:eastAsia="宋体"/>
          <w:color w:val="auto"/>
          <w:lang w:eastAsia="zh-CN"/>
        </w:rPr>
      </w:pPr>
      <w:r>
        <w:rPr>
          <w:rFonts w:hint="eastAsia" w:eastAsia="宋体"/>
          <w:color w:val="auto"/>
          <w:lang w:eastAsia="zh-CN"/>
        </w:rPr>
        <w:t>触电伤害是由电流的能量造成的，当电流流过人体时，人体受到局部电能作用，使人体内细胞的正常工作受到不同程度的破坏。会引起压迫感、打击感、痉挛、疼痛、呼吸困难、血压异常、昏迷、烧伤、严重的会引起窒息、心室颤动导致死亡。</w:t>
      </w:r>
    </w:p>
    <w:p w14:paraId="5BBFCF1E">
      <w:pPr>
        <w:rPr>
          <w:rFonts w:hint="eastAsia" w:eastAsia="宋体"/>
          <w:color w:val="auto"/>
          <w:lang w:eastAsia="zh-CN"/>
        </w:rPr>
      </w:pPr>
      <w:r>
        <w:rPr>
          <w:rFonts w:hint="eastAsia" w:eastAsia="宋体"/>
          <w:color w:val="auto"/>
          <w:lang w:eastAsia="zh-CN"/>
        </w:rPr>
        <w:t>三、动植物危害</w:t>
      </w:r>
    </w:p>
    <w:p w14:paraId="1817D264">
      <w:pPr>
        <w:rPr>
          <w:rFonts w:hint="eastAsia" w:eastAsia="宋体"/>
          <w:color w:val="auto"/>
          <w:lang w:eastAsia="zh-CN"/>
        </w:rPr>
      </w:pPr>
      <w:r>
        <w:rPr>
          <w:rFonts w:hint="eastAsia"/>
          <w:color w:val="auto"/>
          <w:lang w:val="en-US" w:eastAsia="zh-CN"/>
        </w:rPr>
        <w:t>宜丰新庄铜铅锌矿尾矿库</w:t>
      </w:r>
      <w:r>
        <w:rPr>
          <w:rFonts w:hint="eastAsia" w:eastAsia="宋体"/>
          <w:color w:val="auto"/>
          <w:lang w:eastAsia="zh-CN"/>
        </w:rPr>
        <w:t>地处山区，可能有蛇、虫、土蜂以及荆棘等，人员巡库过程中，容易诱发蛇、虫、土蜂及荆棘意外咬、刺伤。</w:t>
      </w:r>
    </w:p>
    <w:p w14:paraId="43A6FB45">
      <w:pPr>
        <w:pStyle w:val="3"/>
        <w:bidi w:val="0"/>
        <w:rPr>
          <w:rFonts w:hint="eastAsia"/>
          <w:color w:val="auto"/>
          <w:lang w:eastAsia="zh-CN"/>
        </w:rPr>
      </w:pPr>
      <w:bookmarkStart w:id="326" w:name="_Toc4157"/>
      <w:bookmarkStart w:id="327" w:name="_Toc6155"/>
      <w:bookmarkStart w:id="328" w:name="_Toc16275"/>
      <w:bookmarkStart w:id="329" w:name="_Toc13267"/>
      <w:bookmarkStart w:id="330" w:name="_Toc15424"/>
      <w:bookmarkStart w:id="331" w:name="_Toc5697"/>
      <w:r>
        <w:rPr>
          <w:rFonts w:hint="eastAsia"/>
          <w:color w:val="auto"/>
          <w:lang w:eastAsia="zh-CN"/>
        </w:rPr>
        <w:t>3.3</w:t>
      </w:r>
      <w:r>
        <w:rPr>
          <w:rFonts w:hint="eastAsia"/>
          <w:color w:val="auto"/>
          <w:lang w:val="en-US" w:eastAsia="zh-CN"/>
        </w:rPr>
        <w:t xml:space="preserve"> </w:t>
      </w:r>
      <w:r>
        <w:rPr>
          <w:rFonts w:hint="eastAsia"/>
          <w:color w:val="auto"/>
          <w:lang w:eastAsia="zh-CN"/>
        </w:rPr>
        <w:t>重大危险源辨识与重大生产安全事故隐患识别</w:t>
      </w:r>
      <w:bookmarkEnd w:id="326"/>
      <w:bookmarkEnd w:id="327"/>
      <w:bookmarkEnd w:id="328"/>
      <w:bookmarkEnd w:id="329"/>
      <w:bookmarkEnd w:id="330"/>
      <w:bookmarkEnd w:id="331"/>
    </w:p>
    <w:p w14:paraId="1DE4362B">
      <w:pPr>
        <w:rPr>
          <w:rFonts w:hint="eastAsia"/>
          <w:color w:val="auto"/>
          <w:lang w:eastAsia="zh-CN"/>
        </w:rPr>
      </w:pPr>
      <w:r>
        <w:rPr>
          <w:rFonts w:hint="eastAsia" w:eastAsia="宋体"/>
          <w:color w:val="auto"/>
          <w:lang w:eastAsia="zh-CN"/>
        </w:rPr>
        <w:t>1. 重大危险源辨识</w:t>
      </w:r>
    </w:p>
    <w:p w14:paraId="148DD991">
      <w:pPr>
        <w:rPr>
          <w:rFonts w:hint="eastAsia"/>
          <w:color w:val="auto"/>
          <w:lang w:eastAsia="zh-CN"/>
        </w:rPr>
      </w:pPr>
      <w:r>
        <w:rPr>
          <w:rFonts w:hint="eastAsia" w:eastAsia="宋体"/>
          <w:color w:val="auto"/>
          <w:lang w:eastAsia="zh-CN"/>
        </w:rPr>
        <w:t>依据《国家安全监管总局关于宣布失效一批安全生产文件的通知》，《关于开展重大危险源监督管理工作的指导意见》现已失效作废，原国家安全监管总局和国家应急管理部未出台新的关于尾矿库重大危险源辨识的配套文件；依据《中华人民共和国安全生产法》，“重大危险源，是指长期地或者临时地生产、搬运、使用或者储存危险物品，且危险物品的数量等于或者超过临界量的单元（包括场所和设施）”，可知重大危险源主要针对的是危险物品，但</w:t>
      </w:r>
      <w:r>
        <w:rPr>
          <w:rFonts w:hint="eastAsia" w:ascii="Times New Roman" w:eastAsia="宋体"/>
          <w:color w:val="auto"/>
          <w:lang w:val="en-US" w:eastAsia="zh-CN"/>
        </w:rPr>
        <w:t>江西省宜丰万国矿业有限公司</w:t>
      </w:r>
      <w:r>
        <w:rPr>
          <w:rFonts w:hint="eastAsia" w:eastAsia="宋体"/>
          <w:color w:val="auto"/>
          <w:lang w:eastAsia="zh-CN"/>
        </w:rPr>
        <w:t>排放的尾矿属于Ⅰ类一般工业固体废物，不在危险物品之列，尾矿库目前暂不属于重大危险源范畴。故</w:t>
      </w:r>
      <w:r>
        <w:rPr>
          <w:rFonts w:hint="eastAsia"/>
          <w:color w:val="auto"/>
          <w:lang w:val="en-US" w:eastAsia="zh-CN"/>
        </w:rPr>
        <w:t>宜丰新庄铜铅锌矿尾矿库</w:t>
      </w:r>
      <w:r>
        <w:rPr>
          <w:rFonts w:hint="eastAsia" w:eastAsia="宋体"/>
          <w:color w:val="auto"/>
          <w:lang w:eastAsia="zh-CN"/>
        </w:rPr>
        <w:t>目前暂不属于重大危险源范畴。但尾矿库是矿山企业重要的危险源，是一个具有高势能的人造泥石流的危险源，一旦失事，将给下游造成严重损失。企业仍应登记建档、定期检测、评估、监控，并制定应急预案，告知从业人员和相关人员在紧急情况下应当采取的应急措施，并报应急部门备案。</w:t>
      </w:r>
    </w:p>
    <w:p w14:paraId="21E88654">
      <w:pPr>
        <w:numPr>
          <w:ilvl w:val="0"/>
          <w:numId w:val="0"/>
        </w:numPr>
        <w:ind w:left="0" w:leftChars="0" w:firstLine="560" w:firstLineChars="200"/>
        <w:rPr>
          <w:rFonts w:hint="eastAsia"/>
          <w:color w:val="auto"/>
          <w:lang w:eastAsia="zh-CN"/>
        </w:rPr>
      </w:pPr>
      <w:r>
        <w:rPr>
          <w:rFonts w:hint="eastAsia" w:ascii="Times New Roman" w:hAnsi="Times New Roman" w:eastAsia="宋体" w:cs="Times New Roman"/>
          <w:color w:val="auto"/>
          <w:kern w:val="2"/>
          <w:sz w:val="28"/>
          <w:szCs w:val="24"/>
          <w:lang w:val="en-US" w:eastAsia="zh-CN" w:bidi="ar-SA"/>
        </w:rPr>
        <w:t>2.</w:t>
      </w:r>
      <w:r>
        <w:rPr>
          <w:rFonts w:hint="eastAsia" w:cs="Times New Roman"/>
          <w:color w:val="auto"/>
          <w:kern w:val="2"/>
          <w:sz w:val="28"/>
          <w:szCs w:val="24"/>
          <w:lang w:val="en-US" w:eastAsia="zh-CN" w:bidi="ar-SA"/>
        </w:rPr>
        <w:t xml:space="preserve"> </w:t>
      </w:r>
      <w:r>
        <w:rPr>
          <w:rFonts w:hint="eastAsia" w:eastAsia="宋体"/>
          <w:color w:val="auto"/>
          <w:lang w:eastAsia="zh-CN"/>
        </w:rPr>
        <w:t>重大生产安全事故隐患识别</w:t>
      </w:r>
    </w:p>
    <w:p w14:paraId="517CA6AF">
      <w:pPr>
        <w:rPr>
          <w:rFonts w:hint="eastAsia" w:eastAsia="宋体"/>
          <w:color w:val="auto"/>
          <w:lang w:eastAsia="zh-CN"/>
        </w:rPr>
      </w:pPr>
      <w:r>
        <w:rPr>
          <w:rFonts w:hint="eastAsia" w:eastAsia="宋体"/>
          <w:color w:val="auto"/>
          <w:lang w:eastAsia="zh-CN"/>
        </w:rPr>
        <w:t>依据《国家矿山安全监察局关于印发</w:t>
      </w:r>
      <w:r>
        <w:rPr>
          <w:rFonts w:hint="eastAsia" w:ascii="宋体" w:hAnsi="宋体" w:eastAsia="宋体" w:cs="宋体"/>
          <w:color w:val="auto"/>
          <w:lang w:val="en-US" w:eastAsia="zh-CN"/>
        </w:rPr>
        <w:t>&lt;</w:t>
      </w:r>
      <w:r>
        <w:rPr>
          <w:rFonts w:hint="eastAsia" w:eastAsia="宋体"/>
          <w:color w:val="auto"/>
          <w:lang w:eastAsia="zh-CN"/>
        </w:rPr>
        <w:t>金属非金属矿山重大事故隐患判定标准</w:t>
      </w:r>
      <w:r>
        <w:rPr>
          <w:rFonts w:hint="eastAsia" w:ascii="宋体" w:hAnsi="宋体" w:eastAsia="宋体" w:cs="宋体"/>
          <w:color w:val="auto"/>
          <w:lang w:val="en-US" w:eastAsia="zh-CN"/>
        </w:rPr>
        <w:t>&gt;</w:t>
      </w:r>
      <w:r>
        <w:rPr>
          <w:rFonts w:hint="eastAsia" w:eastAsia="宋体"/>
          <w:color w:val="auto"/>
          <w:lang w:eastAsia="zh-CN"/>
        </w:rPr>
        <w:t>的通知》（矿安〔2022〕88号</w:t>
      </w:r>
      <w:r>
        <w:rPr>
          <w:rFonts w:hint="eastAsia"/>
          <w:color w:val="auto"/>
          <w:lang w:eastAsia="zh-CN"/>
        </w:rPr>
        <w:t>）</w:t>
      </w:r>
      <w:r>
        <w:rPr>
          <w:rFonts w:hint="eastAsia"/>
          <w:color w:val="auto"/>
          <w:lang w:val="en-US" w:eastAsia="zh-CN"/>
        </w:rPr>
        <w:t>和</w:t>
      </w:r>
      <w:r>
        <w:rPr>
          <w:rFonts w:hint="eastAsia" w:eastAsia="宋体"/>
          <w:color w:val="auto"/>
          <w:lang w:eastAsia="zh-CN"/>
        </w:rPr>
        <w:t>《国家矿山安全监察局关于印发</w:t>
      </w:r>
      <w:r>
        <w:rPr>
          <w:rFonts w:hint="eastAsia" w:ascii="宋体" w:hAnsi="宋体" w:eastAsia="宋体" w:cs="宋体"/>
          <w:color w:val="auto"/>
          <w:lang w:val="en-US" w:eastAsia="zh-CN"/>
        </w:rPr>
        <w:t>&lt;</w:t>
      </w:r>
      <w:r>
        <w:rPr>
          <w:rFonts w:hint="eastAsia" w:eastAsia="宋体"/>
          <w:color w:val="auto"/>
          <w:lang w:eastAsia="zh-CN"/>
        </w:rPr>
        <w:t>金属非金属矿山重大事故隐患判定标准补充情形</w:t>
      </w:r>
      <w:r>
        <w:rPr>
          <w:rFonts w:hint="eastAsia" w:ascii="宋体" w:hAnsi="宋体" w:eastAsia="宋体" w:cs="宋体"/>
          <w:color w:val="auto"/>
          <w:lang w:val="en-US" w:eastAsia="zh-CN"/>
        </w:rPr>
        <w:t>&gt;</w:t>
      </w:r>
      <w:r>
        <w:rPr>
          <w:rFonts w:hint="eastAsia" w:eastAsia="宋体"/>
          <w:color w:val="auto"/>
          <w:lang w:eastAsia="zh-CN"/>
        </w:rPr>
        <w:t>的通知》（矿安〔2024〕41号</w:t>
      </w:r>
      <w:r>
        <w:rPr>
          <w:rFonts w:hint="eastAsia"/>
          <w:color w:val="auto"/>
          <w:lang w:eastAsia="zh-CN"/>
        </w:rPr>
        <w:t>）</w:t>
      </w:r>
      <w:r>
        <w:rPr>
          <w:rFonts w:hint="eastAsia" w:eastAsia="宋体"/>
          <w:color w:val="auto"/>
          <w:lang w:eastAsia="zh-CN"/>
        </w:rPr>
        <w:t>，对</w:t>
      </w:r>
      <w:r>
        <w:rPr>
          <w:rFonts w:hint="eastAsia"/>
          <w:color w:val="auto"/>
          <w:lang w:val="en-US" w:eastAsia="zh-CN"/>
        </w:rPr>
        <w:t>宜丰新庄铜铅锌矿尾矿库</w:t>
      </w:r>
      <w:r>
        <w:rPr>
          <w:rFonts w:hint="eastAsia" w:eastAsia="宋体"/>
          <w:color w:val="auto"/>
          <w:lang w:eastAsia="zh-CN"/>
        </w:rPr>
        <w:t>进行重大生产安全事故隐患识别，识别结果如下表：</w:t>
      </w:r>
    </w:p>
    <w:p w14:paraId="280B653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eastAsia="宋体"/>
          <w:color w:val="auto"/>
          <w:lang w:eastAsia="zh-CN"/>
        </w:rPr>
      </w:pPr>
      <w:r>
        <w:rPr>
          <w:rFonts w:hint="eastAsia" w:eastAsia="宋体"/>
          <w:color w:val="auto"/>
          <w:lang w:eastAsia="zh-CN"/>
        </w:rPr>
        <w:t>表3</w:t>
      </w:r>
      <w:r>
        <w:rPr>
          <w:rFonts w:hint="eastAsia"/>
          <w:color w:val="auto"/>
          <w:lang w:val="en-US" w:eastAsia="zh-CN"/>
        </w:rPr>
        <w:t>.3</w:t>
      </w:r>
      <w:r>
        <w:rPr>
          <w:rFonts w:hint="eastAsia" w:eastAsia="宋体"/>
          <w:color w:val="auto"/>
          <w:lang w:eastAsia="zh-CN"/>
        </w:rPr>
        <w:t>-</w:t>
      </w:r>
      <w:r>
        <w:rPr>
          <w:rFonts w:hint="eastAsia"/>
          <w:color w:val="auto"/>
          <w:lang w:val="en-US" w:eastAsia="zh-CN"/>
        </w:rPr>
        <w:t>1</w:t>
      </w:r>
      <w:r>
        <w:rPr>
          <w:rFonts w:hint="eastAsia" w:eastAsia="宋体"/>
          <w:color w:val="auto"/>
          <w:lang w:eastAsia="zh-CN"/>
        </w:rPr>
        <w:t xml:space="preserve"> </w:t>
      </w:r>
      <w:r>
        <w:rPr>
          <w:rFonts w:hint="eastAsia"/>
          <w:color w:val="auto"/>
          <w:lang w:val="en-US" w:eastAsia="zh-CN"/>
        </w:rPr>
        <w:t xml:space="preserve">  宜丰新庄铜铅锌矿尾矿库</w:t>
      </w:r>
      <w:r>
        <w:rPr>
          <w:rFonts w:hint="eastAsia" w:eastAsia="宋体"/>
          <w:color w:val="auto"/>
          <w:lang w:eastAsia="zh-CN"/>
        </w:rPr>
        <w:t>重大事故隐患识别情况表</w:t>
      </w:r>
    </w:p>
    <w:tbl>
      <w:tblPr>
        <w:tblStyle w:val="20"/>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5169"/>
        <w:gridCol w:w="1800"/>
        <w:gridCol w:w="1436"/>
      </w:tblGrid>
      <w:tr w14:paraId="318E2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54" w:type="dxa"/>
            <w:noWrap w:val="0"/>
            <w:vAlign w:val="center"/>
          </w:tcPr>
          <w:p w14:paraId="32778ED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序号</w:t>
            </w:r>
          </w:p>
        </w:tc>
        <w:tc>
          <w:tcPr>
            <w:tcW w:w="5169" w:type="dxa"/>
            <w:noWrap w:val="0"/>
            <w:vAlign w:val="center"/>
          </w:tcPr>
          <w:p w14:paraId="2797A45E">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重大生产安全事故隐患</w:t>
            </w:r>
          </w:p>
        </w:tc>
        <w:tc>
          <w:tcPr>
            <w:tcW w:w="1800" w:type="dxa"/>
            <w:noWrap w:val="0"/>
            <w:vAlign w:val="center"/>
          </w:tcPr>
          <w:p w14:paraId="561056BE">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现场实际情况</w:t>
            </w:r>
          </w:p>
        </w:tc>
        <w:tc>
          <w:tcPr>
            <w:tcW w:w="1436" w:type="dxa"/>
            <w:noWrap w:val="0"/>
            <w:vAlign w:val="center"/>
          </w:tcPr>
          <w:p w14:paraId="55E0CDCB">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识别结果</w:t>
            </w:r>
          </w:p>
        </w:tc>
      </w:tr>
      <w:tr w14:paraId="74A2C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54" w:type="dxa"/>
            <w:noWrap w:val="0"/>
            <w:vAlign w:val="center"/>
          </w:tcPr>
          <w:p w14:paraId="6C876A3C">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5169" w:type="dxa"/>
            <w:noWrap w:val="0"/>
            <w:vAlign w:val="center"/>
          </w:tcPr>
          <w:p w14:paraId="5324820E">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库区或者尾矿坝上存在未按设计进行开采、挖掘、爆破等危及尾矿库安全的活动。</w:t>
            </w:r>
          </w:p>
        </w:tc>
        <w:tc>
          <w:tcPr>
            <w:tcW w:w="1800" w:type="dxa"/>
            <w:noWrap w:val="0"/>
            <w:vAlign w:val="center"/>
          </w:tcPr>
          <w:p w14:paraId="098DE970">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无此现象</w:t>
            </w:r>
            <w:r>
              <w:rPr>
                <w:rFonts w:hint="default" w:ascii="Times New Roman" w:hAnsi="Times New Roman" w:eastAsia="宋体" w:cs="Times New Roman"/>
                <w:bCs/>
                <w:color w:val="auto"/>
                <w:sz w:val="21"/>
                <w:szCs w:val="21"/>
                <w:lang w:eastAsia="zh-CN"/>
              </w:rPr>
              <w:t>。</w:t>
            </w:r>
          </w:p>
        </w:tc>
        <w:tc>
          <w:tcPr>
            <w:tcW w:w="1436" w:type="dxa"/>
            <w:noWrap w:val="0"/>
            <w:vAlign w:val="center"/>
          </w:tcPr>
          <w:p w14:paraId="2746D248">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7CA4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654" w:type="dxa"/>
            <w:noWrap w:val="0"/>
            <w:vAlign w:val="center"/>
          </w:tcPr>
          <w:p w14:paraId="2308E340">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5169" w:type="dxa"/>
            <w:noWrap w:val="0"/>
            <w:vAlign w:val="center"/>
          </w:tcPr>
          <w:p w14:paraId="76224D0C">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坝体存在下列情形之一的：</w:t>
            </w:r>
          </w:p>
          <w:p w14:paraId="1C2F02B3">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1.坝体出现严重的管涌、流土变形等现象；</w:t>
            </w:r>
          </w:p>
          <w:p w14:paraId="4BF776F9">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2.坝体出现贯穿性裂缝、坍塌、滑动迹象；</w:t>
            </w:r>
          </w:p>
          <w:p w14:paraId="62ECAF09">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3.坝体出现大面积纵向裂缝，且出现较大范围渗透水高位出逸或者大面积沼泽化。</w:t>
            </w:r>
          </w:p>
        </w:tc>
        <w:tc>
          <w:tcPr>
            <w:tcW w:w="1800" w:type="dxa"/>
            <w:noWrap w:val="0"/>
            <w:vAlign w:val="center"/>
          </w:tcPr>
          <w:p w14:paraId="0828EAE6">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无此现象</w:t>
            </w:r>
            <w:r>
              <w:rPr>
                <w:rFonts w:hint="default" w:ascii="Times New Roman" w:hAnsi="Times New Roman" w:eastAsia="宋体" w:cs="Times New Roman"/>
                <w:bCs/>
                <w:color w:val="auto"/>
                <w:sz w:val="21"/>
                <w:szCs w:val="21"/>
                <w:lang w:eastAsia="zh-CN"/>
              </w:rPr>
              <w:t>。</w:t>
            </w:r>
          </w:p>
        </w:tc>
        <w:tc>
          <w:tcPr>
            <w:tcW w:w="1436" w:type="dxa"/>
            <w:noWrap w:val="0"/>
            <w:vAlign w:val="center"/>
          </w:tcPr>
          <w:p w14:paraId="6E22726C">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41BDA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4" w:type="dxa"/>
            <w:noWrap w:val="0"/>
            <w:vAlign w:val="center"/>
          </w:tcPr>
          <w:p w14:paraId="05936D05">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5169" w:type="dxa"/>
            <w:noWrap w:val="0"/>
            <w:vAlign w:val="center"/>
          </w:tcPr>
          <w:p w14:paraId="71CDDA40">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坝体的平均外坡比或者堆积子坝的外坡比陡于设计坡比。</w:t>
            </w:r>
          </w:p>
        </w:tc>
        <w:tc>
          <w:tcPr>
            <w:tcW w:w="1800" w:type="dxa"/>
            <w:noWrap w:val="0"/>
            <w:vAlign w:val="center"/>
          </w:tcPr>
          <w:p w14:paraId="2E8859C9">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val="en-US" w:eastAsia="zh-CN"/>
              </w:rPr>
              <w:t>尾矿</w:t>
            </w:r>
            <w:r>
              <w:rPr>
                <w:rFonts w:hint="default" w:ascii="Times New Roman" w:hAnsi="Times New Roman" w:eastAsia="宋体" w:cs="Times New Roman"/>
                <w:bCs/>
                <w:color w:val="auto"/>
                <w:sz w:val="21"/>
                <w:szCs w:val="21"/>
              </w:rPr>
              <w:t>坝的外坡比符合设计值</w:t>
            </w:r>
            <w:r>
              <w:rPr>
                <w:rFonts w:hint="default" w:ascii="Times New Roman" w:hAnsi="Times New Roman" w:eastAsia="宋体" w:cs="Times New Roman"/>
                <w:bCs/>
                <w:color w:val="auto"/>
                <w:sz w:val="21"/>
                <w:szCs w:val="21"/>
                <w:lang w:eastAsia="zh-CN"/>
              </w:rPr>
              <w:t>。</w:t>
            </w:r>
          </w:p>
        </w:tc>
        <w:tc>
          <w:tcPr>
            <w:tcW w:w="1436" w:type="dxa"/>
            <w:noWrap w:val="0"/>
            <w:vAlign w:val="center"/>
          </w:tcPr>
          <w:p w14:paraId="1E6F81FD">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3ABA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54" w:type="dxa"/>
            <w:noWrap w:val="0"/>
            <w:vAlign w:val="center"/>
          </w:tcPr>
          <w:p w14:paraId="638CC7F3">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5169" w:type="dxa"/>
            <w:noWrap w:val="0"/>
            <w:vAlign w:val="center"/>
          </w:tcPr>
          <w:p w14:paraId="1903CAE9">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坝体高度超过设计总坝高，或者尾矿库超过设计库容贮存尾矿。</w:t>
            </w:r>
          </w:p>
        </w:tc>
        <w:tc>
          <w:tcPr>
            <w:tcW w:w="1800" w:type="dxa"/>
            <w:noWrap w:val="0"/>
            <w:vAlign w:val="center"/>
          </w:tcPr>
          <w:p w14:paraId="58918FCA">
            <w:pPr>
              <w:keepNext w:val="0"/>
              <w:keepLines w:val="0"/>
              <w:pageBreakBefore w:val="0"/>
              <w:widowControl/>
              <w:shd w:val="clear" w:color="auto" w:fill="FFFFFF"/>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val="en-US" w:eastAsia="zh-CN"/>
              </w:rPr>
              <w:t>未超过</w:t>
            </w:r>
            <w:r>
              <w:rPr>
                <w:rFonts w:hint="default" w:ascii="Times New Roman" w:hAnsi="Times New Roman" w:eastAsia="宋体" w:cs="Times New Roman"/>
                <w:color w:val="auto"/>
                <w:kern w:val="0"/>
                <w:sz w:val="21"/>
                <w:szCs w:val="21"/>
              </w:rPr>
              <w:t>设计总坝高</w:t>
            </w:r>
            <w:r>
              <w:rPr>
                <w:rFonts w:hint="eastAsia" w:cs="Times New Roman"/>
                <w:color w:val="auto"/>
                <w:kern w:val="0"/>
                <w:sz w:val="21"/>
                <w:szCs w:val="21"/>
                <w:lang w:eastAsia="zh-CN"/>
              </w:rPr>
              <w:t>；</w:t>
            </w:r>
            <w:r>
              <w:rPr>
                <w:rFonts w:hint="eastAsia" w:cs="Times New Roman"/>
                <w:color w:val="auto"/>
                <w:kern w:val="0"/>
                <w:sz w:val="21"/>
                <w:szCs w:val="21"/>
                <w:lang w:val="en-US" w:eastAsia="zh-CN"/>
              </w:rPr>
              <w:t>未超过设计库容</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64F25745">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5ECB8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54" w:type="dxa"/>
            <w:noWrap w:val="0"/>
            <w:vAlign w:val="center"/>
          </w:tcPr>
          <w:p w14:paraId="705C0D0B">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5169" w:type="dxa"/>
            <w:noWrap w:val="0"/>
            <w:vAlign w:val="center"/>
          </w:tcPr>
          <w:p w14:paraId="6EC8B20F">
            <w:pPr>
              <w:keepNext w:val="0"/>
              <w:keepLines w:val="0"/>
              <w:pageBreakBefore w:val="0"/>
              <w:widowControl/>
              <w:shd w:val="clear" w:color="auto" w:fill="FFFFFF"/>
              <w:kinsoku/>
              <w:wordWrap/>
              <w:overflowPunct/>
              <w:topLinePunct w:val="0"/>
              <w:bidi w:val="0"/>
              <w:snapToGrid/>
              <w:spacing w:line="36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尾矿堆积坝上升速率大于设计堆积上升速率。</w:t>
            </w:r>
          </w:p>
        </w:tc>
        <w:tc>
          <w:tcPr>
            <w:tcW w:w="1800" w:type="dxa"/>
            <w:noWrap w:val="0"/>
            <w:vAlign w:val="center"/>
          </w:tcPr>
          <w:p w14:paraId="4B71CA7D">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无此项</w:t>
            </w:r>
          </w:p>
        </w:tc>
        <w:tc>
          <w:tcPr>
            <w:tcW w:w="1436" w:type="dxa"/>
            <w:noWrap w:val="0"/>
            <w:vAlign w:val="center"/>
          </w:tcPr>
          <w:p w14:paraId="2546A90F">
            <w:pPr>
              <w:keepNext w:val="0"/>
              <w:keepLines w:val="0"/>
              <w:pageBreakBefore w:val="0"/>
              <w:tabs>
                <w:tab w:val="left" w:pos="6810"/>
              </w:tabs>
              <w:kinsoku/>
              <w:wordWrap/>
              <w:overflowPunct/>
              <w:topLinePunct w:val="0"/>
              <w:autoSpaceDE w:val="0"/>
              <w:autoSpaceDN w:val="0"/>
              <w:bidi w:val="0"/>
              <w:adjustRightInd w:val="0"/>
              <w:snapToGrid/>
              <w:spacing w:line="360" w:lineRule="exact"/>
              <w:ind w:firstLine="0" w:firstLineChars="0"/>
              <w:jc w:val="center"/>
              <w:textAlignment w:val="auto"/>
              <w:rPr>
                <w:rFonts w:hint="eastAsia"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无重大隐患</w:t>
            </w:r>
          </w:p>
        </w:tc>
      </w:tr>
      <w:tr w14:paraId="3BDA8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4" w:type="dxa"/>
            <w:noWrap w:val="0"/>
            <w:vAlign w:val="center"/>
          </w:tcPr>
          <w:p w14:paraId="2F0CBEDD">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6</w:t>
            </w:r>
          </w:p>
        </w:tc>
        <w:tc>
          <w:tcPr>
            <w:tcW w:w="5169" w:type="dxa"/>
            <w:noWrap w:val="0"/>
            <w:vAlign w:val="center"/>
          </w:tcPr>
          <w:p w14:paraId="06328362">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采用尾矿堆坝的尾矿库，未按《尾矿库安全规程》（GB39496-2020）第6.1.9条规定对尾矿坝做全面的安全性复核。</w:t>
            </w:r>
          </w:p>
        </w:tc>
        <w:tc>
          <w:tcPr>
            <w:tcW w:w="1800" w:type="dxa"/>
            <w:noWrap w:val="0"/>
            <w:vAlign w:val="center"/>
          </w:tcPr>
          <w:p w14:paraId="4F4FCA68">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lang w:val="en-US" w:eastAsia="zh-CN"/>
              </w:rPr>
              <w:t>2024年已做坝体稳定性分析，符合要求</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03050DF7">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767D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654" w:type="dxa"/>
            <w:noWrap w:val="0"/>
            <w:vAlign w:val="center"/>
          </w:tcPr>
          <w:p w14:paraId="3BE987F7">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7</w:t>
            </w:r>
          </w:p>
        </w:tc>
        <w:tc>
          <w:tcPr>
            <w:tcW w:w="5169" w:type="dxa"/>
            <w:noWrap w:val="0"/>
            <w:vAlign w:val="center"/>
          </w:tcPr>
          <w:p w14:paraId="59074C2E">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浸润线埋深小于控制浸润线埋深。</w:t>
            </w:r>
          </w:p>
        </w:tc>
        <w:tc>
          <w:tcPr>
            <w:tcW w:w="1800" w:type="dxa"/>
            <w:noWrap w:val="0"/>
            <w:vAlign w:val="center"/>
          </w:tcPr>
          <w:p w14:paraId="1546D424">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val="en-US" w:eastAsia="zh-CN"/>
              </w:rPr>
              <w:t>无此项</w:t>
            </w:r>
          </w:p>
        </w:tc>
        <w:tc>
          <w:tcPr>
            <w:tcW w:w="1436" w:type="dxa"/>
            <w:noWrap w:val="0"/>
            <w:vAlign w:val="center"/>
          </w:tcPr>
          <w:p w14:paraId="10AC844E">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128FB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4" w:type="dxa"/>
            <w:noWrap w:val="0"/>
            <w:vAlign w:val="center"/>
          </w:tcPr>
          <w:p w14:paraId="64ADF5D9">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w:t>
            </w:r>
          </w:p>
        </w:tc>
        <w:tc>
          <w:tcPr>
            <w:tcW w:w="5169" w:type="dxa"/>
            <w:noWrap w:val="0"/>
            <w:vAlign w:val="center"/>
          </w:tcPr>
          <w:p w14:paraId="05E64089">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汛前未按国家有关规定对尾矿库进行调洪演算，或者湿式尾矿库防洪高度和干滩长度小于设计值，或者干式尾矿库防洪高度和防洪宽度小于设计值。</w:t>
            </w:r>
          </w:p>
        </w:tc>
        <w:tc>
          <w:tcPr>
            <w:tcW w:w="1800" w:type="dxa"/>
            <w:noWrap w:val="0"/>
            <w:vAlign w:val="center"/>
          </w:tcPr>
          <w:p w14:paraId="72914519">
            <w:pPr>
              <w:keepNext w:val="0"/>
              <w:keepLines w:val="0"/>
              <w:pageBreakBefore w:val="0"/>
              <w:widowControl/>
              <w:shd w:val="clear" w:color="auto" w:fill="FFFFFF"/>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开展了</w:t>
            </w:r>
            <w:r>
              <w:rPr>
                <w:rFonts w:hint="eastAsia" w:cs="Times New Roman"/>
                <w:color w:val="auto"/>
                <w:kern w:val="0"/>
                <w:sz w:val="21"/>
                <w:szCs w:val="21"/>
                <w:lang w:val="en-US" w:eastAsia="zh-CN"/>
              </w:rPr>
              <w:t>2025年</w:t>
            </w:r>
            <w:r>
              <w:rPr>
                <w:rFonts w:hint="default" w:ascii="Times New Roman" w:hAnsi="Times New Roman" w:eastAsia="宋体" w:cs="Times New Roman"/>
                <w:color w:val="auto"/>
                <w:kern w:val="0"/>
                <w:sz w:val="21"/>
                <w:szCs w:val="21"/>
                <w:lang w:val="en-US" w:eastAsia="zh-CN"/>
              </w:rPr>
              <w:t>调洪演算。</w:t>
            </w:r>
          </w:p>
        </w:tc>
        <w:tc>
          <w:tcPr>
            <w:tcW w:w="1436" w:type="dxa"/>
            <w:noWrap w:val="0"/>
            <w:vAlign w:val="center"/>
          </w:tcPr>
          <w:p w14:paraId="413BE29D">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74C07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jc w:val="center"/>
        </w:trPr>
        <w:tc>
          <w:tcPr>
            <w:tcW w:w="654" w:type="dxa"/>
            <w:noWrap w:val="0"/>
            <w:vAlign w:val="center"/>
          </w:tcPr>
          <w:p w14:paraId="04408DC9">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9</w:t>
            </w:r>
          </w:p>
        </w:tc>
        <w:tc>
          <w:tcPr>
            <w:tcW w:w="5169" w:type="dxa"/>
            <w:noWrap w:val="0"/>
            <w:vAlign w:val="center"/>
          </w:tcPr>
          <w:p w14:paraId="0EF99575">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排洪系统存在下列情形之一的：</w:t>
            </w:r>
          </w:p>
          <w:p w14:paraId="2416D50F">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1.排水井、排水斜槽、排水管、排水隧洞、拱板、盖板等排洪建构筑物混凝土厚度、强度或者型式不满足设计要求；</w:t>
            </w:r>
          </w:p>
          <w:p w14:paraId="2D09EBD5">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2.排洪设施部分堵塞或者坍塌、排水井有所倾斜，排水能力有所降低，达不到设计要求；</w:t>
            </w:r>
          </w:p>
          <w:p w14:paraId="2D638022">
            <w:pPr>
              <w:keepNext w:val="0"/>
              <w:keepLines w:val="0"/>
              <w:pageBreakBefore w:val="0"/>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3.排洪构筑物终止使用时，封堵措施不满足设计要求。</w:t>
            </w:r>
          </w:p>
        </w:tc>
        <w:tc>
          <w:tcPr>
            <w:tcW w:w="1800" w:type="dxa"/>
            <w:noWrap w:val="0"/>
            <w:vAlign w:val="center"/>
          </w:tcPr>
          <w:p w14:paraId="11C0CE94">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2024年排水系统经过第三方检测，满足设计要求。</w:t>
            </w:r>
          </w:p>
        </w:tc>
        <w:tc>
          <w:tcPr>
            <w:tcW w:w="1436" w:type="dxa"/>
            <w:noWrap w:val="0"/>
            <w:vAlign w:val="center"/>
          </w:tcPr>
          <w:p w14:paraId="414DBC6F">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17FE6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54" w:type="dxa"/>
            <w:noWrap w:val="0"/>
            <w:vAlign w:val="center"/>
          </w:tcPr>
          <w:p w14:paraId="7FD6140B">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w:t>
            </w:r>
          </w:p>
        </w:tc>
        <w:tc>
          <w:tcPr>
            <w:tcW w:w="5169" w:type="dxa"/>
            <w:noWrap w:val="0"/>
            <w:vAlign w:val="center"/>
          </w:tcPr>
          <w:p w14:paraId="11BC0969">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设计以外的尾矿、废料或者废水进库。</w:t>
            </w:r>
          </w:p>
        </w:tc>
        <w:tc>
          <w:tcPr>
            <w:tcW w:w="1800" w:type="dxa"/>
            <w:noWrap w:val="0"/>
            <w:vAlign w:val="center"/>
          </w:tcPr>
          <w:p w14:paraId="2527BE2C">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无此现象</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7EC58B9F">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7BDED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4" w:type="dxa"/>
            <w:noWrap w:val="0"/>
            <w:vAlign w:val="center"/>
          </w:tcPr>
          <w:p w14:paraId="19036D2A">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11</w:t>
            </w:r>
          </w:p>
        </w:tc>
        <w:tc>
          <w:tcPr>
            <w:tcW w:w="5169" w:type="dxa"/>
            <w:noWrap w:val="0"/>
            <w:vAlign w:val="center"/>
          </w:tcPr>
          <w:p w14:paraId="24C0F015">
            <w:pPr>
              <w:keepNext w:val="0"/>
              <w:keepLines w:val="0"/>
              <w:pageBreakBefore w:val="0"/>
              <w:widowControl/>
              <w:shd w:val="clear" w:color="auto" w:fill="FFFFFF"/>
              <w:kinsoku/>
              <w:wordWrap/>
              <w:overflowPunct/>
              <w:topLinePunct w:val="0"/>
              <w:bidi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多种矿石性质不同的尾砂混合排放时，未按设计进行排放。</w:t>
            </w:r>
          </w:p>
        </w:tc>
        <w:tc>
          <w:tcPr>
            <w:tcW w:w="1800" w:type="dxa"/>
            <w:noWrap w:val="0"/>
            <w:vAlign w:val="center"/>
          </w:tcPr>
          <w:p w14:paraId="619B0D04">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无此现象</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4CC88715">
            <w:pPr>
              <w:keepNext w:val="0"/>
              <w:keepLines w:val="0"/>
              <w:pageBreakBefore w:val="0"/>
              <w:tabs>
                <w:tab w:val="left" w:pos="6810"/>
              </w:tabs>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43D55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654" w:type="dxa"/>
            <w:noWrap w:val="0"/>
            <w:vAlign w:val="center"/>
          </w:tcPr>
          <w:p w14:paraId="6BADC42A">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12</w:t>
            </w:r>
          </w:p>
        </w:tc>
        <w:tc>
          <w:tcPr>
            <w:tcW w:w="5169" w:type="dxa"/>
            <w:noWrap w:val="0"/>
            <w:vAlign w:val="center"/>
          </w:tcPr>
          <w:p w14:paraId="146B46F8">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冬季未按设计要求的冰下放矿方式进行放矿作业。</w:t>
            </w:r>
          </w:p>
        </w:tc>
        <w:tc>
          <w:tcPr>
            <w:tcW w:w="1800" w:type="dxa"/>
            <w:noWrap w:val="0"/>
            <w:vAlign w:val="center"/>
          </w:tcPr>
          <w:p w14:paraId="03DB3DCB">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无此现象</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3BFEAE23">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4A8BA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654" w:type="dxa"/>
            <w:noWrap w:val="0"/>
            <w:vAlign w:val="center"/>
          </w:tcPr>
          <w:p w14:paraId="7E724BB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13</w:t>
            </w:r>
          </w:p>
        </w:tc>
        <w:tc>
          <w:tcPr>
            <w:tcW w:w="5169" w:type="dxa"/>
            <w:noWrap w:val="0"/>
            <w:vAlign w:val="center"/>
          </w:tcPr>
          <w:p w14:paraId="6F11CF42">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安全监测系统存在下列情形之一的：</w:t>
            </w:r>
          </w:p>
          <w:p w14:paraId="61F2EB7B">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kern w:val="0"/>
                <w:sz w:val="21"/>
                <w:szCs w:val="21"/>
              </w:rPr>
            </w:pPr>
            <w:bookmarkStart w:id="332" w:name="_Toc9027"/>
            <w:r>
              <w:rPr>
                <w:rFonts w:hint="default" w:ascii="Times New Roman" w:hAnsi="Times New Roman" w:eastAsia="宋体" w:cs="Times New Roman"/>
                <w:color w:val="auto"/>
                <w:kern w:val="0"/>
                <w:sz w:val="21"/>
                <w:szCs w:val="21"/>
              </w:rPr>
              <w:t>1.未按设计设置安全监测系统；</w:t>
            </w:r>
            <w:bookmarkEnd w:id="332"/>
          </w:p>
          <w:p w14:paraId="571FBC2D">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2.安全监测系统运行不正常未及时修复；</w:t>
            </w:r>
          </w:p>
          <w:p w14:paraId="10E8CFFF">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3.关闭、破坏安全监测系统，或者篡改、隐瞒、销毁其相关数据、信息。</w:t>
            </w:r>
          </w:p>
        </w:tc>
        <w:tc>
          <w:tcPr>
            <w:tcW w:w="1800" w:type="dxa"/>
            <w:noWrap w:val="0"/>
            <w:vAlign w:val="center"/>
          </w:tcPr>
          <w:p w14:paraId="5D3DF76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运行正常</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60FB786B">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231A9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654" w:type="dxa"/>
            <w:noWrap w:val="0"/>
            <w:vAlign w:val="center"/>
          </w:tcPr>
          <w:p w14:paraId="42DE78D5">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14</w:t>
            </w:r>
          </w:p>
        </w:tc>
        <w:tc>
          <w:tcPr>
            <w:tcW w:w="5169" w:type="dxa"/>
            <w:noWrap w:val="0"/>
            <w:vAlign w:val="center"/>
          </w:tcPr>
          <w:p w14:paraId="555B39A3">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干式尾矿库存在下列情形之一的：</w:t>
            </w:r>
          </w:p>
          <w:p w14:paraId="13B2DA0C">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1.入库尾矿的含水率大于设计值，无法进行正常碾压且未设置可靠的防范措施；</w:t>
            </w:r>
          </w:p>
          <w:p w14:paraId="178125C2">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2.堆存推进方向与设计不一致；</w:t>
            </w:r>
          </w:p>
          <w:p w14:paraId="7848E07D">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3.分层厚度或者台阶高度大于设计值；</w:t>
            </w:r>
          </w:p>
          <w:p w14:paraId="79DF160D">
            <w:pPr>
              <w:keepNext w:val="0"/>
              <w:keepLines w:val="0"/>
              <w:pageBreakBefore w:val="0"/>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4.未按设计要求进行碾压。</w:t>
            </w:r>
          </w:p>
        </w:tc>
        <w:tc>
          <w:tcPr>
            <w:tcW w:w="1800" w:type="dxa"/>
            <w:noWrap w:val="0"/>
            <w:vAlign w:val="center"/>
          </w:tcPr>
          <w:p w14:paraId="20F4F69D">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压实度在0.92～0.94之间</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尾矿含水率在11.05%～</w:t>
            </w:r>
            <w:r>
              <w:rPr>
                <w:rFonts w:hint="default" w:ascii="Times New Roman" w:hAnsi="Times New Roman" w:eastAsia="宋体" w:cs="Times New Roman"/>
                <w:color w:val="auto"/>
                <w:kern w:val="0"/>
                <w:sz w:val="21"/>
                <w:szCs w:val="21"/>
              </w:rPr>
              <w:t>1</w:t>
            </w:r>
            <w:r>
              <w:rPr>
                <w:rFonts w:hint="eastAsia" w:cs="Times New Roman"/>
                <w:color w:val="auto"/>
                <w:kern w:val="0"/>
                <w:sz w:val="21"/>
                <w:szCs w:val="21"/>
                <w:lang w:val="en-US" w:eastAsia="zh-CN"/>
              </w:rPr>
              <w:t>4.52</w:t>
            </w:r>
            <w:r>
              <w:rPr>
                <w:rFonts w:hint="default" w:ascii="Times New Roman" w:hAnsi="Times New Roman" w:eastAsia="宋体" w:cs="Times New Roman"/>
                <w:color w:val="auto"/>
                <w:kern w:val="0"/>
                <w:sz w:val="21"/>
                <w:szCs w:val="21"/>
              </w:rPr>
              <w:t>%之间</w:t>
            </w:r>
          </w:p>
          <w:p w14:paraId="27E7A561">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，按设计要求进行碾压，</w:t>
            </w:r>
            <w:r>
              <w:rPr>
                <w:rFonts w:hint="default" w:ascii="Times New Roman" w:hAnsi="Times New Roman" w:eastAsia="宋体" w:cs="Times New Roman"/>
                <w:color w:val="auto"/>
                <w:kern w:val="0"/>
                <w:sz w:val="21"/>
                <w:szCs w:val="21"/>
              </w:rPr>
              <w:t>推进方向</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分层厚度</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台阶高度</w:t>
            </w:r>
            <w:r>
              <w:rPr>
                <w:rFonts w:hint="eastAsia" w:cs="Times New Roman"/>
                <w:color w:val="auto"/>
                <w:kern w:val="0"/>
                <w:sz w:val="21"/>
                <w:szCs w:val="21"/>
                <w:lang w:val="en-US" w:eastAsia="zh-CN"/>
              </w:rPr>
              <w:t>与设计一致</w:t>
            </w:r>
            <w:r>
              <w:rPr>
                <w:rFonts w:hint="default" w:ascii="Times New Roman" w:hAnsi="Times New Roman" w:eastAsia="宋体" w:cs="Times New Roman"/>
                <w:color w:val="auto"/>
                <w:kern w:val="0"/>
                <w:sz w:val="21"/>
                <w:szCs w:val="21"/>
                <w:lang w:val="en-US" w:eastAsia="zh-CN"/>
              </w:rPr>
              <w:t>。</w:t>
            </w:r>
          </w:p>
        </w:tc>
        <w:tc>
          <w:tcPr>
            <w:tcW w:w="1436" w:type="dxa"/>
            <w:noWrap w:val="0"/>
            <w:vAlign w:val="center"/>
          </w:tcPr>
          <w:p w14:paraId="09D4680E">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33262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654" w:type="dxa"/>
            <w:noWrap w:val="0"/>
            <w:vAlign w:val="center"/>
          </w:tcPr>
          <w:p w14:paraId="075EEBCA">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15</w:t>
            </w:r>
          </w:p>
        </w:tc>
        <w:tc>
          <w:tcPr>
            <w:tcW w:w="5169" w:type="dxa"/>
            <w:noWrap w:val="0"/>
            <w:vAlign w:val="center"/>
          </w:tcPr>
          <w:p w14:paraId="0C21903B">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经验算，坝体抗滑稳定最小安全系数小于国家标准规定值的0.98倍。</w:t>
            </w:r>
          </w:p>
        </w:tc>
        <w:tc>
          <w:tcPr>
            <w:tcW w:w="1800" w:type="dxa"/>
            <w:noWrap w:val="0"/>
            <w:vAlign w:val="center"/>
          </w:tcPr>
          <w:p w14:paraId="01417ED3">
            <w:pPr>
              <w:keepNext w:val="0"/>
              <w:keepLines w:val="0"/>
              <w:pageBreakBefore w:val="0"/>
              <w:widowControl/>
              <w:shd w:val="clear" w:color="auto" w:fill="FFFFFF"/>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经验算，尾矿坝坝体在各类工况均处于安全稳定状态。</w:t>
            </w:r>
          </w:p>
        </w:tc>
        <w:tc>
          <w:tcPr>
            <w:tcW w:w="1436" w:type="dxa"/>
            <w:noWrap w:val="0"/>
            <w:vAlign w:val="center"/>
          </w:tcPr>
          <w:p w14:paraId="7FF958A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24C86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654" w:type="dxa"/>
            <w:noWrap w:val="0"/>
            <w:vAlign w:val="center"/>
          </w:tcPr>
          <w:p w14:paraId="628E5B00">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16</w:t>
            </w:r>
          </w:p>
        </w:tc>
        <w:tc>
          <w:tcPr>
            <w:tcW w:w="5169" w:type="dxa"/>
            <w:noWrap w:val="0"/>
            <w:vAlign w:val="center"/>
          </w:tcPr>
          <w:p w14:paraId="19D31A9E">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三等及以上尾矿库及“头顶库”未按设计设置通往坝顶、排洪系统附近的应急道路，或者应急道路无法满足应急抢险时通行和运送应急物资的需求。</w:t>
            </w:r>
          </w:p>
        </w:tc>
        <w:tc>
          <w:tcPr>
            <w:tcW w:w="1800" w:type="dxa"/>
            <w:noWrap w:val="0"/>
            <w:vAlign w:val="center"/>
          </w:tcPr>
          <w:p w14:paraId="67F46748">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val="en-US" w:eastAsia="zh-CN"/>
              </w:rPr>
              <w:t>无此项</w:t>
            </w:r>
            <w:r>
              <w:rPr>
                <w:rFonts w:hint="default" w:ascii="Times New Roman" w:hAnsi="Times New Roman" w:eastAsia="宋体" w:cs="Times New Roman"/>
                <w:color w:val="auto"/>
                <w:kern w:val="0"/>
                <w:sz w:val="21"/>
                <w:szCs w:val="21"/>
                <w:lang w:val="en-US" w:eastAsia="zh-CN"/>
              </w:rPr>
              <w:t>。</w:t>
            </w:r>
          </w:p>
        </w:tc>
        <w:tc>
          <w:tcPr>
            <w:tcW w:w="1436" w:type="dxa"/>
            <w:noWrap w:val="0"/>
            <w:vAlign w:val="center"/>
          </w:tcPr>
          <w:p w14:paraId="0C8BDEEE">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53A0A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654" w:type="dxa"/>
            <w:noWrap w:val="0"/>
            <w:vAlign w:val="center"/>
          </w:tcPr>
          <w:p w14:paraId="51D4CA7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17</w:t>
            </w:r>
          </w:p>
        </w:tc>
        <w:tc>
          <w:tcPr>
            <w:tcW w:w="5169" w:type="dxa"/>
            <w:noWrap w:val="0"/>
            <w:vAlign w:val="center"/>
          </w:tcPr>
          <w:p w14:paraId="6C7772F2">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尾矿库回采存在下列情形之一的：</w:t>
            </w:r>
          </w:p>
          <w:p w14:paraId="737EABB7">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1.未经批准擅自回采；</w:t>
            </w:r>
          </w:p>
          <w:p w14:paraId="213D8AE2">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2.回采方式、顺序、单层开采高度、台阶坡面角不符合设计要求；</w:t>
            </w:r>
          </w:p>
          <w:p w14:paraId="3096071C">
            <w:pPr>
              <w:keepNext w:val="0"/>
              <w:keepLines w:val="0"/>
              <w:pageBreakBefore w:val="0"/>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3.同时进行回采和排放。</w:t>
            </w:r>
          </w:p>
        </w:tc>
        <w:tc>
          <w:tcPr>
            <w:tcW w:w="1800" w:type="dxa"/>
            <w:noWrap w:val="0"/>
            <w:vAlign w:val="center"/>
          </w:tcPr>
          <w:p w14:paraId="7DA6D31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lang w:val="en-US" w:eastAsia="zh-CN"/>
              </w:rPr>
              <w:t>无此项</w:t>
            </w:r>
            <w:r>
              <w:rPr>
                <w:rFonts w:hint="default" w:ascii="Times New Roman" w:hAnsi="Times New Roman" w:eastAsia="宋体" w:cs="Times New Roman"/>
                <w:color w:val="auto"/>
                <w:kern w:val="0"/>
                <w:sz w:val="21"/>
                <w:szCs w:val="21"/>
                <w:lang w:val="en-US" w:eastAsia="zh-CN"/>
              </w:rPr>
              <w:t>。</w:t>
            </w:r>
          </w:p>
        </w:tc>
        <w:tc>
          <w:tcPr>
            <w:tcW w:w="1436" w:type="dxa"/>
            <w:noWrap w:val="0"/>
            <w:vAlign w:val="center"/>
          </w:tcPr>
          <w:p w14:paraId="375BB8EB">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不涉及</w:t>
            </w:r>
          </w:p>
        </w:tc>
      </w:tr>
      <w:tr w14:paraId="67F35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4" w:type="dxa"/>
            <w:noWrap w:val="0"/>
            <w:vAlign w:val="center"/>
          </w:tcPr>
          <w:p w14:paraId="2FF7378D">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18</w:t>
            </w:r>
          </w:p>
        </w:tc>
        <w:tc>
          <w:tcPr>
            <w:tcW w:w="5169" w:type="dxa"/>
            <w:noWrap w:val="0"/>
            <w:vAlign w:val="center"/>
          </w:tcPr>
          <w:p w14:paraId="66E8CAE7">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用以贮存独立选矿厂进行矿石选别后排出尾矿的场所，未按尾矿库实施安全管理的。</w:t>
            </w:r>
          </w:p>
        </w:tc>
        <w:tc>
          <w:tcPr>
            <w:tcW w:w="1800" w:type="dxa"/>
            <w:noWrap w:val="0"/>
            <w:vAlign w:val="center"/>
          </w:tcPr>
          <w:p w14:paraId="134EFFFB">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lang w:val="en-US" w:eastAsia="zh-CN"/>
              </w:rPr>
              <w:t>无此项</w:t>
            </w:r>
            <w:r>
              <w:rPr>
                <w:rFonts w:hint="default" w:ascii="Times New Roman" w:hAnsi="Times New Roman" w:eastAsia="宋体" w:cs="Times New Roman"/>
                <w:color w:val="auto"/>
                <w:kern w:val="0"/>
                <w:sz w:val="21"/>
                <w:szCs w:val="21"/>
                <w:lang w:val="en-US" w:eastAsia="zh-CN"/>
              </w:rPr>
              <w:t>。</w:t>
            </w:r>
          </w:p>
        </w:tc>
        <w:tc>
          <w:tcPr>
            <w:tcW w:w="1436" w:type="dxa"/>
            <w:noWrap w:val="0"/>
            <w:vAlign w:val="center"/>
          </w:tcPr>
          <w:p w14:paraId="6F3820C8">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不涉及</w:t>
            </w:r>
          </w:p>
        </w:tc>
      </w:tr>
      <w:tr w14:paraId="49A8D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4" w:type="dxa"/>
            <w:noWrap w:val="0"/>
            <w:vAlign w:val="center"/>
          </w:tcPr>
          <w:p w14:paraId="3D1B4607">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19</w:t>
            </w:r>
          </w:p>
        </w:tc>
        <w:tc>
          <w:tcPr>
            <w:tcW w:w="5169" w:type="dxa"/>
            <w:noWrap w:val="0"/>
            <w:vAlign w:val="center"/>
          </w:tcPr>
          <w:p w14:paraId="0A0E386B">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未按国家规定配备专职安全生产管理人员、专业技术人员和特种作业人员。</w:t>
            </w:r>
          </w:p>
        </w:tc>
        <w:tc>
          <w:tcPr>
            <w:tcW w:w="1800" w:type="dxa"/>
            <w:noWrap w:val="0"/>
            <w:vAlign w:val="center"/>
          </w:tcPr>
          <w:p w14:paraId="65229B7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配有安全管理人员、专业技术人员、尾矿工。</w:t>
            </w:r>
          </w:p>
        </w:tc>
        <w:tc>
          <w:tcPr>
            <w:tcW w:w="1436" w:type="dxa"/>
            <w:noWrap w:val="0"/>
            <w:vAlign w:val="center"/>
          </w:tcPr>
          <w:p w14:paraId="257603F3">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2401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4" w:type="dxa"/>
            <w:noWrap w:val="0"/>
            <w:vAlign w:val="center"/>
          </w:tcPr>
          <w:p w14:paraId="4C57A954">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20</w:t>
            </w:r>
          </w:p>
        </w:tc>
        <w:tc>
          <w:tcPr>
            <w:tcW w:w="5169" w:type="dxa"/>
            <w:noWrap w:val="0"/>
            <w:vAlign w:val="center"/>
          </w:tcPr>
          <w:p w14:paraId="6C470E27">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尾矿库排洪构筑物拱板（盖板）与周边结构缝隙未采用设计材料充满充实的，或封堵体设置在井顶、井身段或斜槽顶、槽身段。</w:t>
            </w:r>
          </w:p>
        </w:tc>
        <w:tc>
          <w:tcPr>
            <w:tcW w:w="1800" w:type="dxa"/>
            <w:noWrap w:val="0"/>
            <w:vAlign w:val="center"/>
          </w:tcPr>
          <w:p w14:paraId="7D3A4542">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无此现象</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19B071AF">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r w14:paraId="0922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4" w:type="dxa"/>
            <w:noWrap w:val="0"/>
            <w:vAlign w:val="center"/>
          </w:tcPr>
          <w:p w14:paraId="081F3CC8">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21</w:t>
            </w:r>
          </w:p>
        </w:tc>
        <w:tc>
          <w:tcPr>
            <w:tcW w:w="5169" w:type="dxa"/>
            <w:noWrap w:val="0"/>
            <w:vAlign w:val="center"/>
          </w:tcPr>
          <w:p w14:paraId="2DD2BF30">
            <w:pPr>
              <w:keepNext w:val="0"/>
              <w:keepLines w:val="0"/>
              <w:pageBreakBefore w:val="0"/>
              <w:widowControl/>
              <w:shd w:val="clear" w:color="auto" w:fill="FFFFFF"/>
              <w:kinsoku/>
              <w:wordWrap/>
              <w:overflowPunct/>
              <w:topLinePunct w:val="0"/>
              <w:bidi w:val="0"/>
              <w:snapToGrid/>
              <w:spacing w:line="240" w:lineRule="auto"/>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遇极端天气尾矿库未及时停止作业、撤出现场作业人员。</w:t>
            </w:r>
          </w:p>
        </w:tc>
        <w:tc>
          <w:tcPr>
            <w:tcW w:w="1800" w:type="dxa"/>
            <w:noWrap w:val="0"/>
            <w:vAlign w:val="center"/>
          </w:tcPr>
          <w:p w14:paraId="13015B1F">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无此现象</w:t>
            </w:r>
            <w:r>
              <w:rPr>
                <w:rFonts w:hint="default" w:ascii="Times New Roman" w:hAnsi="Times New Roman" w:eastAsia="宋体" w:cs="Times New Roman"/>
                <w:color w:val="auto"/>
                <w:kern w:val="0"/>
                <w:sz w:val="21"/>
                <w:szCs w:val="21"/>
                <w:lang w:eastAsia="zh-CN"/>
              </w:rPr>
              <w:t>。</w:t>
            </w:r>
          </w:p>
        </w:tc>
        <w:tc>
          <w:tcPr>
            <w:tcW w:w="1436" w:type="dxa"/>
            <w:noWrap w:val="0"/>
            <w:vAlign w:val="center"/>
          </w:tcPr>
          <w:p w14:paraId="72C1E539">
            <w:pPr>
              <w:keepNext w:val="0"/>
              <w:keepLines w:val="0"/>
              <w:pageBreakBefore w:val="0"/>
              <w:tabs>
                <w:tab w:val="left" w:pos="6810"/>
              </w:tabs>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无重大隐患</w:t>
            </w:r>
          </w:p>
        </w:tc>
      </w:tr>
    </w:tbl>
    <w:p w14:paraId="18232F28">
      <w:pPr>
        <w:bidi w:val="0"/>
        <w:rPr>
          <w:rFonts w:hint="eastAsia"/>
          <w:color w:val="auto"/>
          <w:lang w:eastAsia="zh-CN"/>
        </w:rPr>
      </w:pPr>
      <w:r>
        <w:rPr>
          <w:rFonts w:hint="eastAsia"/>
          <w:color w:val="auto"/>
          <w:lang w:eastAsia="zh-CN"/>
        </w:rPr>
        <w:t>经现场检查，</w:t>
      </w:r>
      <w:r>
        <w:rPr>
          <w:rFonts w:hint="eastAsia"/>
          <w:color w:val="auto"/>
          <w:lang w:val="en-US" w:eastAsia="zh-CN"/>
        </w:rPr>
        <w:t>宜丰新庄铜铅锌矿尾矿库</w:t>
      </w:r>
      <w:r>
        <w:rPr>
          <w:rFonts w:hint="eastAsia"/>
          <w:color w:val="auto"/>
          <w:lang w:eastAsia="zh-CN"/>
        </w:rPr>
        <w:t>不存在上述重大生产安全事故隐患。</w:t>
      </w:r>
    </w:p>
    <w:p w14:paraId="10FE1E52">
      <w:pPr>
        <w:pStyle w:val="3"/>
        <w:bidi w:val="0"/>
        <w:rPr>
          <w:rFonts w:hint="eastAsia"/>
          <w:color w:val="auto"/>
          <w:lang w:eastAsia="zh-CN"/>
        </w:rPr>
      </w:pPr>
      <w:bookmarkStart w:id="333" w:name="_Toc15145"/>
      <w:bookmarkStart w:id="334" w:name="_Toc31267"/>
      <w:bookmarkStart w:id="335" w:name="_Toc11633"/>
      <w:bookmarkStart w:id="336" w:name="_Toc12774"/>
      <w:bookmarkStart w:id="337" w:name="_Toc17353"/>
      <w:bookmarkStart w:id="338" w:name="_Toc23979"/>
      <w:bookmarkStart w:id="339" w:name="_Toc3042"/>
      <w:r>
        <w:rPr>
          <w:rFonts w:hint="eastAsia"/>
          <w:color w:val="auto"/>
          <w:lang w:eastAsia="zh-CN"/>
        </w:rPr>
        <w:t>3.4</w:t>
      </w:r>
      <w:r>
        <w:rPr>
          <w:rFonts w:hint="eastAsia"/>
          <w:color w:val="auto"/>
          <w:lang w:val="en-US" w:eastAsia="zh-CN"/>
        </w:rPr>
        <w:t xml:space="preserve"> </w:t>
      </w:r>
      <w:r>
        <w:rPr>
          <w:rFonts w:hint="eastAsia"/>
          <w:color w:val="auto"/>
          <w:lang w:eastAsia="zh-CN"/>
        </w:rPr>
        <w:t>危险、有害因素分析结果</w:t>
      </w:r>
      <w:bookmarkEnd w:id="333"/>
      <w:bookmarkEnd w:id="334"/>
      <w:bookmarkEnd w:id="335"/>
      <w:bookmarkEnd w:id="336"/>
      <w:bookmarkEnd w:id="337"/>
      <w:bookmarkEnd w:id="338"/>
      <w:bookmarkEnd w:id="339"/>
    </w:p>
    <w:p w14:paraId="77B80D2F">
      <w:pPr>
        <w:pStyle w:val="4"/>
        <w:bidi w:val="0"/>
        <w:rPr>
          <w:rFonts w:hint="eastAsia"/>
          <w:color w:val="auto"/>
          <w:lang w:eastAsia="zh-CN"/>
        </w:rPr>
      </w:pPr>
      <w:bookmarkStart w:id="340" w:name="_Toc28947"/>
      <w:bookmarkStart w:id="341" w:name="_Toc18534"/>
      <w:bookmarkStart w:id="342" w:name="_Toc29225"/>
      <w:bookmarkStart w:id="343" w:name="_Toc2126"/>
      <w:bookmarkStart w:id="344" w:name="_Toc26704"/>
      <w:bookmarkStart w:id="345" w:name="_Toc9160"/>
      <w:bookmarkStart w:id="346" w:name="_Toc9061"/>
      <w:r>
        <w:rPr>
          <w:rFonts w:hint="eastAsia"/>
          <w:color w:val="auto"/>
          <w:lang w:eastAsia="zh-CN"/>
        </w:rPr>
        <w:t>3.4.1</w:t>
      </w:r>
      <w:r>
        <w:rPr>
          <w:rFonts w:hint="eastAsia"/>
          <w:color w:val="auto"/>
          <w:lang w:val="en-US" w:eastAsia="zh-CN"/>
        </w:rPr>
        <w:t xml:space="preserve"> </w:t>
      </w:r>
      <w:r>
        <w:rPr>
          <w:rFonts w:hint="eastAsia"/>
          <w:color w:val="auto"/>
          <w:lang w:eastAsia="zh-CN"/>
        </w:rPr>
        <w:t>危险、有害因素产生的原因</w:t>
      </w:r>
      <w:bookmarkEnd w:id="340"/>
      <w:bookmarkEnd w:id="341"/>
      <w:bookmarkEnd w:id="342"/>
      <w:bookmarkEnd w:id="343"/>
      <w:bookmarkEnd w:id="344"/>
      <w:bookmarkEnd w:id="345"/>
      <w:bookmarkEnd w:id="346"/>
    </w:p>
    <w:p w14:paraId="6B16804A">
      <w:pPr>
        <w:rPr>
          <w:rFonts w:hint="eastAsia"/>
          <w:color w:val="auto"/>
          <w:lang w:eastAsia="zh-CN"/>
        </w:rPr>
      </w:pPr>
      <w:r>
        <w:rPr>
          <w:rFonts w:hint="eastAsia" w:eastAsia="宋体"/>
          <w:color w:val="auto"/>
          <w:lang w:eastAsia="zh-CN"/>
        </w:rPr>
        <w:t>1.</w:t>
      </w:r>
      <w:r>
        <w:rPr>
          <w:rFonts w:hint="eastAsia" w:ascii="Times New Roman" w:eastAsia="宋体"/>
          <w:color w:val="auto"/>
          <w:lang w:val="en-US" w:eastAsia="zh-CN"/>
        </w:rPr>
        <w:t xml:space="preserve"> </w:t>
      </w:r>
      <w:r>
        <w:rPr>
          <w:rFonts w:hint="eastAsia" w:eastAsia="宋体"/>
          <w:color w:val="auto"/>
          <w:lang w:eastAsia="zh-CN"/>
        </w:rPr>
        <w:t>勘察因素造成；</w:t>
      </w:r>
    </w:p>
    <w:p w14:paraId="1CDA25EF">
      <w:pPr>
        <w:rPr>
          <w:rFonts w:hint="eastAsia"/>
          <w:color w:val="auto"/>
          <w:lang w:eastAsia="zh-CN"/>
        </w:rPr>
      </w:pPr>
      <w:r>
        <w:rPr>
          <w:rFonts w:hint="eastAsia" w:eastAsia="宋体"/>
          <w:color w:val="auto"/>
          <w:lang w:eastAsia="zh-CN"/>
        </w:rPr>
        <w:t>2.</w:t>
      </w:r>
      <w:r>
        <w:rPr>
          <w:rFonts w:hint="eastAsia" w:ascii="Times New Roman" w:eastAsia="宋体"/>
          <w:color w:val="auto"/>
          <w:lang w:val="en-US" w:eastAsia="zh-CN"/>
        </w:rPr>
        <w:t xml:space="preserve"> </w:t>
      </w:r>
      <w:r>
        <w:rPr>
          <w:rFonts w:hint="eastAsia" w:eastAsia="宋体"/>
          <w:color w:val="auto"/>
          <w:lang w:eastAsia="zh-CN"/>
        </w:rPr>
        <w:t>设计因素造成；</w:t>
      </w:r>
    </w:p>
    <w:p w14:paraId="3D42350F">
      <w:pPr>
        <w:rPr>
          <w:rFonts w:hint="eastAsia"/>
          <w:color w:val="auto"/>
          <w:lang w:eastAsia="zh-CN"/>
        </w:rPr>
      </w:pPr>
      <w:r>
        <w:rPr>
          <w:rFonts w:hint="eastAsia" w:eastAsia="宋体"/>
          <w:color w:val="auto"/>
          <w:lang w:eastAsia="zh-CN"/>
        </w:rPr>
        <w:t>3.</w:t>
      </w:r>
      <w:r>
        <w:rPr>
          <w:rFonts w:hint="eastAsia" w:ascii="Times New Roman" w:eastAsia="宋体"/>
          <w:color w:val="auto"/>
          <w:lang w:val="en-US" w:eastAsia="zh-CN"/>
        </w:rPr>
        <w:t xml:space="preserve"> </w:t>
      </w:r>
      <w:r>
        <w:rPr>
          <w:rFonts w:hint="eastAsia" w:eastAsia="宋体"/>
          <w:color w:val="auto"/>
          <w:lang w:eastAsia="zh-CN"/>
        </w:rPr>
        <w:t>施工因素造成；</w:t>
      </w:r>
    </w:p>
    <w:p w14:paraId="24513847">
      <w:pPr>
        <w:rPr>
          <w:rFonts w:hint="eastAsia"/>
          <w:color w:val="auto"/>
          <w:lang w:eastAsia="zh-CN"/>
        </w:rPr>
      </w:pPr>
      <w:r>
        <w:rPr>
          <w:rFonts w:hint="eastAsia" w:eastAsia="宋体"/>
          <w:color w:val="auto"/>
          <w:lang w:eastAsia="zh-CN"/>
        </w:rPr>
        <w:t>4.</w:t>
      </w:r>
      <w:r>
        <w:rPr>
          <w:rFonts w:hint="eastAsia" w:ascii="Times New Roman" w:eastAsia="宋体"/>
          <w:color w:val="auto"/>
          <w:lang w:val="en-US" w:eastAsia="zh-CN"/>
        </w:rPr>
        <w:t xml:space="preserve"> </w:t>
      </w:r>
      <w:r>
        <w:rPr>
          <w:rFonts w:hint="eastAsia" w:eastAsia="宋体"/>
          <w:color w:val="auto"/>
          <w:lang w:eastAsia="zh-CN"/>
        </w:rPr>
        <w:t>操作管理不当造成；</w:t>
      </w:r>
    </w:p>
    <w:p w14:paraId="242CB4D3">
      <w:pPr>
        <w:rPr>
          <w:rFonts w:hint="eastAsia"/>
          <w:color w:val="auto"/>
          <w:lang w:eastAsia="zh-CN"/>
        </w:rPr>
      </w:pPr>
      <w:r>
        <w:rPr>
          <w:rFonts w:hint="eastAsia" w:eastAsia="宋体"/>
          <w:color w:val="auto"/>
          <w:lang w:eastAsia="zh-CN"/>
        </w:rPr>
        <w:t>5.</w:t>
      </w:r>
      <w:r>
        <w:rPr>
          <w:rFonts w:hint="eastAsia" w:ascii="Times New Roman" w:eastAsia="宋体"/>
          <w:color w:val="auto"/>
          <w:lang w:val="en-US" w:eastAsia="zh-CN"/>
        </w:rPr>
        <w:t xml:space="preserve"> </w:t>
      </w:r>
      <w:r>
        <w:rPr>
          <w:rFonts w:hint="eastAsia" w:eastAsia="宋体"/>
          <w:color w:val="auto"/>
          <w:lang w:eastAsia="zh-CN"/>
        </w:rPr>
        <w:t>其他因素造成。</w:t>
      </w:r>
    </w:p>
    <w:p w14:paraId="5BD17523">
      <w:pPr>
        <w:pStyle w:val="4"/>
        <w:bidi w:val="0"/>
        <w:rPr>
          <w:rFonts w:hint="eastAsia"/>
          <w:color w:val="auto"/>
          <w:lang w:eastAsia="zh-CN"/>
        </w:rPr>
      </w:pPr>
      <w:bookmarkStart w:id="347" w:name="_Toc2627"/>
      <w:bookmarkStart w:id="348" w:name="_Toc24140"/>
      <w:bookmarkStart w:id="349" w:name="_Toc25310"/>
      <w:bookmarkStart w:id="350" w:name="_Toc3410"/>
      <w:bookmarkStart w:id="351" w:name="_Toc8642"/>
      <w:bookmarkStart w:id="352" w:name="_Toc9780"/>
      <w:r>
        <w:rPr>
          <w:rFonts w:hint="eastAsia"/>
          <w:color w:val="auto"/>
          <w:lang w:eastAsia="zh-CN"/>
        </w:rPr>
        <w:t>3.4.2</w:t>
      </w:r>
      <w:r>
        <w:rPr>
          <w:rFonts w:hint="eastAsia"/>
          <w:color w:val="auto"/>
          <w:lang w:val="en-US" w:eastAsia="zh-CN"/>
        </w:rPr>
        <w:t xml:space="preserve"> </w:t>
      </w:r>
      <w:r>
        <w:rPr>
          <w:rFonts w:hint="eastAsia"/>
          <w:color w:val="auto"/>
          <w:lang w:eastAsia="zh-CN"/>
        </w:rPr>
        <w:t>危险、有害因素分析结果</w:t>
      </w:r>
      <w:bookmarkEnd w:id="347"/>
      <w:bookmarkEnd w:id="348"/>
      <w:bookmarkEnd w:id="349"/>
      <w:bookmarkEnd w:id="350"/>
      <w:bookmarkEnd w:id="351"/>
      <w:bookmarkEnd w:id="352"/>
    </w:p>
    <w:p w14:paraId="037890AB">
      <w:pPr>
        <w:rPr>
          <w:rFonts w:hint="eastAsia"/>
          <w:color w:val="auto"/>
          <w:lang w:eastAsia="zh-CN"/>
        </w:rPr>
      </w:pPr>
      <w:r>
        <w:rPr>
          <w:rFonts w:hint="eastAsia" w:eastAsia="宋体"/>
          <w:color w:val="auto"/>
          <w:lang w:eastAsia="zh-CN"/>
        </w:rPr>
        <w:t>1.</w:t>
      </w:r>
      <w:r>
        <w:rPr>
          <w:rFonts w:hint="eastAsia" w:ascii="Times New Roman" w:eastAsia="宋体"/>
          <w:color w:val="auto"/>
          <w:lang w:val="en-US" w:eastAsia="zh-CN"/>
        </w:rPr>
        <w:t xml:space="preserve"> </w:t>
      </w:r>
      <w:r>
        <w:rPr>
          <w:rFonts w:hint="eastAsia"/>
          <w:color w:val="auto"/>
          <w:lang w:val="en-US" w:eastAsia="zh-CN"/>
        </w:rPr>
        <w:t>宜丰新庄铜铅锌矿尾矿库</w:t>
      </w:r>
      <w:r>
        <w:rPr>
          <w:rFonts w:hint="eastAsia" w:eastAsia="宋体"/>
          <w:color w:val="auto"/>
          <w:lang w:eastAsia="zh-CN"/>
        </w:rPr>
        <w:t>暂不属于重大危险源，不存在生产安全事故重大隐患。</w:t>
      </w:r>
    </w:p>
    <w:p w14:paraId="46A23F9E">
      <w:pPr>
        <w:rPr>
          <w:rFonts w:hint="eastAsia" w:eastAsia="宋体"/>
          <w:color w:val="auto"/>
          <w:lang w:eastAsia="zh-CN"/>
        </w:rPr>
      </w:pPr>
      <w:r>
        <w:rPr>
          <w:rFonts w:hint="eastAsia" w:eastAsia="宋体"/>
          <w:color w:val="auto"/>
          <w:lang w:eastAsia="zh-CN"/>
        </w:rPr>
        <w:t>2.</w:t>
      </w:r>
      <w:r>
        <w:rPr>
          <w:rFonts w:hint="eastAsia" w:ascii="Times New Roman" w:eastAsia="宋体"/>
          <w:color w:val="auto"/>
          <w:lang w:val="en-US" w:eastAsia="zh-CN"/>
        </w:rPr>
        <w:t xml:space="preserve"> </w:t>
      </w:r>
      <w:r>
        <w:rPr>
          <w:rFonts w:hint="eastAsia"/>
          <w:color w:val="auto"/>
          <w:lang w:val="en-US" w:eastAsia="zh-CN"/>
        </w:rPr>
        <w:t>宜丰新庄铜铅锌矿尾矿库</w:t>
      </w:r>
      <w:r>
        <w:rPr>
          <w:rFonts w:hint="eastAsia" w:eastAsia="宋体"/>
          <w:color w:val="auto"/>
          <w:lang w:eastAsia="zh-CN"/>
        </w:rPr>
        <w:t>可能存在：滑坡（坝坡失稳），洪水漫顶，渗漏，排水、泄洪构筑物破坏，调洪库容不足，裂缝，淹溺，高处坠落，库区山体滑坡、塌方和泥石流，不良环境因素及其他因素造成的病害。</w:t>
      </w:r>
    </w:p>
    <w:p w14:paraId="00ED0383">
      <w:pPr>
        <w:rPr>
          <w:rFonts w:hint="eastAsia" w:eastAsia="宋体"/>
          <w:color w:val="auto"/>
          <w:lang w:eastAsia="zh-CN"/>
        </w:rPr>
      </w:pPr>
      <w:r>
        <w:rPr>
          <w:rFonts w:hint="eastAsia" w:eastAsia="宋体"/>
          <w:color w:val="auto"/>
          <w:lang w:eastAsia="zh-CN"/>
        </w:rPr>
        <w:br w:type="page"/>
      </w:r>
    </w:p>
    <w:p w14:paraId="5528C609">
      <w:pPr>
        <w:pStyle w:val="2"/>
        <w:numPr>
          <w:ilvl w:val="0"/>
          <w:numId w:val="5"/>
        </w:numPr>
        <w:bidi w:val="0"/>
        <w:rPr>
          <w:rFonts w:hint="eastAsia"/>
          <w:color w:val="auto"/>
          <w:lang w:eastAsia="zh-CN"/>
        </w:rPr>
      </w:pPr>
      <w:bookmarkStart w:id="353" w:name="_Toc9251"/>
      <w:bookmarkStart w:id="354" w:name="_Toc799"/>
      <w:bookmarkStart w:id="355" w:name="_Toc13614"/>
      <w:bookmarkStart w:id="356" w:name="_Toc23423"/>
      <w:r>
        <w:rPr>
          <w:rFonts w:hint="eastAsia"/>
          <w:color w:val="auto"/>
          <w:lang w:eastAsia="zh-CN"/>
        </w:rPr>
        <w:t>安全评价单元划分和选择</w:t>
      </w:r>
      <w:bookmarkEnd w:id="353"/>
      <w:bookmarkEnd w:id="354"/>
      <w:bookmarkEnd w:id="355"/>
      <w:bookmarkEnd w:id="356"/>
    </w:p>
    <w:p w14:paraId="4D8096BA">
      <w:pPr>
        <w:pStyle w:val="3"/>
        <w:bidi w:val="0"/>
        <w:rPr>
          <w:rFonts w:hint="eastAsia"/>
          <w:color w:val="auto"/>
          <w:lang w:eastAsia="zh-CN"/>
        </w:rPr>
      </w:pPr>
      <w:bookmarkStart w:id="357" w:name="_Toc28004"/>
      <w:bookmarkStart w:id="358" w:name="_Toc6223"/>
      <w:bookmarkStart w:id="359" w:name="_Toc30305"/>
      <w:bookmarkStart w:id="360" w:name="_Toc15864"/>
      <w:bookmarkStart w:id="361" w:name="_Toc15201"/>
      <w:bookmarkStart w:id="362" w:name="_Toc30676"/>
      <w:bookmarkStart w:id="363" w:name="_Toc7799"/>
      <w:r>
        <w:rPr>
          <w:rFonts w:hint="eastAsia"/>
          <w:color w:val="auto"/>
          <w:lang w:eastAsia="zh-CN"/>
        </w:rPr>
        <w:t>4.1</w:t>
      </w:r>
      <w:r>
        <w:rPr>
          <w:rFonts w:hint="eastAsia"/>
          <w:color w:val="auto"/>
          <w:lang w:val="en-US" w:eastAsia="zh-CN"/>
        </w:rPr>
        <w:t xml:space="preserve"> </w:t>
      </w:r>
      <w:r>
        <w:rPr>
          <w:rFonts w:hint="eastAsia"/>
          <w:color w:val="auto"/>
          <w:lang w:eastAsia="zh-CN"/>
        </w:rPr>
        <w:t>评价单元划分</w:t>
      </w:r>
      <w:bookmarkEnd w:id="357"/>
      <w:bookmarkEnd w:id="358"/>
      <w:bookmarkEnd w:id="359"/>
      <w:bookmarkEnd w:id="360"/>
      <w:bookmarkEnd w:id="361"/>
      <w:bookmarkEnd w:id="362"/>
      <w:bookmarkEnd w:id="363"/>
    </w:p>
    <w:p w14:paraId="7A2AE420">
      <w:pPr>
        <w:bidi w:val="0"/>
        <w:rPr>
          <w:rFonts w:hint="eastAsia"/>
          <w:color w:val="auto"/>
          <w:lang w:eastAsia="zh-CN"/>
        </w:rPr>
      </w:pPr>
      <w:r>
        <w:rPr>
          <w:rFonts w:hint="eastAsia" w:eastAsia="宋体"/>
          <w:color w:val="auto"/>
          <w:lang w:eastAsia="zh-CN"/>
        </w:rPr>
        <w:t>按照评价单元划分原则和方法，考虑该尾矿库实际情况和尾矿库中危险、有害因素的危害程度，划分为以下</w:t>
      </w:r>
      <w:r>
        <w:rPr>
          <w:rFonts w:hint="eastAsia" w:ascii="Times New Roman" w:eastAsia="宋体"/>
          <w:color w:val="auto"/>
          <w:lang w:val="en-US" w:eastAsia="zh-CN"/>
        </w:rPr>
        <w:t>六</w:t>
      </w:r>
      <w:r>
        <w:rPr>
          <w:rFonts w:hint="eastAsia" w:eastAsia="宋体"/>
          <w:color w:val="auto"/>
          <w:lang w:eastAsia="zh-CN"/>
        </w:rPr>
        <w:t>个单元：</w:t>
      </w:r>
    </w:p>
    <w:p w14:paraId="27CCC3D4">
      <w:pPr>
        <w:numPr>
          <w:ilvl w:val="0"/>
          <w:numId w:val="6"/>
        </w:numPr>
        <w:bidi w:val="0"/>
        <w:rPr>
          <w:rFonts w:hint="eastAsia"/>
          <w:color w:val="auto"/>
          <w:lang w:eastAsia="zh-CN"/>
        </w:rPr>
      </w:pPr>
      <w:r>
        <w:rPr>
          <w:rFonts w:hint="eastAsia" w:eastAsia="宋体"/>
          <w:color w:val="auto"/>
          <w:lang w:eastAsia="zh-CN"/>
        </w:rPr>
        <w:t>综合安全管理单元</w:t>
      </w:r>
    </w:p>
    <w:p w14:paraId="1AB91223">
      <w:pPr>
        <w:numPr>
          <w:ilvl w:val="0"/>
          <w:numId w:val="6"/>
        </w:numPr>
        <w:bidi w:val="0"/>
        <w:ind w:left="0" w:leftChars="0" w:firstLine="560" w:firstLineChars="200"/>
        <w:rPr>
          <w:rFonts w:hint="eastAsia"/>
          <w:color w:val="auto"/>
          <w:lang w:eastAsia="zh-CN"/>
        </w:rPr>
      </w:pPr>
      <w:r>
        <w:rPr>
          <w:rFonts w:hint="eastAsia" w:eastAsia="宋体"/>
          <w:color w:val="auto"/>
          <w:lang w:eastAsia="zh-CN"/>
        </w:rPr>
        <w:t>尾矿坝单元</w:t>
      </w:r>
    </w:p>
    <w:p w14:paraId="7EEDEBE2">
      <w:pPr>
        <w:numPr>
          <w:ilvl w:val="0"/>
          <w:numId w:val="6"/>
        </w:numPr>
        <w:bidi w:val="0"/>
        <w:ind w:left="0" w:leftChars="0" w:firstLine="560" w:firstLineChars="200"/>
        <w:rPr>
          <w:rFonts w:hint="eastAsia"/>
          <w:color w:val="auto"/>
          <w:lang w:eastAsia="zh-CN"/>
        </w:rPr>
      </w:pPr>
      <w:r>
        <w:rPr>
          <w:rFonts w:hint="eastAsia" w:eastAsia="宋体"/>
          <w:color w:val="auto"/>
          <w:lang w:eastAsia="zh-CN"/>
        </w:rPr>
        <w:t>防排洪系统单元</w:t>
      </w:r>
    </w:p>
    <w:p w14:paraId="20FA850D">
      <w:pPr>
        <w:numPr>
          <w:ilvl w:val="0"/>
          <w:numId w:val="6"/>
        </w:numPr>
        <w:bidi w:val="0"/>
        <w:ind w:left="0" w:leftChars="0" w:firstLine="560" w:firstLineChars="200"/>
        <w:rPr>
          <w:rFonts w:hint="eastAsia"/>
          <w:color w:val="auto"/>
          <w:lang w:eastAsia="zh-CN"/>
        </w:rPr>
      </w:pPr>
      <w:r>
        <w:rPr>
          <w:rFonts w:hint="eastAsia" w:eastAsia="宋体"/>
          <w:color w:val="auto"/>
          <w:lang w:eastAsia="zh-CN"/>
        </w:rPr>
        <w:t>安全监测设施单元</w:t>
      </w:r>
    </w:p>
    <w:p w14:paraId="056B7372">
      <w:pPr>
        <w:numPr>
          <w:ilvl w:val="0"/>
          <w:numId w:val="6"/>
        </w:numPr>
        <w:bidi w:val="0"/>
        <w:ind w:left="0" w:leftChars="0" w:firstLine="560" w:firstLineChars="200"/>
        <w:rPr>
          <w:rFonts w:hint="eastAsia"/>
          <w:color w:val="auto"/>
          <w:lang w:eastAsia="zh-CN"/>
        </w:rPr>
      </w:pPr>
      <w:r>
        <w:rPr>
          <w:rFonts w:hint="eastAsia" w:eastAsia="宋体"/>
          <w:color w:val="auto"/>
          <w:lang w:eastAsia="zh-CN"/>
        </w:rPr>
        <w:t>库区环境单元</w:t>
      </w:r>
    </w:p>
    <w:p w14:paraId="10D104CF">
      <w:pPr>
        <w:numPr>
          <w:ilvl w:val="0"/>
          <w:numId w:val="6"/>
        </w:numPr>
        <w:bidi w:val="0"/>
        <w:ind w:left="0" w:leftChars="0" w:firstLine="560" w:firstLineChars="200"/>
        <w:rPr>
          <w:rFonts w:hint="eastAsia"/>
          <w:color w:val="auto"/>
          <w:lang w:eastAsia="zh-CN"/>
        </w:rPr>
      </w:pPr>
      <w:r>
        <w:rPr>
          <w:rFonts w:hint="eastAsia" w:eastAsia="宋体"/>
          <w:color w:val="auto"/>
          <w:lang w:eastAsia="zh-CN"/>
        </w:rPr>
        <w:t>辅助设施单元</w:t>
      </w:r>
    </w:p>
    <w:p w14:paraId="09859462">
      <w:pPr>
        <w:pStyle w:val="3"/>
        <w:bidi w:val="0"/>
        <w:rPr>
          <w:rFonts w:hint="eastAsia"/>
          <w:color w:val="auto"/>
          <w:lang w:eastAsia="zh-CN"/>
        </w:rPr>
      </w:pPr>
      <w:bookmarkStart w:id="364" w:name="_Toc17550"/>
      <w:bookmarkStart w:id="365" w:name="_Toc31028"/>
      <w:bookmarkStart w:id="366" w:name="_Toc13654"/>
      <w:bookmarkStart w:id="367" w:name="_Toc3876"/>
      <w:bookmarkStart w:id="368" w:name="_Toc20394"/>
      <w:bookmarkStart w:id="369" w:name="_Toc16459"/>
      <w:bookmarkStart w:id="370" w:name="_Toc15391"/>
      <w:r>
        <w:rPr>
          <w:rFonts w:hint="eastAsia"/>
          <w:color w:val="auto"/>
          <w:lang w:eastAsia="zh-CN"/>
        </w:rPr>
        <w:t>4.2</w:t>
      </w:r>
      <w:r>
        <w:rPr>
          <w:rFonts w:hint="eastAsia"/>
          <w:color w:val="auto"/>
          <w:lang w:val="en-US" w:eastAsia="zh-CN"/>
        </w:rPr>
        <w:t xml:space="preserve"> </w:t>
      </w:r>
      <w:r>
        <w:rPr>
          <w:rFonts w:hint="eastAsia"/>
          <w:color w:val="auto"/>
          <w:lang w:eastAsia="zh-CN"/>
        </w:rPr>
        <w:t>评价方法选择</w:t>
      </w:r>
      <w:bookmarkEnd w:id="364"/>
      <w:bookmarkEnd w:id="365"/>
      <w:bookmarkEnd w:id="366"/>
      <w:bookmarkEnd w:id="367"/>
      <w:bookmarkEnd w:id="368"/>
      <w:bookmarkEnd w:id="369"/>
      <w:bookmarkEnd w:id="370"/>
    </w:p>
    <w:p w14:paraId="6FA6B311">
      <w:pPr>
        <w:bidi w:val="0"/>
        <w:rPr>
          <w:rFonts w:hint="eastAsia"/>
          <w:color w:val="auto"/>
          <w:lang w:eastAsia="zh-CN"/>
        </w:rPr>
      </w:pPr>
      <w:r>
        <w:rPr>
          <w:rFonts w:hint="eastAsia" w:eastAsia="宋体"/>
          <w:color w:val="auto"/>
          <w:lang w:eastAsia="zh-CN"/>
        </w:rPr>
        <w:t>安全评价方法是对系统的危险、有害因素及其危险、危害程度进行定性、定量的分析、评价的方法。评价方法的选择是根据评价的特点、具体条件和需要，考虑评价对象的特征以及评价方法的特点而确定的。根据该尾矿库危险、有害因素的特征以及安全评价导则的要求，本评价报告采用尾矿库调洪演算、坝体稳定计算、安全检查法</w:t>
      </w:r>
      <w:r>
        <w:rPr>
          <w:rFonts w:hint="eastAsia" w:ascii="Times New Roman" w:eastAsia="宋体"/>
          <w:color w:val="auto"/>
          <w:lang w:val="en-US" w:eastAsia="zh-CN"/>
        </w:rPr>
        <w:t>和安全检查表法</w:t>
      </w:r>
      <w:r>
        <w:rPr>
          <w:rFonts w:hint="eastAsia" w:eastAsia="宋体"/>
          <w:color w:val="auto"/>
          <w:lang w:eastAsia="zh-CN"/>
        </w:rPr>
        <w:t>。</w:t>
      </w:r>
    </w:p>
    <w:p w14:paraId="38CEEAF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pacing w:val="10"/>
          <w:kern w:val="0"/>
          <w:szCs w:val="28"/>
        </w:rPr>
      </w:pPr>
      <w:r>
        <w:rPr>
          <w:rFonts w:ascii="Times New Roman" w:hAnsi="Times New Roman" w:eastAsia="宋体" w:cs="Times New Roman"/>
          <w:color w:val="auto"/>
          <w:szCs w:val="28"/>
        </w:rPr>
        <w:t>表4</w:t>
      </w:r>
      <w:r>
        <w:rPr>
          <w:rFonts w:hint="eastAsia" w:cs="Times New Roman"/>
          <w:color w:val="auto"/>
          <w:szCs w:val="28"/>
          <w:lang w:val="en-US" w:eastAsia="zh-CN"/>
        </w:rPr>
        <w:t>.2</w:t>
      </w:r>
      <w:r>
        <w:rPr>
          <w:rFonts w:hint="eastAsia" w:ascii="Times New Roman" w:hAnsi="Times New Roman" w:eastAsia="宋体" w:cs="Times New Roman"/>
          <w:color w:val="auto"/>
          <w:szCs w:val="28"/>
        </w:rPr>
        <w:t>-</w:t>
      </w:r>
      <w:r>
        <w:rPr>
          <w:rFonts w:ascii="Times New Roman" w:hAnsi="Times New Roman" w:eastAsia="宋体" w:cs="Times New Roman"/>
          <w:color w:val="auto"/>
          <w:szCs w:val="28"/>
        </w:rPr>
        <w:t>1</w:t>
      </w:r>
      <w:r>
        <w:rPr>
          <w:rFonts w:hint="eastAsia" w:ascii="Times New Roman" w:hAnsi="Times New Roman" w:eastAsia="宋体" w:cs="Times New Roman"/>
          <w:color w:val="auto"/>
          <w:szCs w:val="28"/>
          <w:lang w:val="en-US" w:eastAsia="zh-CN"/>
        </w:rPr>
        <w:t xml:space="preserve"> </w:t>
      </w:r>
      <w:r>
        <w:rPr>
          <w:rFonts w:ascii="Times New Roman" w:hAnsi="Times New Roman" w:eastAsia="宋体" w:cs="Times New Roman"/>
          <w:color w:val="auto"/>
          <w:szCs w:val="28"/>
        </w:rPr>
        <w:t>评价方法一览表</w:t>
      </w:r>
    </w:p>
    <w:tbl>
      <w:tblPr>
        <w:tblStyle w:val="20"/>
        <w:tblW w:w="0" w:type="auto"/>
        <w:tblInd w:w="4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76"/>
        <w:gridCol w:w="5956"/>
      </w:tblGrid>
      <w:tr w14:paraId="7A1B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1" w:hRule="atLeast"/>
        </w:trPr>
        <w:tc>
          <w:tcPr>
            <w:tcW w:w="1976" w:type="dxa"/>
            <w:noWrap w:val="0"/>
            <w:vAlign w:val="center"/>
          </w:tcPr>
          <w:p w14:paraId="2476DF7B">
            <w:pPr>
              <w:autoSpaceDE w:val="0"/>
              <w:autoSpaceDN w:val="0"/>
              <w:spacing w:line="320" w:lineRule="exact"/>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评价单元</w:t>
            </w:r>
          </w:p>
        </w:tc>
        <w:tc>
          <w:tcPr>
            <w:tcW w:w="5956" w:type="dxa"/>
            <w:noWrap w:val="0"/>
            <w:vAlign w:val="center"/>
          </w:tcPr>
          <w:p w14:paraId="65D45031">
            <w:pPr>
              <w:autoSpaceDE w:val="0"/>
              <w:autoSpaceDN w:val="0"/>
              <w:spacing w:line="320" w:lineRule="exact"/>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评价方法</w:t>
            </w:r>
          </w:p>
        </w:tc>
      </w:tr>
      <w:tr w14:paraId="1913C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trPr>
        <w:tc>
          <w:tcPr>
            <w:tcW w:w="1976" w:type="dxa"/>
            <w:noWrap w:val="0"/>
            <w:vAlign w:val="center"/>
          </w:tcPr>
          <w:p w14:paraId="51A89BFB">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综合安全管理</w:t>
            </w:r>
          </w:p>
        </w:tc>
        <w:tc>
          <w:tcPr>
            <w:tcW w:w="5956" w:type="dxa"/>
            <w:noWrap w:val="0"/>
            <w:vAlign w:val="center"/>
          </w:tcPr>
          <w:p w14:paraId="3D545099">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安全检查表法</w:t>
            </w:r>
          </w:p>
        </w:tc>
      </w:tr>
      <w:tr w14:paraId="6E5F5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trPr>
        <w:tc>
          <w:tcPr>
            <w:tcW w:w="1976" w:type="dxa"/>
            <w:noWrap w:val="0"/>
            <w:vAlign w:val="center"/>
          </w:tcPr>
          <w:p w14:paraId="514F4645">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尾矿坝</w:t>
            </w:r>
          </w:p>
        </w:tc>
        <w:tc>
          <w:tcPr>
            <w:tcW w:w="5956" w:type="dxa"/>
            <w:noWrap w:val="0"/>
            <w:vAlign w:val="center"/>
          </w:tcPr>
          <w:p w14:paraId="1A3C31B3">
            <w:pPr>
              <w:autoSpaceDE w:val="0"/>
              <w:autoSpaceDN w:val="0"/>
              <w:spacing w:line="32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安全检查表法</w:t>
            </w:r>
            <w:r>
              <w:rPr>
                <w:rFonts w:hint="default" w:ascii="Times New Roman" w:hAnsi="Times New Roman" w:eastAsia="宋体" w:cs="Times New Roman"/>
                <w:color w:val="auto"/>
                <w:sz w:val="21"/>
                <w:szCs w:val="21"/>
              </w:rPr>
              <w:t>、坝体稳定计算</w:t>
            </w:r>
          </w:p>
        </w:tc>
      </w:tr>
      <w:tr w14:paraId="73F8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1976" w:type="dxa"/>
            <w:noWrap w:val="0"/>
            <w:vAlign w:val="center"/>
          </w:tcPr>
          <w:p w14:paraId="1219FAC9">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防排洪系统</w:t>
            </w:r>
          </w:p>
        </w:tc>
        <w:tc>
          <w:tcPr>
            <w:tcW w:w="5956" w:type="dxa"/>
            <w:noWrap w:val="0"/>
            <w:vAlign w:val="center"/>
          </w:tcPr>
          <w:p w14:paraId="33D452F4">
            <w:pPr>
              <w:autoSpaceDE w:val="0"/>
              <w:autoSpaceDN w:val="0"/>
              <w:spacing w:line="32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安全检查表法、</w:t>
            </w:r>
            <w:r>
              <w:rPr>
                <w:rFonts w:hint="default" w:ascii="Times New Roman" w:hAnsi="Times New Roman" w:eastAsia="宋体" w:cs="Times New Roman"/>
                <w:color w:val="auto"/>
                <w:sz w:val="21"/>
                <w:szCs w:val="21"/>
              </w:rPr>
              <w:t>尾矿库调洪演算</w:t>
            </w:r>
          </w:p>
        </w:tc>
      </w:tr>
      <w:tr w14:paraId="79CF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trPr>
        <w:tc>
          <w:tcPr>
            <w:tcW w:w="1976" w:type="dxa"/>
            <w:noWrap w:val="0"/>
            <w:vAlign w:val="center"/>
          </w:tcPr>
          <w:p w14:paraId="67A71DD0">
            <w:pPr>
              <w:autoSpaceDE w:val="0"/>
              <w:autoSpaceDN w:val="0"/>
              <w:spacing w:line="32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安全监测设施</w:t>
            </w:r>
          </w:p>
        </w:tc>
        <w:tc>
          <w:tcPr>
            <w:tcW w:w="5956" w:type="dxa"/>
            <w:noWrap w:val="0"/>
            <w:vAlign w:val="center"/>
          </w:tcPr>
          <w:p w14:paraId="75A49810">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安全检查法</w:t>
            </w:r>
          </w:p>
        </w:tc>
      </w:tr>
      <w:tr w14:paraId="201C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trPr>
        <w:tc>
          <w:tcPr>
            <w:tcW w:w="1976" w:type="dxa"/>
            <w:noWrap w:val="0"/>
            <w:vAlign w:val="center"/>
          </w:tcPr>
          <w:p w14:paraId="7DC5C64A">
            <w:pPr>
              <w:spacing w:line="320" w:lineRule="exact"/>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库区环境</w:t>
            </w:r>
          </w:p>
        </w:tc>
        <w:tc>
          <w:tcPr>
            <w:tcW w:w="5956" w:type="dxa"/>
            <w:noWrap w:val="0"/>
            <w:vAlign w:val="center"/>
          </w:tcPr>
          <w:p w14:paraId="3F82A803">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安全检查表法</w:t>
            </w:r>
          </w:p>
        </w:tc>
      </w:tr>
      <w:tr w14:paraId="0E6AE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trPr>
        <w:tc>
          <w:tcPr>
            <w:tcW w:w="1976" w:type="dxa"/>
            <w:noWrap w:val="0"/>
            <w:vAlign w:val="center"/>
          </w:tcPr>
          <w:p w14:paraId="50D4B1D5">
            <w:pPr>
              <w:spacing w:line="320" w:lineRule="exact"/>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辅助设施单元</w:t>
            </w:r>
          </w:p>
        </w:tc>
        <w:tc>
          <w:tcPr>
            <w:tcW w:w="5956" w:type="dxa"/>
            <w:noWrap w:val="0"/>
            <w:vAlign w:val="center"/>
          </w:tcPr>
          <w:p w14:paraId="7B105CC7">
            <w:pPr>
              <w:autoSpaceDE w:val="0"/>
              <w:autoSpaceDN w:val="0"/>
              <w:spacing w:line="32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安全检查法</w:t>
            </w:r>
          </w:p>
        </w:tc>
      </w:tr>
    </w:tbl>
    <w:p w14:paraId="659225CE">
      <w:pPr>
        <w:rPr>
          <w:rFonts w:hint="eastAsia" w:ascii="Times New Roman" w:hAnsi="Times New Roman" w:eastAsia="黑体" w:cs="Times New Roman"/>
          <w:bCs/>
          <w:color w:val="auto"/>
          <w:szCs w:val="28"/>
        </w:rPr>
      </w:pPr>
      <w:r>
        <w:rPr>
          <w:rFonts w:hint="eastAsia" w:ascii="Times New Roman" w:hAnsi="Times New Roman" w:eastAsia="黑体" w:cs="Times New Roman"/>
          <w:bCs/>
          <w:color w:val="auto"/>
          <w:szCs w:val="28"/>
        </w:rPr>
        <w:br w:type="page"/>
      </w:r>
    </w:p>
    <w:p w14:paraId="79E91876">
      <w:pPr>
        <w:pStyle w:val="2"/>
        <w:numPr>
          <w:ilvl w:val="0"/>
          <w:numId w:val="5"/>
        </w:numPr>
        <w:bidi w:val="0"/>
        <w:rPr>
          <w:rFonts w:hint="eastAsia"/>
          <w:color w:val="auto"/>
          <w:lang w:eastAsia="zh-CN"/>
        </w:rPr>
      </w:pPr>
      <w:bookmarkStart w:id="371" w:name="_Toc8103"/>
      <w:bookmarkStart w:id="372" w:name="_Toc29894"/>
      <w:bookmarkStart w:id="373" w:name="_Toc15886"/>
      <w:bookmarkStart w:id="374" w:name="_Toc2444"/>
      <w:r>
        <w:rPr>
          <w:rFonts w:hint="eastAsia"/>
          <w:color w:val="auto"/>
          <w:lang w:eastAsia="zh-CN"/>
        </w:rPr>
        <w:t>安全评价</w:t>
      </w:r>
      <w:bookmarkEnd w:id="371"/>
      <w:bookmarkEnd w:id="372"/>
      <w:bookmarkEnd w:id="373"/>
      <w:bookmarkEnd w:id="374"/>
    </w:p>
    <w:p w14:paraId="4B24828A">
      <w:pPr>
        <w:pStyle w:val="3"/>
        <w:bidi w:val="0"/>
        <w:rPr>
          <w:rFonts w:hint="eastAsia"/>
          <w:color w:val="auto"/>
          <w:lang w:eastAsia="zh-CN"/>
        </w:rPr>
      </w:pPr>
      <w:bookmarkStart w:id="375" w:name="_Toc9629"/>
      <w:bookmarkStart w:id="376" w:name="_Toc24562"/>
      <w:bookmarkStart w:id="377" w:name="_Toc21528"/>
      <w:bookmarkStart w:id="378" w:name="_Toc16240"/>
      <w:bookmarkStart w:id="379" w:name="_Toc6519"/>
      <w:bookmarkStart w:id="380" w:name="_Toc26410"/>
      <w:bookmarkStart w:id="381" w:name="_Toc12026"/>
      <w:r>
        <w:rPr>
          <w:rFonts w:hint="eastAsia"/>
          <w:color w:val="auto"/>
          <w:lang w:eastAsia="zh-CN"/>
        </w:rPr>
        <w:t>5.1</w:t>
      </w:r>
      <w:r>
        <w:rPr>
          <w:rFonts w:hint="eastAsia"/>
          <w:color w:val="auto"/>
          <w:lang w:val="en-US" w:eastAsia="zh-CN"/>
        </w:rPr>
        <w:t xml:space="preserve"> </w:t>
      </w:r>
      <w:r>
        <w:rPr>
          <w:rFonts w:hint="eastAsia"/>
          <w:color w:val="auto"/>
          <w:lang w:eastAsia="zh-CN"/>
        </w:rPr>
        <w:t>综合安全管理单元</w:t>
      </w:r>
      <w:bookmarkEnd w:id="375"/>
      <w:bookmarkEnd w:id="376"/>
      <w:bookmarkEnd w:id="377"/>
      <w:bookmarkEnd w:id="378"/>
      <w:bookmarkEnd w:id="379"/>
      <w:bookmarkEnd w:id="380"/>
      <w:bookmarkEnd w:id="381"/>
    </w:p>
    <w:p w14:paraId="5BDCCA75">
      <w:pPr>
        <w:pStyle w:val="4"/>
        <w:bidi w:val="0"/>
        <w:rPr>
          <w:rFonts w:hint="eastAsia"/>
          <w:color w:val="auto"/>
          <w:lang w:eastAsia="zh-CN"/>
        </w:rPr>
      </w:pPr>
      <w:bookmarkStart w:id="382" w:name="_Toc14727"/>
      <w:bookmarkStart w:id="383" w:name="_Toc15917"/>
      <w:bookmarkStart w:id="384" w:name="_Toc20906"/>
      <w:bookmarkStart w:id="385" w:name="_Toc31139"/>
      <w:bookmarkStart w:id="386" w:name="_Toc15024"/>
      <w:bookmarkStart w:id="387" w:name="_Toc25604"/>
      <w:bookmarkStart w:id="388" w:name="_Toc19456"/>
      <w:r>
        <w:rPr>
          <w:rFonts w:hint="eastAsia"/>
          <w:color w:val="auto"/>
          <w:lang w:eastAsia="zh-CN"/>
        </w:rPr>
        <w:t>5.1.1</w:t>
      </w:r>
      <w:r>
        <w:rPr>
          <w:rFonts w:hint="eastAsia"/>
          <w:color w:val="auto"/>
          <w:lang w:val="en-US" w:eastAsia="zh-CN"/>
        </w:rPr>
        <w:t xml:space="preserve"> </w:t>
      </w:r>
      <w:r>
        <w:rPr>
          <w:rFonts w:hint="eastAsia"/>
          <w:color w:val="auto"/>
          <w:lang w:eastAsia="zh-CN"/>
        </w:rPr>
        <w:t>安全检查表评价</w:t>
      </w:r>
      <w:bookmarkEnd w:id="382"/>
      <w:bookmarkEnd w:id="383"/>
      <w:bookmarkEnd w:id="384"/>
      <w:bookmarkEnd w:id="385"/>
      <w:bookmarkEnd w:id="386"/>
      <w:bookmarkEnd w:id="387"/>
      <w:bookmarkEnd w:id="388"/>
    </w:p>
    <w:p w14:paraId="4E404806">
      <w:pPr>
        <w:rPr>
          <w:rFonts w:hint="eastAsia" w:eastAsia="宋体"/>
          <w:color w:val="auto"/>
          <w:lang w:eastAsia="zh-CN"/>
        </w:rPr>
      </w:pPr>
      <w:r>
        <w:rPr>
          <w:rFonts w:hint="eastAsia" w:eastAsia="宋体"/>
          <w:color w:val="auto"/>
          <w:lang w:eastAsia="zh-CN"/>
        </w:rPr>
        <w:t>运用《江西省尾矿库安全检查表》（已按现行规程规范要求进行了修订，下同），对</w:t>
      </w:r>
      <w:r>
        <w:rPr>
          <w:rFonts w:hint="eastAsia"/>
          <w:color w:val="auto"/>
          <w:lang w:val="en-US" w:eastAsia="zh-CN"/>
        </w:rPr>
        <w:t>宜丰新庄铜铅锌矿尾矿库</w:t>
      </w:r>
      <w:r>
        <w:rPr>
          <w:rFonts w:hint="eastAsia" w:eastAsia="宋体"/>
          <w:color w:val="auto"/>
          <w:lang w:eastAsia="zh-CN"/>
        </w:rPr>
        <w:t>整个系统的综合安全管理单元进行评判，具体情况如表5</w:t>
      </w:r>
      <w:r>
        <w:rPr>
          <w:rFonts w:hint="eastAsia"/>
          <w:color w:val="auto"/>
          <w:lang w:val="en-US" w:eastAsia="zh-CN"/>
        </w:rPr>
        <w:t>.1</w:t>
      </w:r>
      <w:r>
        <w:rPr>
          <w:rFonts w:hint="eastAsia" w:eastAsia="宋体"/>
          <w:color w:val="auto"/>
          <w:lang w:eastAsia="zh-CN"/>
        </w:rPr>
        <w:t>-1所示。</w:t>
      </w:r>
    </w:p>
    <w:p w14:paraId="69607F61">
      <w:pPr>
        <w:ind w:left="0" w:leftChars="0" w:firstLine="0" w:firstLineChars="0"/>
        <w:jc w:val="center"/>
        <w:rPr>
          <w:rFonts w:hint="eastAsia" w:eastAsia="宋体"/>
          <w:color w:val="auto"/>
          <w:lang w:eastAsia="zh-CN"/>
        </w:rPr>
      </w:pPr>
      <w:r>
        <w:rPr>
          <w:rFonts w:hint="eastAsia" w:eastAsia="宋体"/>
          <w:color w:val="auto"/>
          <w:lang w:eastAsia="zh-CN"/>
        </w:rPr>
        <w:t>表5</w:t>
      </w:r>
      <w:r>
        <w:rPr>
          <w:rFonts w:hint="eastAsia"/>
          <w:color w:val="auto"/>
          <w:lang w:val="en-US" w:eastAsia="zh-CN"/>
        </w:rPr>
        <w:t>.1</w:t>
      </w:r>
      <w:r>
        <w:rPr>
          <w:rFonts w:hint="eastAsia" w:eastAsia="宋体"/>
          <w:color w:val="auto"/>
          <w:lang w:eastAsia="zh-CN"/>
        </w:rPr>
        <w:t>-1 综合安全管理单元安全检查表</w:t>
      </w:r>
    </w:p>
    <w:tbl>
      <w:tblPr>
        <w:tblStyle w:val="2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733"/>
        <w:gridCol w:w="2937"/>
        <w:gridCol w:w="1501"/>
        <w:gridCol w:w="925"/>
        <w:gridCol w:w="717"/>
        <w:gridCol w:w="841"/>
        <w:gridCol w:w="1097"/>
        <w:gridCol w:w="535"/>
      </w:tblGrid>
      <w:tr w14:paraId="5E41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noWrap w:val="0"/>
            <w:vAlign w:val="center"/>
          </w:tcPr>
          <w:p w14:paraId="73080BB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项目</w:t>
            </w:r>
          </w:p>
        </w:tc>
        <w:tc>
          <w:tcPr>
            <w:tcW w:w="2937" w:type="dxa"/>
            <w:noWrap w:val="0"/>
            <w:vAlign w:val="center"/>
          </w:tcPr>
          <w:p w14:paraId="0687102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pacing w:val="4"/>
                <w:kern w:val="0"/>
                <w:sz w:val="21"/>
                <w:szCs w:val="21"/>
              </w:rPr>
              <w:t>检查内容</w:t>
            </w:r>
          </w:p>
        </w:tc>
        <w:tc>
          <w:tcPr>
            <w:tcW w:w="1501" w:type="dxa"/>
            <w:noWrap w:val="0"/>
            <w:vAlign w:val="center"/>
          </w:tcPr>
          <w:p w14:paraId="2ACC727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检查依据</w:t>
            </w:r>
          </w:p>
        </w:tc>
        <w:tc>
          <w:tcPr>
            <w:tcW w:w="925" w:type="dxa"/>
            <w:noWrap w:val="0"/>
            <w:vAlign w:val="center"/>
          </w:tcPr>
          <w:p w14:paraId="1C6F732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检查方法及地点</w:t>
            </w:r>
          </w:p>
        </w:tc>
        <w:tc>
          <w:tcPr>
            <w:tcW w:w="717" w:type="dxa"/>
            <w:noWrap w:val="0"/>
            <w:vAlign w:val="center"/>
          </w:tcPr>
          <w:p w14:paraId="274A7B4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w:t>
            </w:r>
          </w:p>
          <w:p w14:paraId="69FBF8E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记录</w:t>
            </w:r>
          </w:p>
        </w:tc>
        <w:tc>
          <w:tcPr>
            <w:tcW w:w="841" w:type="dxa"/>
            <w:noWrap w:val="0"/>
            <w:vAlign w:val="center"/>
          </w:tcPr>
          <w:p w14:paraId="34F839C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p w14:paraId="1A534DD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分值</w:t>
            </w:r>
          </w:p>
        </w:tc>
        <w:tc>
          <w:tcPr>
            <w:tcW w:w="1097" w:type="dxa"/>
            <w:noWrap w:val="0"/>
            <w:vAlign w:val="center"/>
          </w:tcPr>
          <w:p w14:paraId="73672C0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评分标准</w:t>
            </w:r>
          </w:p>
        </w:tc>
        <w:tc>
          <w:tcPr>
            <w:tcW w:w="535" w:type="dxa"/>
            <w:noWrap w:val="0"/>
            <w:vAlign w:val="center"/>
          </w:tcPr>
          <w:p w14:paraId="3F4C801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得分</w:t>
            </w:r>
          </w:p>
        </w:tc>
      </w:tr>
      <w:tr w14:paraId="7B408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noWrap w:val="0"/>
            <w:vAlign w:val="center"/>
          </w:tcPr>
          <w:p w14:paraId="21BD7B6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1.安全许可</w:t>
            </w:r>
          </w:p>
        </w:tc>
        <w:tc>
          <w:tcPr>
            <w:tcW w:w="2937" w:type="dxa"/>
            <w:noWrap w:val="0"/>
            <w:vAlign w:val="center"/>
          </w:tcPr>
          <w:p w14:paraId="63C6EC1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1.1安全生产许可证合法性。</w:t>
            </w:r>
          </w:p>
          <w:p w14:paraId="5D84E57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1.2安全生产许可证有效性。</w:t>
            </w:r>
          </w:p>
          <w:p w14:paraId="2AA5890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1.3安全生产许可证</w:t>
            </w:r>
            <w:r>
              <w:rPr>
                <w:rFonts w:hint="default" w:ascii="Times New Roman" w:hAnsi="Times New Roman" w:eastAsia="宋体" w:cs="Times New Roman"/>
                <w:bCs/>
                <w:color w:val="auto"/>
                <w:kern w:val="0"/>
                <w:sz w:val="21"/>
                <w:szCs w:val="21"/>
                <w:lang w:val="zh-CN"/>
              </w:rPr>
              <w:t>是否年检。</w:t>
            </w:r>
          </w:p>
        </w:tc>
        <w:tc>
          <w:tcPr>
            <w:tcW w:w="1501" w:type="dxa"/>
            <w:noWrap w:val="0"/>
            <w:vAlign w:val="center"/>
          </w:tcPr>
          <w:p w14:paraId="13E09D4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《安全生产许可证条例》第二条</w:t>
            </w:r>
          </w:p>
        </w:tc>
        <w:tc>
          <w:tcPr>
            <w:tcW w:w="925" w:type="dxa"/>
            <w:noWrap w:val="0"/>
            <w:vAlign w:val="center"/>
          </w:tcPr>
          <w:p w14:paraId="4AB9ADE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查有效</w:t>
            </w:r>
          </w:p>
          <w:p w14:paraId="3DE155C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证件</w:t>
            </w:r>
          </w:p>
        </w:tc>
        <w:tc>
          <w:tcPr>
            <w:tcW w:w="717" w:type="dxa"/>
            <w:noWrap w:val="0"/>
            <w:vAlign w:val="center"/>
          </w:tcPr>
          <w:p w14:paraId="28574C5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有效</w:t>
            </w:r>
          </w:p>
        </w:tc>
        <w:tc>
          <w:tcPr>
            <w:tcW w:w="841" w:type="dxa"/>
            <w:noWrap w:val="0"/>
            <w:vAlign w:val="center"/>
          </w:tcPr>
          <w:p w14:paraId="6FE30A8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vMerge w:val="restart"/>
            <w:noWrap w:val="0"/>
            <w:vAlign w:val="center"/>
          </w:tcPr>
          <w:p w14:paraId="5DA79CC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任一项</w:t>
            </w:r>
          </w:p>
          <w:p w14:paraId="2656880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不符合</w:t>
            </w:r>
          </w:p>
          <w:p w14:paraId="484AEF8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即否决</w:t>
            </w:r>
          </w:p>
        </w:tc>
        <w:tc>
          <w:tcPr>
            <w:tcW w:w="535" w:type="dxa"/>
            <w:noWrap w:val="0"/>
            <w:vAlign w:val="center"/>
          </w:tcPr>
          <w:p w14:paraId="78D7397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0D67D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restart"/>
            <w:noWrap w:val="0"/>
            <w:vAlign w:val="center"/>
          </w:tcPr>
          <w:p w14:paraId="561ACDC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2.设计与</w:t>
            </w:r>
          </w:p>
          <w:p w14:paraId="5017001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评价</w:t>
            </w:r>
          </w:p>
        </w:tc>
        <w:tc>
          <w:tcPr>
            <w:tcW w:w="2937" w:type="dxa"/>
            <w:noWrap w:val="0"/>
            <w:vAlign w:val="center"/>
          </w:tcPr>
          <w:p w14:paraId="694D2C8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2.1尾矿库的勘察、设计、安全评价、施工及施工监理等工作必须由具有相应资质的单位承担。</w:t>
            </w:r>
          </w:p>
        </w:tc>
        <w:tc>
          <w:tcPr>
            <w:tcW w:w="1501" w:type="dxa"/>
            <w:noWrap w:val="0"/>
            <w:vAlign w:val="center"/>
          </w:tcPr>
          <w:p w14:paraId="736F34F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《尾矿库安全监督管理规定》</w:t>
            </w:r>
          </w:p>
          <w:p w14:paraId="054292D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第十条</w:t>
            </w:r>
          </w:p>
        </w:tc>
        <w:tc>
          <w:tcPr>
            <w:tcW w:w="925" w:type="dxa"/>
            <w:noWrap w:val="0"/>
            <w:vAlign w:val="center"/>
          </w:tcPr>
          <w:p w14:paraId="51DD122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查设计文件、有效证书</w:t>
            </w:r>
          </w:p>
        </w:tc>
        <w:tc>
          <w:tcPr>
            <w:tcW w:w="717" w:type="dxa"/>
            <w:noWrap w:val="0"/>
            <w:vAlign w:val="center"/>
          </w:tcPr>
          <w:p w14:paraId="0DDF503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60904F5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vMerge w:val="continue"/>
            <w:noWrap w:val="0"/>
            <w:vAlign w:val="center"/>
          </w:tcPr>
          <w:p w14:paraId="5D30A82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73EF9D7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46E7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26163BE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02E564F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2.2尾矿坝堆积至设计最终坝高的1/2～2/3高度时，应对尾矿堆积坝进行工勘和稳定性分析。</w:t>
            </w:r>
          </w:p>
        </w:tc>
        <w:tc>
          <w:tcPr>
            <w:tcW w:w="1501" w:type="dxa"/>
            <w:noWrap w:val="0"/>
            <w:vAlign w:val="center"/>
          </w:tcPr>
          <w:p w14:paraId="1554300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《尾矿设施设计规范》第4.4.1条，《尾矿库安全监督管理规定》第十九条；《尾矿库安全规程》第6.1.9条</w:t>
            </w:r>
          </w:p>
        </w:tc>
        <w:tc>
          <w:tcPr>
            <w:tcW w:w="925" w:type="dxa"/>
            <w:noWrap w:val="0"/>
            <w:vAlign w:val="center"/>
          </w:tcPr>
          <w:p w14:paraId="3025139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查工勘和稳定性分析文件</w:t>
            </w:r>
          </w:p>
        </w:tc>
        <w:tc>
          <w:tcPr>
            <w:tcW w:w="717" w:type="dxa"/>
            <w:noWrap w:val="0"/>
            <w:vAlign w:val="center"/>
          </w:tcPr>
          <w:p w14:paraId="572AEEB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36624C2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noWrap w:val="0"/>
            <w:vAlign w:val="center"/>
          </w:tcPr>
          <w:p w14:paraId="4100CE3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4656D85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19C9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1A4EEFC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582ED960">
            <w:pPr>
              <w:keepNext w:val="0"/>
              <w:keepLines w:val="0"/>
              <w:pageBreakBefore w:val="0"/>
              <w:widowControl w:val="0"/>
              <w:kinsoku/>
              <w:wordWrap/>
              <w:overflowPunct/>
              <w:topLinePunct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2.3在用尾矿库进行回采再利用或闭库、停用的尾矿库重新启用或改作他用时，必须按照尾矿库建设的规定进行工程设计、安全评价和审批。</w:t>
            </w:r>
          </w:p>
        </w:tc>
        <w:tc>
          <w:tcPr>
            <w:tcW w:w="1501" w:type="dxa"/>
            <w:vMerge w:val="restart"/>
            <w:noWrap w:val="0"/>
            <w:vAlign w:val="center"/>
          </w:tcPr>
          <w:p w14:paraId="59A3482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《尾矿库安全规程》第4.1、7.2、7.4、7.10条；《尾矿库安全监督管理规定》第二十七条</w:t>
            </w:r>
          </w:p>
        </w:tc>
        <w:tc>
          <w:tcPr>
            <w:tcW w:w="925" w:type="dxa"/>
            <w:vMerge w:val="restart"/>
            <w:noWrap w:val="0"/>
            <w:vAlign w:val="center"/>
          </w:tcPr>
          <w:p w14:paraId="41D0291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23E13FE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2、查工勘和稳定性分析文件</w:t>
            </w:r>
          </w:p>
        </w:tc>
        <w:tc>
          <w:tcPr>
            <w:tcW w:w="717" w:type="dxa"/>
            <w:vMerge w:val="restart"/>
            <w:noWrap w:val="0"/>
            <w:vAlign w:val="center"/>
          </w:tcPr>
          <w:p w14:paraId="2928B13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841" w:type="dxa"/>
            <w:vMerge w:val="restart"/>
            <w:noWrap w:val="0"/>
            <w:vAlign w:val="center"/>
          </w:tcPr>
          <w:p w14:paraId="0DDD217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vMerge w:val="restart"/>
            <w:noWrap w:val="0"/>
            <w:vAlign w:val="center"/>
          </w:tcPr>
          <w:p w14:paraId="7EA8086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无设计或设计未经批准的否决，出现影响安全的倒扣6分</w:t>
            </w:r>
          </w:p>
        </w:tc>
        <w:tc>
          <w:tcPr>
            <w:tcW w:w="535" w:type="dxa"/>
            <w:noWrap w:val="0"/>
            <w:vAlign w:val="center"/>
          </w:tcPr>
          <w:p w14:paraId="0A4EAC6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w:t>
            </w:r>
          </w:p>
        </w:tc>
      </w:tr>
      <w:tr w14:paraId="67ACF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65DC0B3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5ABB71B5">
            <w:pPr>
              <w:keepNext w:val="0"/>
              <w:keepLines w:val="0"/>
              <w:pageBreakBefore w:val="0"/>
              <w:widowControl w:val="0"/>
              <w:kinsoku/>
              <w:wordWrap/>
              <w:overflowPunct/>
              <w:topLinePunct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2.4进行回采再利用时，必须严格按照批准的设计规划进行回采、排砂和排水，不得影响继续使用的尾矿坝和排洪设施的安全。</w:t>
            </w:r>
          </w:p>
        </w:tc>
        <w:tc>
          <w:tcPr>
            <w:tcW w:w="1501" w:type="dxa"/>
            <w:vMerge w:val="continue"/>
            <w:noWrap w:val="0"/>
            <w:vAlign w:val="center"/>
          </w:tcPr>
          <w:p w14:paraId="4C80910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25" w:type="dxa"/>
            <w:vMerge w:val="continue"/>
            <w:noWrap w:val="0"/>
            <w:vAlign w:val="center"/>
          </w:tcPr>
          <w:p w14:paraId="2FD7681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vMerge w:val="continue"/>
            <w:noWrap w:val="0"/>
            <w:vAlign w:val="center"/>
          </w:tcPr>
          <w:p w14:paraId="05FA01A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841" w:type="dxa"/>
            <w:vMerge w:val="continue"/>
            <w:noWrap w:val="0"/>
            <w:vAlign w:val="center"/>
          </w:tcPr>
          <w:p w14:paraId="57555ED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097" w:type="dxa"/>
            <w:vMerge w:val="continue"/>
            <w:noWrap w:val="0"/>
            <w:vAlign w:val="center"/>
          </w:tcPr>
          <w:p w14:paraId="10AA69E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73162BF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w:t>
            </w:r>
          </w:p>
        </w:tc>
      </w:tr>
      <w:tr w14:paraId="00FF7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restart"/>
            <w:noWrap w:val="0"/>
            <w:vAlign w:val="center"/>
          </w:tcPr>
          <w:p w14:paraId="0253B9B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3.安全管理</w:t>
            </w:r>
          </w:p>
        </w:tc>
        <w:tc>
          <w:tcPr>
            <w:tcW w:w="2937" w:type="dxa"/>
            <w:noWrap w:val="0"/>
            <w:vAlign w:val="center"/>
          </w:tcPr>
          <w:p w14:paraId="0916BF2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3.1应有实测的尾矿库现状图（尾矿坝平、剖面图、排洪及排水设施系统图，实测图纸有效期为六个月内）及尾矿年排放计划</w:t>
            </w:r>
          </w:p>
        </w:tc>
        <w:tc>
          <w:tcPr>
            <w:tcW w:w="1501" w:type="dxa"/>
            <w:noWrap w:val="0"/>
            <w:vAlign w:val="center"/>
          </w:tcPr>
          <w:p w14:paraId="57E9672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《尾矿库安全规程》第6.1.2、11.1.3条《尾矿库安全监督管理规定》第二十二条</w:t>
            </w:r>
          </w:p>
        </w:tc>
        <w:tc>
          <w:tcPr>
            <w:tcW w:w="925" w:type="dxa"/>
            <w:noWrap w:val="0"/>
            <w:vAlign w:val="center"/>
          </w:tcPr>
          <w:p w14:paraId="4495B9A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对照设计、现状查图纸资料</w:t>
            </w:r>
          </w:p>
        </w:tc>
        <w:tc>
          <w:tcPr>
            <w:tcW w:w="717" w:type="dxa"/>
            <w:noWrap w:val="0"/>
            <w:vAlign w:val="center"/>
          </w:tcPr>
          <w:p w14:paraId="5E05B37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有图纸，有尾矿年排放计划</w:t>
            </w:r>
          </w:p>
        </w:tc>
        <w:tc>
          <w:tcPr>
            <w:tcW w:w="841" w:type="dxa"/>
            <w:noWrap w:val="0"/>
            <w:vAlign w:val="center"/>
          </w:tcPr>
          <w:p w14:paraId="7383779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noWrap w:val="0"/>
            <w:vAlign w:val="center"/>
          </w:tcPr>
          <w:p w14:paraId="44C8B7B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无图纸的否决，无计划的倒扣3分</w:t>
            </w:r>
          </w:p>
        </w:tc>
        <w:tc>
          <w:tcPr>
            <w:tcW w:w="535" w:type="dxa"/>
            <w:noWrap w:val="0"/>
            <w:vAlign w:val="center"/>
          </w:tcPr>
          <w:p w14:paraId="41A4846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符合</w:t>
            </w:r>
          </w:p>
        </w:tc>
      </w:tr>
      <w:tr w14:paraId="1BDA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7CB37F7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54E0123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3.2建立和健全各级各岗位人员安全生产责任制</w:t>
            </w:r>
          </w:p>
          <w:p w14:paraId="504647F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3.2.1尾矿库主要负责人安全生产责任制；</w:t>
            </w:r>
          </w:p>
          <w:p w14:paraId="773D462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3.2.2尾矿库分管负责人安全生产责任制；</w:t>
            </w:r>
          </w:p>
          <w:p w14:paraId="5419FA3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3.2.3尾矿库安全生产管理人员安全生产责任制；</w:t>
            </w:r>
          </w:p>
          <w:p w14:paraId="08BC5EE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3.2.4尾矿库职能管理部门安全生产责任制；</w:t>
            </w:r>
          </w:p>
          <w:p w14:paraId="5B42CD9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3.2.5尾矿工岗位安全生产责任制。</w:t>
            </w:r>
          </w:p>
        </w:tc>
        <w:tc>
          <w:tcPr>
            <w:tcW w:w="1501" w:type="dxa"/>
            <w:noWrap w:val="0"/>
            <w:vAlign w:val="center"/>
          </w:tcPr>
          <w:p w14:paraId="5F04BDA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《尾矿库安全监督管理规定》第四条；《尾矿库安全规程》第6.1.1条；《安全生产法》《安全生产许可征条例》国家安监局、煤监局第9号令</w:t>
            </w:r>
          </w:p>
        </w:tc>
        <w:tc>
          <w:tcPr>
            <w:tcW w:w="925" w:type="dxa"/>
            <w:noWrap w:val="0"/>
            <w:vAlign w:val="center"/>
          </w:tcPr>
          <w:p w14:paraId="0A6467D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2AC9FFA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2、查有效证件、</w:t>
            </w:r>
          </w:p>
          <w:p w14:paraId="0A3A351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证书</w:t>
            </w:r>
          </w:p>
        </w:tc>
        <w:tc>
          <w:tcPr>
            <w:tcW w:w="717" w:type="dxa"/>
            <w:noWrap w:val="0"/>
            <w:vAlign w:val="center"/>
          </w:tcPr>
          <w:p w14:paraId="0C657C8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0B497BD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10</w:t>
            </w:r>
          </w:p>
        </w:tc>
        <w:tc>
          <w:tcPr>
            <w:tcW w:w="1097" w:type="dxa"/>
            <w:noWrap w:val="0"/>
            <w:vAlign w:val="center"/>
          </w:tcPr>
          <w:p w14:paraId="077B230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6B11B77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扣2分</w:t>
            </w:r>
          </w:p>
        </w:tc>
        <w:tc>
          <w:tcPr>
            <w:tcW w:w="535" w:type="dxa"/>
            <w:noWrap w:val="0"/>
            <w:vAlign w:val="center"/>
          </w:tcPr>
          <w:p w14:paraId="3208480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10</w:t>
            </w:r>
          </w:p>
        </w:tc>
      </w:tr>
      <w:tr w14:paraId="5A98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restart"/>
            <w:noWrap w:val="0"/>
            <w:vAlign w:val="center"/>
          </w:tcPr>
          <w:p w14:paraId="4FAC05B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3.安</w:t>
            </w:r>
          </w:p>
          <w:p w14:paraId="508F58C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全管</w:t>
            </w:r>
          </w:p>
          <w:p w14:paraId="5BB86A9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理</w:t>
            </w:r>
          </w:p>
        </w:tc>
        <w:tc>
          <w:tcPr>
            <w:tcW w:w="2937" w:type="dxa"/>
            <w:noWrap w:val="0"/>
            <w:vAlign w:val="center"/>
          </w:tcPr>
          <w:p w14:paraId="59ED600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3.3企业应建立各项安全生产管理规章制度</w:t>
            </w:r>
          </w:p>
          <w:p w14:paraId="03E298A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3.3.1尾矿库日常和定期的检查制度；</w:t>
            </w:r>
          </w:p>
          <w:p w14:paraId="367C4EA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3.3.2尾矿库应急管理制度</w:t>
            </w:r>
          </w:p>
          <w:p w14:paraId="05A2348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3.3.3隐患排查与整改制度；</w:t>
            </w:r>
          </w:p>
          <w:p w14:paraId="236C162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3.3.4特殊状况安全检查制度；</w:t>
            </w:r>
          </w:p>
          <w:p w14:paraId="2C998D2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3.3.5安全评价制度；</w:t>
            </w:r>
          </w:p>
          <w:p w14:paraId="72AF7E4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3.3.6尾矿库事故管理制度；</w:t>
            </w:r>
          </w:p>
          <w:p w14:paraId="445543C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3.3.7监控、监测制度。</w:t>
            </w:r>
          </w:p>
        </w:tc>
        <w:tc>
          <w:tcPr>
            <w:tcW w:w="1501" w:type="dxa"/>
            <w:vMerge w:val="restart"/>
            <w:noWrap w:val="0"/>
            <w:vAlign w:val="center"/>
          </w:tcPr>
          <w:p w14:paraId="30F1C75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金属非金属矿山安全规程》第4.2、4.3、4.4、4.5条；《尾矿库安全规程》第6.1.1条；《尾矿库安全监督管理规定》第四、五、六、二十一条；《特种作业人员安全技术培训考核管理规定》《安全生产培训管理办法》；《关于印发〈企业安全生产费用提取和使用管理办法〉的通知》《江西省安全生产委员会关于在全省高危行业领域实施安全生产责任保险制度的指导意见》；《国家安全监管总局办公厅关于修改用人单位劳动防护用品管理规范的通知》</w:t>
            </w:r>
          </w:p>
        </w:tc>
        <w:tc>
          <w:tcPr>
            <w:tcW w:w="925" w:type="dxa"/>
            <w:vMerge w:val="restart"/>
            <w:noWrap w:val="0"/>
            <w:vAlign w:val="center"/>
          </w:tcPr>
          <w:p w14:paraId="765FE1E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7603F4B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2、查有效证件、证书</w:t>
            </w:r>
          </w:p>
          <w:p w14:paraId="5B10502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7560582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p w14:paraId="0FD26D5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未见</w:t>
            </w:r>
            <w:r>
              <w:rPr>
                <w:rFonts w:hint="eastAsia" w:ascii="Times New Roman" w:eastAsia="宋体"/>
                <w:color w:val="auto"/>
                <w:kern w:val="0"/>
                <w:sz w:val="21"/>
                <w:szCs w:val="21"/>
                <w:lang w:val="en-US" w:eastAsia="zh-CN"/>
              </w:rPr>
              <w:t>3.3.4、</w:t>
            </w:r>
            <w:r>
              <w:rPr>
                <w:rFonts w:hint="eastAsia"/>
                <w:color w:val="auto"/>
                <w:kern w:val="0"/>
                <w:sz w:val="21"/>
                <w:szCs w:val="21"/>
                <w:lang w:val="en-US" w:eastAsia="zh-CN"/>
              </w:rPr>
              <w:t>3.3.5、3.3.6、</w:t>
            </w:r>
            <w:r>
              <w:rPr>
                <w:rFonts w:hint="eastAsia" w:ascii="Times New Roman" w:eastAsia="宋体"/>
                <w:color w:val="auto"/>
                <w:kern w:val="0"/>
                <w:sz w:val="21"/>
                <w:szCs w:val="21"/>
                <w:lang w:val="en-US" w:eastAsia="zh-CN"/>
              </w:rPr>
              <w:t>3.3.7</w:t>
            </w:r>
            <w:r>
              <w:rPr>
                <w:rFonts w:hint="eastAsia" w:ascii="Times New Roman"/>
                <w:color w:val="auto"/>
                <w:kern w:val="0"/>
                <w:sz w:val="21"/>
                <w:szCs w:val="21"/>
                <w:lang w:val="zh-CN"/>
              </w:rPr>
              <w:t>，</w:t>
            </w:r>
            <w:r>
              <w:rPr>
                <w:rFonts w:hint="eastAsia" w:ascii="Times New Roman" w:eastAsia="宋体"/>
                <w:color w:val="auto"/>
                <w:kern w:val="0"/>
                <w:sz w:val="21"/>
                <w:szCs w:val="21"/>
                <w:lang w:val="en-US" w:eastAsia="zh-CN"/>
              </w:rPr>
              <w:t>3.3.4、</w:t>
            </w:r>
            <w:r>
              <w:rPr>
                <w:rFonts w:hint="eastAsia"/>
                <w:color w:val="auto"/>
                <w:kern w:val="0"/>
                <w:sz w:val="21"/>
                <w:szCs w:val="21"/>
                <w:lang w:val="en-US" w:eastAsia="zh-CN"/>
              </w:rPr>
              <w:t>3.3.5、3.3.6、</w:t>
            </w:r>
            <w:r>
              <w:rPr>
                <w:rFonts w:hint="eastAsia" w:ascii="Times New Roman" w:eastAsia="宋体"/>
                <w:color w:val="auto"/>
                <w:kern w:val="0"/>
                <w:sz w:val="21"/>
                <w:szCs w:val="21"/>
                <w:lang w:val="en-US" w:eastAsia="zh-CN"/>
              </w:rPr>
              <w:t>3.3.7</w:t>
            </w:r>
            <w:r>
              <w:rPr>
                <w:rFonts w:hint="eastAsia" w:ascii="Times New Roman"/>
                <w:color w:val="auto"/>
                <w:kern w:val="0"/>
                <w:sz w:val="21"/>
                <w:szCs w:val="21"/>
                <w:lang w:val="zh-CN"/>
              </w:rPr>
              <w:t>未运行</w:t>
            </w:r>
          </w:p>
        </w:tc>
        <w:tc>
          <w:tcPr>
            <w:tcW w:w="841" w:type="dxa"/>
            <w:noWrap w:val="0"/>
            <w:vAlign w:val="center"/>
          </w:tcPr>
          <w:p w14:paraId="693BCBE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14</w:t>
            </w:r>
          </w:p>
        </w:tc>
        <w:tc>
          <w:tcPr>
            <w:tcW w:w="1097" w:type="dxa"/>
            <w:noWrap w:val="0"/>
            <w:vAlign w:val="center"/>
          </w:tcPr>
          <w:p w14:paraId="7C0AFD9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制度缺1项扣1分；1项制度未运行或运行差扣1分</w:t>
            </w:r>
          </w:p>
        </w:tc>
        <w:tc>
          <w:tcPr>
            <w:tcW w:w="535" w:type="dxa"/>
            <w:noWrap w:val="0"/>
            <w:vAlign w:val="center"/>
          </w:tcPr>
          <w:p w14:paraId="00A0970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6</w:t>
            </w:r>
          </w:p>
        </w:tc>
      </w:tr>
      <w:tr w14:paraId="240C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4049611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17A0E38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3.4制定各工种岗位安全操作规程。</w:t>
            </w:r>
          </w:p>
        </w:tc>
        <w:tc>
          <w:tcPr>
            <w:tcW w:w="1501" w:type="dxa"/>
            <w:vMerge w:val="continue"/>
            <w:noWrap w:val="0"/>
            <w:vAlign w:val="center"/>
          </w:tcPr>
          <w:p w14:paraId="1A9D0F9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70A0E80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4F136ED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0ECA711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1097" w:type="dxa"/>
            <w:noWrap w:val="0"/>
            <w:vAlign w:val="center"/>
          </w:tcPr>
          <w:p w14:paraId="17F6F92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3728883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535" w:type="dxa"/>
            <w:noWrap w:val="0"/>
            <w:vAlign w:val="center"/>
          </w:tcPr>
          <w:p w14:paraId="56D42AD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r>
      <w:tr w14:paraId="26950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341FC77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415568D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3.5主要负责人、分管安全工作负责人和安全管理人员经过安全培训，考核合格，持证上岗。</w:t>
            </w:r>
          </w:p>
        </w:tc>
        <w:tc>
          <w:tcPr>
            <w:tcW w:w="1501" w:type="dxa"/>
            <w:vMerge w:val="continue"/>
            <w:noWrap w:val="0"/>
            <w:vAlign w:val="center"/>
          </w:tcPr>
          <w:p w14:paraId="225A623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1AD6A8D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2F26C6F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124DAAF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noWrap w:val="0"/>
            <w:vAlign w:val="center"/>
          </w:tcPr>
          <w:p w14:paraId="736C4D2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任一类</w:t>
            </w:r>
          </w:p>
          <w:p w14:paraId="230DC3D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人员无证</w:t>
            </w:r>
          </w:p>
          <w:p w14:paraId="3268EA1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就否</w:t>
            </w:r>
          </w:p>
        </w:tc>
        <w:tc>
          <w:tcPr>
            <w:tcW w:w="535" w:type="dxa"/>
            <w:noWrap w:val="0"/>
            <w:vAlign w:val="center"/>
          </w:tcPr>
          <w:p w14:paraId="66BCCA9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62CB6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4C9D7BD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7A44511C">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3.6特种作业人员经有关部门考核合格，取得上岗资格。</w:t>
            </w:r>
          </w:p>
        </w:tc>
        <w:tc>
          <w:tcPr>
            <w:tcW w:w="1501" w:type="dxa"/>
            <w:vMerge w:val="continue"/>
            <w:noWrap w:val="0"/>
            <w:vAlign w:val="center"/>
          </w:tcPr>
          <w:p w14:paraId="3857447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1624212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493CAFB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49B8096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1097" w:type="dxa"/>
            <w:noWrap w:val="0"/>
            <w:vAlign w:val="center"/>
          </w:tcPr>
          <w:p w14:paraId="33F5752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尾矿工</w:t>
            </w:r>
          </w:p>
          <w:p w14:paraId="5970263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无证就否</w:t>
            </w:r>
          </w:p>
        </w:tc>
        <w:tc>
          <w:tcPr>
            <w:tcW w:w="535" w:type="dxa"/>
            <w:noWrap w:val="0"/>
            <w:vAlign w:val="center"/>
          </w:tcPr>
          <w:p w14:paraId="37E9975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633F9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5C45134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08E68275">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3.7对从业人员进行安全知识培训，新员工、转岗员工应接受三级安全教育。</w:t>
            </w:r>
          </w:p>
        </w:tc>
        <w:tc>
          <w:tcPr>
            <w:tcW w:w="1501" w:type="dxa"/>
            <w:vMerge w:val="continue"/>
            <w:noWrap w:val="0"/>
            <w:vAlign w:val="center"/>
          </w:tcPr>
          <w:p w14:paraId="4254EF4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06D0A6E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7C946B6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7CECEB3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1097" w:type="dxa"/>
            <w:vMerge w:val="restart"/>
            <w:noWrap w:val="0"/>
            <w:vAlign w:val="center"/>
          </w:tcPr>
          <w:p w14:paraId="52CB936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4678A80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535" w:type="dxa"/>
            <w:noWrap w:val="0"/>
            <w:vAlign w:val="center"/>
          </w:tcPr>
          <w:p w14:paraId="6FFD8F8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r>
      <w:tr w14:paraId="60D4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226AE88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36E52808">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3.8制定应急救援预案及进行不定期演练，有与邻近应急救援组织签订的救护协议。</w:t>
            </w:r>
          </w:p>
        </w:tc>
        <w:tc>
          <w:tcPr>
            <w:tcW w:w="1501" w:type="dxa"/>
            <w:vMerge w:val="continue"/>
            <w:noWrap w:val="0"/>
            <w:vAlign w:val="center"/>
          </w:tcPr>
          <w:p w14:paraId="0DA1C09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7E28BB7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3622518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eastAsia="宋体" w:cs="Times New Roman"/>
                <w:color w:val="auto"/>
                <w:kern w:val="0"/>
                <w:sz w:val="21"/>
                <w:szCs w:val="21"/>
                <w:lang w:val="en-US" w:eastAsia="zh-CN"/>
              </w:rPr>
              <w:t>有</w:t>
            </w:r>
          </w:p>
        </w:tc>
        <w:tc>
          <w:tcPr>
            <w:tcW w:w="841" w:type="dxa"/>
            <w:noWrap w:val="0"/>
            <w:vAlign w:val="center"/>
          </w:tcPr>
          <w:p w14:paraId="71FFA20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1097" w:type="dxa"/>
            <w:vMerge w:val="continue"/>
            <w:noWrap w:val="0"/>
            <w:vAlign w:val="center"/>
          </w:tcPr>
          <w:p w14:paraId="200BE66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58EFA13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eastAsia="宋体" w:cs="Times New Roman"/>
                <w:color w:val="auto"/>
                <w:kern w:val="0"/>
                <w:sz w:val="21"/>
                <w:szCs w:val="21"/>
                <w:lang w:val="en-US" w:eastAsia="zh-CN"/>
              </w:rPr>
              <w:t>5</w:t>
            </w:r>
          </w:p>
        </w:tc>
      </w:tr>
      <w:tr w14:paraId="1F092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3D35264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72D202E9">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3.9按规定提取和使用安全技术措施费用；</w:t>
            </w:r>
          </w:p>
          <w:p w14:paraId="16B60D1A">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3.9.1有保证安全生产投入的文件；</w:t>
            </w:r>
          </w:p>
          <w:p w14:paraId="4416F893">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3.9.2有安全投入使用计划；</w:t>
            </w:r>
          </w:p>
          <w:p w14:paraId="5EFCDD5B">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3.9.3有购置安全设施设备等实物证明。</w:t>
            </w:r>
          </w:p>
        </w:tc>
        <w:tc>
          <w:tcPr>
            <w:tcW w:w="1501" w:type="dxa"/>
            <w:vMerge w:val="continue"/>
            <w:noWrap w:val="0"/>
            <w:vAlign w:val="center"/>
          </w:tcPr>
          <w:p w14:paraId="0F5EADA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44D3B96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412A527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有</w:t>
            </w:r>
          </w:p>
        </w:tc>
        <w:tc>
          <w:tcPr>
            <w:tcW w:w="841" w:type="dxa"/>
            <w:noWrap w:val="0"/>
            <w:vAlign w:val="center"/>
          </w:tcPr>
          <w:p w14:paraId="3ED392E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1097" w:type="dxa"/>
            <w:noWrap w:val="0"/>
            <w:vAlign w:val="center"/>
          </w:tcPr>
          <w:p w14:paraId="5C57A71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28D537E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535" w:type="dxa"/>
            <w:noWrap w:val="0"/>
            <w:vAlign w:val="center"/>
          </w:tcPr>
          <w:p w14:paraId="0E7C16F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5</w:t>
            </w:r>
          </w:p>
        </w:tc>
      </w:tr>
      <w:tr w14:paraId="47A0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02057BD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126C1E60">
            <w:pPr>
              <w:keepNext w:val="0"/>
              <w:keepLines w:val="0"/>
              <w:pageBreakBefore w:val="0"/>
              <w:widowControl w:val="0"/>
              <w:kinsoku/>
              <w:wordWrap/>
              <w:overflowPunct/>
              <w:topLinePunct w:val="0"/>
              <w:autoSpaceDE w:val="0"/>
              <w:autoSpaceDN w:val="0"/>
              <w:bidi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3.10从业人员按规定穿戴和使用劳动保护用品与用具。</w:t>
            </w:r>
          </w:p>
        </w:tc>
        <w:tc>
          <w:tcPr>
            <w:tcW w:w="1501" w:type="dxa"/>
            <w:vMerge w:val="continue"/>
            <w:noWrap w:val="0"/>
            <w:vAlign w:val="center"/>
          </w:tcPr>
          <w:p w14:paraId="4F840C4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2BD1588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7D8ADC8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c>
          <w:tcPr>
            <w:tcW w:w="841" w:type="dxa"/>
            <w:noWrap w:val="0"/>
            <w:vAlign w:val="center"/>
          </w:tcPr>
          <w:p w14:paraId="16F9117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1097" w:type="dxa"/>
            <w:vMerge w:val="restart"/>
            <w:noWrap w:val="0"/>
            <w:vAlign w:val="center"/>
          </w:tcPr>
          <w:p w14:paraId="70D2B77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441BEC1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535" w:type="dxa"/>
            <w:noWrap w:val="0"/>
            <w:vAlign w:val="center"/>
          </w:tcPr>
          <w:p w14:paraId="38ACAB8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r>
      <w:tr w14:paraId="41C65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492D6F6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4EB7022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3.11参加安全生产保险；</w:t>
            </w:r>
          </w:p>
          <w:p w14:paraId="605F470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3.12有为从业人员缴纳安全生产责任保险证明；</w:t>
            </w:r>
          </w:p>
          <w:p w14:paraId="136DDBB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3.13保险人数与从事尾矿库管理、尾矿工的实际人数相符。</w:t>
            </w:r>
          </w:p>
        </w:tc>
        <w:tc>
          <w:tcPr>
            <w:tcW w:w="1501" w:type="dxa"/>
            <w:vMerge w:val="continue"/>
            <w:noWrap w:val="0"/>
            <w:vAlign w:val="center"/>
          </w:tcPr>
          <w:p w14:paraId="0F81442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925" w:type="dxa"/>
            <w:vMerge w:val="continue"/>
            <w:noWrap w:val="0"/>
            <w:vAlign w:val="center"/>
          </w:tcPr>
          <w:p w14:paraId="7D17675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699B2A1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c>
          <w:tcPr>
            <w:tcW w:w="841" w:type="dxa"/>
            <w:noWrap w:val="0"/>
            <w:vAlign w:val="center"/>
          </w:tcPr>
          <w:p w14:paraId="7AFB913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1097" w:type="dxa"/>
            <w:vMerge w:val="continue"/>
            <w:noWrap w:val="0"/>
            <w:vAlign w:val="center"/>
          </w:tcPr>
          <w:p w14:paraId="07C0869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7A8DBC0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r>
      <w:tr w14:paraId="67227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vMerge w:val="continue"/>
            <w:noWrap w:val="0"/>
            <w:vAlign w:val="center"/>
          </w:tcPr>
          <w:p w14:paraId="44822F3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37" w:type="dxa"/>
            <w:noWrap w:val="0"/>
            <w:vAlign w:val="center"/>
          </w:tcPr>
          <w:p w14:paraId="1996E90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3.14应有防震与抗震措施。</w:t>
            </w:r>
          </w:p>
        </w:tc>
        <w:tc>
          <w:tcPr>
            <w:tcW w:w="1501" w:type="dxa"/>
            <w:noWrap w:val="0"/>
            <w:vAlign w:val="center"/>
          </w:tcPr>
          <w:p w14:paraId="27BF35E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《尾矿库安全安全生产标准化评分办法》</w:t>
            </w:r>
          </w:p>
        </w:tc>
        <w:tc>
          <w:tcPr>
            <w:tcW w:w="925" w:type="dxa"/>
            <w:noWrap w:val="0"/>
            <w:vAlign w:val="center"/>
          </w:tcPr>
          <w:p w14:paraId="4EA3C2D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w:t>
            </w:r>
          </w:p>
        </w:tc>
        <w:tc>
          <w:tcPr>
            <w:tcW w:w="717" w:type="dxa"/>
            <w:noWrap w:val="0"/>
            <w:vAlign w:val="center"/>
          </w:tcPr>
          <w:p w14:paraId="0AA21A1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841" w:type="dxa"/>
            <w:noWrap w:val="0"/>
            <w:vAlign w:val="center"/>
          </w:tcPr>
          <w:p w14:paraId="6CC6493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1097" w:type="dxa"/>
            <w:vMerge w:val="continue"/>
            <w:noWrap w:val="0"/>
            <w:vAlign w:val="center"/>
          </w:tcPr>
          <w:p w14:paraId="7F7D98A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3F7D38C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r>
      <w:tr w14:paraId="6E02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733" w:type="dxa"/>
            <w:noWrap w:val="0"/>
            <w:vAlign w:val="center"/>
          </w:tcPr>
          <w:p w14:paraId="1FF9261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2937" w:type="dxa"/>
            <w:noWrap w:val="0"/>
            <w:vAlign w:val="center"/>
          </w:tcPr>
          <w:p w14:paraId="49AFD7F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501" w:type="dxa"/>
            <w:noWrap w:val="0"/>
            <w:vAlign w:val="center"/>
          </w:tcPr>
          <w:p w14:paraId="3D0A67D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25" w:type="dxa"/>
            <w:noWrap w:val="0"/>
            <w:vAlign w:val="center"/>
          </w:tcPr>
          <w:p w14:paraId="031AC9B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17" w:type="dxa"/>
            <w:noWrap w:val="0"/>
            <w:vAlign w:val="center"/>
          </w:tcPr>
          <w:p w14:paraId="3C92424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841" w:type="dxa"/>
            <w:noWrap w:val="0"/>
            <w:vAlign w:val="center"/>
          </w:tcPr>
          <w:p w14:paraId="07EE39B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51</w:t>
            </w:r>
          </w:p>
        </w:tc>
        <w:tc>
          <w:tcPr>
            <w:tcW w:w="1097" w:type="dxa"/>
            <w:noWrap w:val="0"/>
            <w:vAlign w:val="center"/>
          </w:tcPr>
          <w:p w14:paraId="5986FDC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5" w:type="dxa"/>
            <w:noWrap w:val="0"/>
            <w:vAlign w:val="center"/>
          </w:tcPr>
          <w:p w14:paraId="3AA648E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43</w:t>
            </w:r>
          </w:p>
        </w:tc>
      </w:tr>
    </w:tbl>
    <w:p w14:paraId="1D43A877">
      <w:pPr>
        <w:pStyle w:val="4"/>
        <w:bidi w:val="0"/>
        <w:rPr>
          <w:rFonts w:hint="eastAsia"/>
          <w:color w:val="auto"/>
          <w:lang w:eastAsia="zh-CN"/>
        </w:rPr>
      </w:pPr>
      <w:bookmarkStart w:id="389" w:name="_Toc32518"/>
      <w:bookmarkStart w:id="390" w:name="_Toc15440"/>
      <w:bookmarkStart w:id="391" w:name="_Toc23318"/>
      <w:bookmarkStart w:id="392" w:name="_Toc28718"/>
      <w:r>
        <w:rPr>
          <w:rFonts w:hint="eastAsia"/>
          <w:color w:val="auto"/>
          <w:lang w:eastAsia="zh-CN"/>
        </w:rPr>
        <w:t>5.1.2</w:t>
      </w:r>
      <w:r>
        <w:rPr>
          <w:rFonts w:hint="eastAsia"/>
          <w:color w:val="auto"/>
          <w:lang w:val="en-US" w:eastAsia="zh-CN"/>
        </w:rPr>
        <w:t xml:space="preserve"> </w:t>
      </w:r>
      <w:r>
        <w:rPr>
          <w:rFonts w:hint="eastAsia"/>
          <w:color w:val="auto"/>
          <w:lang w:eastAsia="zh-CN"/>
        </w:rPr>
        <w:t>评价单元小结</w:t>
      </w:r>
      <w:bookmarkEnd w:id="389"/>
      <w:bookmarkEnd w:id="390"/>
      <w:bookmarkEnd w:id="391"/>
      <w:bookmarkEnd w:id="392"/>
    </w:p>
    <w:p w14:paraId="358632C4">
      <w:pPr>
        <w:bidi w:val="0"/>
        <w:rPr>
          <w:rFonts w:hint="eastAsia"/>
          <w:color w:val="auto"/>
          <w:lang w:eastAsia="zh-CN"/>
        </w:rPr>
      </w:pPr>
      <w:r>
        <w:rPr>
          <w:rFonts w:hint="eastAsia"/>
          <w:color w:val="auto"/>
          <w:lang w:eastAsia="zh-CN"/>
        </w:rPr>
        <w:t>经检查，江西省宜丰万国矿业有限公司</w:t>
      </w:r>
      <w:r>
        <w:rPr>
          <w:rFonts w:hint="eastAsia"/>
          <w:color w:val="auto"/>
          <w:lang w:val="en-US" w:eastAsia="zh-CN"/>
        </w:rPr>
        <w:t>于</w:t>
      </w:r>
      <w:r>
        <w:rPr>
          <w:rFonts w:hint="eastAsia"/>
          <w:color w:val="auto"/>
          <w:lang w:eastAsia="zh-CN"/>
        </w:rPr>
        <w:t>2022年</w:t>
      </w:r>
      <w:r>
        <w:rPr>
          <w:rFonts w:hint="eastAsia"/>
          <w:color w:val="auto"/>
          <w:lang w:val="en-US" w:eastAsia="zh-CN"/>
        </w:rPr>
        <w:t>8</w:t>
      </w:r>
      <w:r>
        <w:rPr>
          <w:rFonts w:hint="eastAsia"/>
          <w:color w:val="auto"/>
          <w:lang w:eastAsia="zh-CN"/>
        </w:rPr>
        <w:t>月</w:t>
      </w:r>
      <w:r>
        <w:rPr>
          <w:rFonts w:hint="eastAsia"/>
          <w:color w:val="auto"/>
          <w:lang w:val="en-US" w:eastAsia="zh-CN"/>
        </w:rPr>
        <w:t>26</w:t>
      </w:r>
      <w:r>
        <w:rPr>
          <w:rFonts w:hint="eastAsia"/>
          <w:color w:val="auto"/>
          <w:lang w:eastAsia="zh-CN"/>
        </w:rPr>
        <w:t>日取得了江西省应急管理厅</w:t>
      </w:r>
      <w:r>
        <w:rPr>
          <w:rFonts w:hint="eastAsia"/>
          <w:color w:val="auto"/>
          <w:lang w:val="en-US" w:eastAsia="zh-CN"/>
        </w:rPr>
        <w:t>换</w:t>
      </w:r>
      <w:r>
        <w:rPr>
          <w:rFonts w:hint="eastAsia"/>
          <w:color w:val="auto"/>
          <w:lang w:eastAsia="zh-CN"/>
        </w:rPr>
        <w:t>发的《安全生产许可证》。江西省宜丰万国矿业有限公司设有安全管理机构，配备了专职安全管理人员，安全管理体系健全，制定了各种安全生产规章制度、操作规程、岗位安全生产责任制和应急救援预案，安全管理措施落实较好；主要负责人和安全管理人员经当地安全培训机构培训、考核合格，具备安全资格证持证资格；有尾矿工</w:t>
      </w:r>
      <w:r>
        <w:rPr>
          <w:rFonts w:hint="eastAsia"/>
          <w:color w:val="auto"/>
          <w:lang w:val="en-US" w:eastAsia="zh-CN"/>
        </w:rPr>
        <w:t>3</w:t>
      </w:r>
      <w:r>
        <w:rPr>
          <w:rFonts w:hint="eastAsia"/>
          <w:color w:val="auto"/>
          <w:lang w:eastAsia="zh-CN"/>
        </w:rPr>
        <w:t>人，全部持证上岗，符合规范要求；尾矿库勘察、设计、评价均由有资质单位承担，符合相关规范要求；尾矿库有实测图纸且在有效期内，企业为尾矿库管理及作业人员办理了安全生产责任险。宜丰新庄铜铅锌矿尾矿库现场安全管理较为规范。尾矿库综合安全管理单元应得分51分，实际分</w:t>
      </w:r>
      <w:r>
        <w:rPr>
          <w:rFonts w:hint="eastAsia"/>
          <w:color w:val="auto"/>
          <w:lang w:val="en-US" w:eastAsia="zh-CN"/>
        </w:rPr>
        <w:t>43</w:t>
      </w:r>
      <w:r>
        <w:rPr>
          <w:rFonts w:hint="eastAsia"/>
          <w:color w:val="auto"/>
          <w:lang w:eastAsia="zh-CN"/>
        </w:rPr>
        <w:t>分，得分率为</w:t>
      </w:r>
      <w:r>
        <w:rPr>
          <w:rFonts w:hint="eastAsia"/>
          <w:color w:val="auto"/>
          <w:lang w:val="en-US" w:eastAsia="zh-CN"/>
        </w:rPr>
        <w:t>84.31</w:t>
      </w:r>
      <w:r>
        <w:rPr>
          <w:rFonts w:hint="eastAsia"/>
          <w:color w:val="auto"/>
          <w:lang w:eastAsia="zh-CN"/>
        </w:rPr>
        <w:t>%</w:t>
      </w:r>
      <w:r>
        <w:rPr>
          <w:rFonts w:hint="eastAsia"/>
          <w:color w:val="auto"/>
          <w:lang w:val="en-US" w:eastAsia="zh-CN"/>
        </w:rPr>
        <w:t>。</w:t>
      </w:r>
    </w:p>
    <w:p w14:paraId="47D85A13">
      <w:pPr>
        <w:bidi w:val="0"/>
        <w:rPr>
          <w:rFonts w:hint="default"/>
          <w:color w:val="auto"/>
          <w:lang w:val="en-US" w:eastAsia="zh-CN"/>
        </w:rPr>
      </w:pPr>
      <w:r>
        <w:rPr>
          <w:rFonts w:hint="eastAsia"/>
          <w:color w:val="auto"/>
          <w:lang w:eastAsia="zh-CN"/>
        </w:rPr>
        <w:t>综上所述，宜丰新庄铜铅锌矿尾矿库综合安全管理单元符合安全生产条件。江西省宜丰万国矿业有限公司应</w:t>
      </w:r>
      <w:r>
        <w:rPr>
          <w:rFonts w:hint="eastAsia"/>
          <w:color w:val="auto"/>
          <w:lang w:val="en-US" w:eastAsia="zh-CN"/>
        </w:rPr>
        <w:t>完善有关规章制度。</w:t>
      </w:r>
    </w:p>
    <w:p w14:paraId="7226B418">
      <w:pPr>
        <w:pStyle w:val="3"/>
        <w:bidi w:val="0"/>
        <w:rPr>
          <w:rFonts w:hint="eastAsia"/>
          <w:color w:val="auto"/>
          <w:lang w:eastAsia="zh-CN"/>
        </w:rPr>
      </w:pPr>
      <w:bookmarkStart w:id="393" w:name="_Toc16700"/>
      <w:bookmarkStart w:id="394" w:name="_Toc21088"/>
      <w:bookmarkStart w:id="395" w:name="_Toc3825"/>
      <w:bookmarkStart w:id="396" w:name="_Toc499"/>
      <w:bookmarkStart w:id="397" w:name="_Toc30259"/>
      <w:bookmarkStart w:id="398" w:name="_Toc22364"/>
      <w:bookmarkStart w:id="399" w:name="_Toc25306"/>
      <w:r>
        <w:rPr>
          <w:rFonts w:hint="eastAsia"/>
          <w:color w:val="auto"/>
          <w:lang w:eastAsia="zh-CN"/>
        </w:rPr>
        <w:t>5.2</w:t>
      </w:r>
      <w:r>
        <w:rPr>
          <w:rFonts w:hint="eastAsia"/>
          <w:color w:val="auto"/>
          <w:lang w:val="en-US" w:eastAsia="zh-CN"/>
        </w:rPr>
        <w:t xml:space="preserve"> </w:t>
      </w:r>
      <w:r>
        <w:rPr>
          <w:rFonts w:hint="eastAsia"/>
          <w:color w:val="auto"/>
          <w:lang w:eastAsia="zh-CN"/>
        </w:rPr>
        <w:t>尾矿坝体单元</w:t>
      </w:r>
      <w:bookmarkEnd w:id="393"/>
      <w:bookmarkEnd w:id="394"/>
      <w:bookmarkEnd w:id="395"/>
      <w:bookmarkEnd w:id="396"/>
      <w:bookmarkEnd w:id="397"/>
      <w:bookmarkEnd w:id="398"/>
      <w:bookmarkEnd w:id="399"/>
    </w:p>
    <w:p w14:paraId="2CF4550D">
      <w:pPr>
        <w:pStyle w:val="4"/>
        <w:bidi w:val="0"/>
        <w:rPr>
          <w:rFonts w:hint="eastAsia"/>
          <w:color w:val="auto"/>
          <w:lang w:eastAsia="zh-CN"/>
        </w:rPr>
      </w:pPr>
      <w:bookmarkStart w:id="400" w:name="_Toc29952"/>
      <w:bookmarkStart w:id="401" w:name="_Toc6112"/>
      <w:bookmarkStart w:id="402" w:name="_Toc10518"/>
      <w:bookmarkStart w:id="403" w:name="_Toc9824"/>
      <w:bookmarkStart w:id="404" w:name="_Toc428"/>
      <w:bookmarkStart w:id="405" w:name="_Toc17723"/>
      <w:bookmarkStart w:id="406" w:name="_Toc11171"/>
      <w:r>
        <w:rPr>
          <w:rFonts w:hint="eastAsia"/>
          <w:color w:val="auto"/>
          <w:lang w:eastAsia="zh-CN"/>
        </w:rPr>
        <w:t>5.2.1</w:t>
      </w:r>
      <w:r>
        <w:rPr>
          <w:rFonts w:hint="eastAsia"/>
          <w:color w:val="auto"/>
          <w:lang w:val="en-US" w:eastAsia="zh-CN"/>
        </w:rPr>
        <w:t xml:space="preserve"> </w:t>
      </w:r>
      <w:r>
        <w:rPr>
          <w:rFonts w:hint="eastAsia"/>
          <w:color w:val="auto"/>
          <w:lang w:eastAsia="zh-CN"/>
        </w:rPr>
        <w:t>安全检查表评价</w:t>
      </w:r>
      <w:bookmarkEnd w:id="400"/>
      <w:bookmarkEnd w:id="401"/>
      <w:bookmarkEnd w:id="402"/>
      <w:bookmarkEnd w:id="403"/>
      <w:bookmarkEnd w:id="404"/>
      <w:bookmarkEnd w:id="405"/>
      <w:bookmarkEnd w:id="406"/>
    </w:p>
    <w:p w14:paraId="70A87115">
      <w:pPr>
        <w:bidi w:val="0"/>
        <w:rPr>
          <w:rFonts w:hint="eastAsia" w:eastAsia="宋体"/>
          <w:color w:val="auto"/>
          <w:lang w:eastAsia="zh-CN"/>
        </w:rPr>
      </w:pPr>
      <w:r>
        <w:rPr>
          <w:rFonts w:hint="eastAsia" w:eastAsia="宋体"/>
          <w:color w:val="auto"/>
          <w:lang w:eastAsia="zh-CN"/>
        </w:rPr>
        <w:t>运用《江西省尾矿库安全检查表》对</w:t>
      </w:r>
      <w:r>
        <w:rPr>
          <w:rFonts w:hint="eastAsia"/>
          <w:color w:val="auto"/>
          <w:lang w:eastAsia="zh-CN"/>
        </w:rPr>
        <w:t>宜丰新庄铜铅锌矿尾矿库</w:t>
      </w:r>
      <w:r>
        <w:rPr>
          <w:rFonts w:hint="eastAsia" w:eastAsia="宋体"/>
          <w:color w:val="auto"/>
          <w:lang w:eastAsia="zh-CN"/>
        </w:rPr>
        <w:t>坝体现状进行评判，对其安全性进行评述，具体见表5</w:t>
      </w:r>
      <w:r>
        <w:rPr>
          <w:rFonts w:hint="eastAsia"/>
          <w:color w:val="auto"/>
          <w:lang w:val="en-US" w:eastAsia="zh-CN"/>
        </w:rPr>
        <w:t>.2</w:t>
      </w:r>
      <w:r>
        <w:rPr>
          <w:rFonts w:hint="eastAsia" w:eastAsia="宋体"/>
          <w:color w:val="auto"/>
          <w:lang w:eastAsia="zh-CN"/>
        </w:rPr>
        <w:t>-</w:t>
      </w:r>
      <w:r>
        <w:rPr>
          <w:rFonts w:hint="eastAsia"/>
          <w:color w:val="auto"/>
          <w:lang w:val="en-US" w:eastAsia="zh-CN"/>
        </w:rPr>
        <w:t>1</w:t>
      </w:r>
      <w:r>
        <w:rPr>
          <w:rFonts w:hint="eastAsia" w:eastAsia="宋体"/>
          <w:color w:val="auto"/>
          <w:lang w:eastAsia="zh-CN"/>
        </w:rPr>
        <w:t>。</w:t>
      </w:r>
    </w:p>
    <w:p w14:paraId="12B5CDD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Times New Roman" w:eastAsia="宋体"/>
          <w:color w:val="auto"/>
          <w:lang w:val="en-US" w:eastAsia="zh-CN"/>
        </w:rPr>
      </w:pPr>
      <w:r>
        <w:rPr>
          <w:rFonts w:hint="eastAsia" w:eastAsia="宋体"/>
          <w:color w:val="auto"/>
          <w:lang w:val="en-US" w:eastAsia="zh-CN"/>
        </w:rPr>
        <w:t>表</w:t>
      </w:r>
      <w:r>
        <w:rPr>
          <w:rFonts w:hint="eastAsia" w:eastAsia="宋体"/>
          <w:color w:val="auto"/>
          <w:lang w:eastAsia="zh-CN"/>
        </w:rPr>
        <w:t>5</w:t>
      </w:r>
      <w:r>
        <w:rPr>
          <w:rFonts w:hint="eastAsia"/>
          <w:color w:val="auto"/>
          <w:lang w:val="en-US" w:eastAsia="zh-CN"/>
        </w:rPr>
        <w:t>.2</w:t>
      </w:r>
      <w:r>
        <w:rPr>
          <w:rFonts w:hint="eastAsia" w:eastAsia="宋体"/>
          <w:color w:val="auto"/>
          <w:lang w:eastAsia="zh-CN"/>
        </w:rPr>
        <w:t>-</w:t>
      </w:r>
      <w:r>
        <w:rPr>
          <w:rFonts w:hint="eastAsia"/>
          <w:color w:val="auto"/>
          <w:lang w:val="en-US" w:eastAsia="zh-CN"/>
        </w:rPr>
        <w:t>1</w:t>
      </w:r>
      <w:r>
        <w:rPr>
          <w:rFonts w:hint="eastAsia" w:ascii="Times New Roman" w:eastAsia="宋体"/>
          <w:color w:val="auto"/>
          <w:lang w:val="en-US" w:eastAsia="zh-CN"/>
        </w:rPr>
        <w:t xml:space="preserve"> 尾矿坝体安全检查表</w:t>
      </w:r>
    </w:p>
    <w:tbl>
      <w:tblPr>
        <w:tblStyle w:val="20"/>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510"/>
        <w:gridCol w:w="300"/>
        <w:gridCol w:w="2929"/>
        <w:gridCol w:w="1055"/>
        <w:gridCol w:w="999"/>
        <w:gridCol w:w="1114"/>
        <w:gridCol w:w="544"/>
        <w:gridCol w:w="751"/>
        <w:gridCol w:w="775"/>
      </w:tblGrid>
      <w:tr w14:paraId="2C28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2" w:hRule="atLeast"/>
          <w:jc w:val="center"/>
        </w:trPr>
        <w:tc>
          <w:tcPr>
            <w:tcW w:w="810" w:type="dxa"/>
            <w:gridSpan w:val="2"/>
            <w:noWrap w:val="0"/>
            <w:vAlign w:val="center"/>
          </w:tcPr>
          <w:p w14:paraId="4CDB1C6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项目</w:t>
            </w:r>
          </w:p>
        </w:tc>
        <w:tc>
          <w:tcPr>
            <w:tcW w:w="2929" w:type="dxa"/>
            <w:noWrap w:val="0"/>
            <w:vAlign w:val="center"/>
          </w:tcPr>
          <w:p w14:paraId="7E11C28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检查内容</w:t>
            </w:r>
          </w:p>
        </w:tc>
        <w:tc>
          <w:tcPr>
            <w:tcW w:w="1055" w:type="dxa"/>
            <w:noWrap w:val="0"/>
            <w:vAlign w:val="center"/>
          </w:tcPr>
          <w:p w14:paraId="407CFBF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检查依据</w:t>
            </w:r>
          </w:p>
        </w:tc>
        <w:tc>
          <w:tcPr>
            <w:tcW w:w="999" w:type="dxa"/>
            <w:noWrap w:val="0"/>
            <w:vAlign w:val="center"/>
          </w:tcPr>
          <w:p w14:paraId="3A010AE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检查方法及地点</w:t>
            </w:r>
          </w:p>
        </w:tc>
        <w:tc>
          <w:tcPr>
            <w:tcW w:w="1114" w:type="dxa"/>
            <w:noWrap w:val="0"/>
            <w:vAlign w:val="center"/>
          </w:tcPr>
          <w:p w14:paraId="314C59B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w:t>
            </w:r>
          </w:p>
          <w:p w14:paraId="2F9EAC4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记录</w:t>
            </w:r>
          </w:p>
        </w:tc>
        <w:tc>
          <w:tcPr>
            <w:tcW w:w="544" w:type="dxa"/>
            <w:noWrap w:val="0"/>
            <w:vAlign w:val="center"/>
          </w:tcPr>
          <w:p w14:paraId="2123143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p w14:paraId="2EFADC3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分值</w:t>
            </w:r>
          </w:p>
        </w:tc>
        <w:tc>
          <w:tcPr>
            <w:tcW w:w="751" w:type="dxa"/>
            <w:noWrap w:val="0"/>
            <w:vAlign w:val="center"/>
          </w:tcPr>
          <w:p w14:paraId="09C81F5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评分</w:t>
            </w:r>
          </w:p>
          <w:p w14:paraId="60DC3DF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tc>
        <w:tc>
          <w:tcPr>
            <w:tcW w:w="775" w:type="dxa"/>
            <w:noWrap w:val="0"/>
            <w:vAlign w:val="center"/>
          </w:tcPr>
          <w:p w14:paraId="5687673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得分</w:t>
            </w:r>
          </w:p>
        </w:tc>
      </w:tr>
      <w:tr w14:paraId="3EAB1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78" w:hRule="atLeast"/>
          <w:jc w:val="center"/>
        </w:trPr>
        <w:tc>
          <w:tcPr>
            <w:tcW w:w="510" w:type="dxa"/>
            <w:vMerge w:val="restart"/>
            <w:noWrap w:val="0"/>
            <w:vAlign w:val="center"/>
          </w:tcPr>
          <w:p w14:paraId="7CC85EC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初期坝、拦挡坝、堆积坝、副坝、拦水坝坝体和排水棱体</w:t>
            </w:r>
          </w:p>
          <w:p w14:paraId="5C4B3E8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p>
          <w:p w14:paraId="68677A6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br w:type="page"/>
            </w:r>
          </w:p>
        </w:tc>
        <w:tc>
          <w:tcPr>
            <w:tcW w:w="300" w:type="dxa"/>
            <w:vMerge w:val="restart"/>
            <w:noWrap w:val="0"/>
            <w:vAlign w:val="center"/>
          </w:tcPr>
          <w:p w14:paraId="5976A95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坝</w:t>
            </w:r>
          </w:p>
          <w:p w14:paraId="7084480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体</w:t>
            </w:r>
          </w:p>
        </w:tc>
        <w:tc>
          <w:tcPr>
            <w:tcW w:w="2929" w:type="dxa"/>
            <w:noWrap w:val="0"/>
            <w:vAlign w:val="center"/>
          </w:tcPr>
          <w:p w14:paraId="7BE7D7C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1.初期坝、拦挡坝、堆积坝、副坝、拦水坝坝体和排水棱体</w:t>
            </w:r>
          </w:p>
          <w:p w14:paraId="767D16E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1.1顶高程必须符合设计要求</w:t>
            </w:r>
          </w:p>
          <w:p w14:paraId="4B9D3FD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1.2顶宽度必须符合设计要求</w:t>
            </w:r>
          </w:p>
          <w:p w14:paraId="3BB0D96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1.3筑坝材料必须符合设计要求</w:t>
            </w:r>
          </w:p>
          <w:p w14:paraId="43DB5DA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1.4内外坡比必须符合设计要求，当坝坡陡于设计值时，其稳定性必须符合规范要求</w:t>
            </w:r>
          </w:p>
        </w:tc>
        <w:tc>
          <w:tcPr>
            <w:tcW w:w="1055" w:type="dxa"/>
            <w:noWrap w:val="0"/>
            <w:vAlign w:val="center"/>
          </w:tcPr>
          <w:p w14:paraId="22ECC10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《尾矿库安全规程》第5.6.2、6.1.5、6.1.6条</w:t>
            </w:r>
          </w:p>
        </w:tc>
        <w:tc>
          <w:tcPr>
            <w:tcW w:w="999" w:type="dxa"/>
            <w:noWrap w:val="0"/>
            <w:vAlign w:val="center"/>
          </w:tcPr>
          <w:p w14:paraId="2DEFEFA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对照设计、稳定性分析文件查现场</w:t>
            </w:r>
          </w:p>
        </w:tc>
        <w:tc>
          <w:tcPr>
            <w:tcW w:w="1114" w:type="dxa"/>
            <w:noWrap w:val="0"/>
            <w:vAlign w:val="center"/>
          </w:tcPr>
          <w:p w14:paraId="5093328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坝顶高程、顶宽、筑坝材料、内外坡比均与设计一致，符合要求</w:t>
            </w:r>
          </w:p>
        </w:tc>
        <w:tc>
          <w:tcPr>
            <w:tcW w:w="544" w:type="dxa"/>
            <w:noWrap w:val="0"/>
            <w:vAlign w:val="center"/>
          </w:tcPr>
          <w:p w14:paraId="394640C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8</w:t>
            </w:r>
          </w:p>
        </w:tc>
        <w:tc>
          <w:tcPr>
            <w:tcW w:w="751" w:type="dxa"/>
            <w:noWrap w:val="0"/>
            <w:vAlign w:val="center"/>
          </w:tcPr>
          <w:p w14:paraId="2FEF107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任1项</w:t>
            </w:r>
          </w:p>
          <w:p w14:paraId="51CAE39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454B05B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就不得分</w:t>
            </w:r>
          </w:p>
        </w:tc>
        <w:tc>
          <w:tcPr>
            <w:tcW w:w="775" w:type="dxa"/>
            <w:noWrap w:val="0"/>
            <w:vAlign w:val="center"/>
          </w:tcPr>
          <w:p w14:paraId="40B98D6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8</w:t>
            </w:r>
          </w:p>
        </w:tc>
      </w:tr>
      <w:tr w14:paraId="0C691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jc w:val="center"/>
        </w:trPr>
        <w:tc>
          <w:tcPr>
            <w:tcW w:w="510" w:type="dxa"/>
            <w:vMerge w:val="continue"/>
            <w:noWrap w:val="0"/>
            <w:vAlign w:val="center"/>
          </w:tcPr>
          <w:p w14:paraId="6353E73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4A153D2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54D64C3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1.5坝体出现贯穿性横向裂缝，且出现较大范围管涌、流土变形，坝体出现深层滑动迹象。</w:t>
            </w:r>
          </w:p>
        </w:tc>
        <w:tc>
          <w:tcPr>
            <w:tcW w:w="1055" w:type="dxa"/>
            <w:vMerge w:val="restart"/>
            <w:noWrap w:val="0"/>
            <w:vAlign w:val="center"/>
          </w:tcPr>
          <w:p w14:paraId="3919D68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999" w:type="dxa"/>
            <w:noWrap w:val="0"/>
            <w:vAlign w:val="center"/>
          </w:tcPr>
          <w:p w14:paraId="4D189D0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61DB3AA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无此现象</w:t>
            </w:r>
          </w:p>
        </w:tc>
        <w:tc>
          <w:tcPr>
            <w:tcW w:w="544" w:type="dxa"/>
            <w:vMerge w:val="restart"/>
            <w:noWrap w:val="0"/>
            <w:vAlign w:val="center"/>
          </w:tcPr>
          <w:p w14:paraId="08BA0D2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重大险情</w:t>
            </w:r>
          </w:p>
        </w:tc>
        <w:tc>
          <w:tcPr>
            <w:tcW w:w="751" w:type="dxa"/>
            <w:noWrap w:val="0"/>
            <w:vAlign w:val="center"/>
          </w:tcPr>
          <w:p w14:paraId="1DC9FC5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1E82BFE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C644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3" w:hRule="atLeast"/>
          <w:jc w:val="center"/>
        </w:trPr>
        <w:tc>
          <w:tcPr>
            <w:tcW w:w="510" w:type="dxa"/>
            <w:vMerge w:val="continue"/>
            <w:noWrap w:val="0"/>
            <w:vAlign w:val="center"/>
          </w:tcPr>
          <w:p w14:paraId="2E0831D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46EE5FC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3952C42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1.6经验算，坝体抗滑稳定最小安全系数小于规范值的0.95。</w:t>
            </w:r>
          </w:p>
        </w:tc>
        <w:tc>
          <w:tcPr>
            <w:tcW w:w="1055" w:type="dxa"/>
            <w:vMerge w:val="continue"/>
            <w:noWrap w:val="0"/>
            <w:vAlign w:val="center"/>
          </w:tcPr>
          <w:p w14:paraId="5E26014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0894344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查稳定性分析文件</w:t>
            </w:r>
          </w:p>
        </w:tc>
        <w:tc>
          <w:tcPr>
            <w:tcW w:w="1114" w:type="dxa"/>
            <w:noWrap w:val="0"/>
            <w:vAlign w:val="center"/>
          </w:tcPr>
          <w:p w14:paraId="6796FD3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大于规范值</w:t>
            </w:r>
          </w:p>
        </w:tc>
        <w:tc>
          <w:tcPr>
            <w:tcW w:w="544" w:type="dxa"/>
            <w:vMerge w:val="continue"/>
            <w:noWrap w:val="0"/>
            <w:vAlign w:val="center"/>
          </w:tcPr>
          <w:p w14:paraId="61B55C2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4CE1ACC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0BD1937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56C2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9" w:hRule="atLeast"/>
          <w:jc w:val="center"/>
        </w:trPr>
        <w:tc>
          <w:tcPr>
            <w:tcW w:w="510" w:type="dxa"/>
            <w:vMerge w:val="continue"/>
            <w:noWrap w:val="0"/>
            <w:vAlign w:val="center"/>
          </w:tcPr>
          <w:p w14:paraId="010DFFF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59ABE3E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2B49AF0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1.7坝体出现浅层滑动迹象。</w:t>
            </w:r>
          </w:p>
        </w:tc>
        <w:tc>
          <w:tcPr>
            <w:tcW w:w="1055" w:type="dxa"/>
            <w:vMerge w:val="restart"/>
            <w:noWrap w:val="0"/>
            <w:vAlign w:val="center"/>
          </w:tcPr>
          <w:p w14:paraId="1AE688D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999" w:type="dxa"/>
            <w:noWrap w:val="0"/>
            <w:vAlign w:val="center"/>
          </w:tcPr>
          <w:p w14:paraId="075C12E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6976780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w:t>
            </w:r>
          </w:p>
        </w:tc>
        <w:tc>
          <w:tcPr>
            <w:tcW w:w="544" w:type="dxa"/>
            <w:vMerge w:val="restart"/>
            <w:noWrap w:val="0"/>
            <w:vAlign w:val="center"/>
          </w:tcPr>
          <w:p w14:paraId="472CAB9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重大隐患</w:t>
            </w:r>
          </w:p>
        </w:tc>
        <w:tc>
          <w:tcPr>
            <w:tcW w:w="751" w:type="dxa"/>
            <w:noWrap w:val="0"/>
            <w:vAlign w:val="center"/>
          </w:tcPr>
          <w:p w14:paraId="7602D34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6FBA3CF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573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7" w:hRule="atLeast"/>
          <w:jc w:val="center"/>
        </w:trPr>
        <w:tc>
          <w:tcPr>
            <w:tcW w:w="510" w:type="dxa"/>
            <w:vMerge w:val="continue"/>
            <w:noWrap w:val="0"/>
            <w:vAlign w:val="center"/>
          </w:tcPr>
          <w:p w14:paraId="595FF3E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16B528C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3BB0D36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1.8经验算，坝体抗滑稳定最小安全系数小于规范值的0.98。</w:t>
            </w:r>
          </w:p>
        </w:tc>
        <w:tc>
          <w:tcPr>
            <w:tcW w:w="1055" w:type="dxa"/>
            <w:vMerge w:val="continue"/>
            <w:noWrap w:val="0"/>
            <w:vAlign w:val="center"/>
          </w:tcPr>
          <w:p w14:paraId="015B0E0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4B2F4F1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查稳定性分析文件</w:t>
            </w:r>
          </w:p>
        </w:tc>
        <w:tc>
          <w:tcPr>
            <w:tcW w:w="1114" w:type="dxa"/>
            <w:noWrap w:val="0"/>
            <w:vAlign w:val="center"/>
          </w:tcPr>
          <w:p w14:paraId="5AE7E9C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无此现象</w:t>
            </w:r>
          </w:p>
        </w:tc>
        <w:tc>
          <w:tcPr>
            <w:tcW w:w="544" w:type="dxa"/>
            <w:vMerge w:val="continue"/>
            <w:noWrap w:val="0"/>
            <w:vAlign w:val="center"/>
          </w:tcPr>
          <w:p w14:paraId="3823DCD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6B77890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43133C9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74080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510" w:type="dxa"/>
            <w:vMerge w:val="continue"/>
            <w:noWrap w:val="0"/>
            <w:vAlign w:val="center"/>
          </w:tcPr>
          <w:p w14:paraId="66F683A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2644E57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0F59852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1.9坝体出现大面积纵向裂缝，且出现较大范围渗透水高位出逸，出现大面积沼泽化。</w:t>
            </w:r>
          </w:p>
        </w:tc>
        <w:tc>
          <w:tcPr>
            <w:tcW w:w="1055" w:type="dxa"/>
            <w:vMerge w:val="continue"/>
            <w:noWrap w:val="0"/>
            <w:vAlign w:val="center"/>
          </w:tcPr>
          <w:p w14:paraId="47B4A68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6BD9BB7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7E49365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大于规范值</w:t>
            </w:r>
          </w:p>
        </w:tc>
        <w:tc>
          <w:tcPr>
            <w:tcW w:w="544" w:type="dxa"/>
            <w:vMerge w:val="continue"/>
            <w:noWrap w:val="0"/>
            <w:vAlign w:val="center"/>
          </w:tcPr>
          <w:p w14:paraId="05E1A92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7877DFA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76929EF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7064F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510" w:type="dxa"/>
            <w:vMerge w:val="continue"/>
            <w:noWrap w:val="0"/>
            <w:vAlign w:val="center"/>
          </w:tcPr>
          <w:p w14:paraId="2FD9D2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2A6D45F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02B211A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1.10经验算，坝体抗滑稳定最小安全系数满足规范规定值，但部分高程上堆积边坡过陡，可能出现局部失稳。</w:t>
            </w:r>
          </w:p>
        </w:tc>
        <w:tc>
          <w:tcPr>
            <w:tcW w:w="1055" w:type="dxa"/>
            <w:vMerge w:val="continue"/>
            <w:noWrap w:val="0"/>
            <w:vAlign w:val="center"/>
          </w:tcPr>
          <w:p w14:paraId="081F049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562E540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查稳定分析文件和现场</w:t>
            </w:r>
          </w:p>
        </w:tc>
        <w:tc>
          <w:tcPr>
            <w:tcW w:w="1114" w:type="dxa"/>
            <w:noWrap w:val="0"/>
            <w:vAlign w:val="center"/>
          </w:tcPr>
          <w:p w14:paraId="6D96D9C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无此现象</w:t>
            </w:r>
          </w:p>
        </w:tc>
        <w:tc>
          <w:tcPr>
            <w:tcW w:w="544" w:type="dxa"/>
            <w:noWrap w:val="0"/>
            <w:vAlign w:val="center"/>
          </w:tcPr>
          <w:p w14:paraId="261FAA2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一般隐患</w:t>
            </w:r>
          </w:p>
        </w:tc>
        <w:tc>
          <w:tcPr>
            <w:tcW w:w="751" w:type="dxa"/>
            <w:noWrap w:val="0"/>
            <w:vAlign w:val="center"/>
          </w:tcPr>
          <w:p w14:paraId="2354DBF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71C86F6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436C7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4" w:hRule="atLeast"/>
          <w:jc w:val="center"/>
        </w:trPr>
        <w:tc>
          <w:tcPr>
            <w:tcW w:w="510" w:type="dxa"/>
            <w:vMerge w:val="restart"/>
            <w:noWrap w:val="0"/>
            <w:vAlign w:val="center"/>
          </w:tcPr>
          <w:p w14:paraId="3699DD5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restart"/>
            <w:noWrap w:val="0"/>
            <w:vAlign w:val="center"/>
          </w:tcPr>
          <w:p w14:paraId="4AA423C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堆积坝</w:t>
            </w:r>
          </w:p>
        </w:tc>
        <w:tc>
          <w:tcPr>
            <w:tcW w:w="2929" w:type="dxa"/>
            <w:noWrap w:val="0"/>
            <w:vAlign w:val="center"/>
          </w:tcPr>
          <w:p w14:paraId="652E3B2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2.1坝体应设位移、沉降和浸润线观测设施。</w:t>
            </w:r>
          </w:p>
        </w:tc>
        <w:tc>
          <w:tcPr>
            <w:tcW w:w="1055" w:type="dxa"/>
            <w:noWrap w:val="0"/>
            <w:vAlign w:val="center"/>
          </w:tcPr>
          <w:p w14:paraId="3899F95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《尾矿库安全规程》第5.5.2条</w:t>
            </w:r>
          </w:p>
        </w:tc>
        <w:tc>
          <w:tcPr>
            <w:tcW w:w="999" w:type="dxa"/>
            <w:noWrap w:val="0"/>
            <w:vAlign w:val="center"/>
          </w:tcPr>
          <w:p w14:paraId="5A36C0A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对照</w:t>
            </w:r>
            <w:r>
              <w:rPr>
                <w:rFonts w:hint="default" w:ascii="Times New Roman" w:hAnsi="Times New Roman" w:eastAsia="宋体" w:cs="Times New Roman"/>
                <w:color w:val="auto"/>
                <w:kern w:val="0"/>
                <w:sz w:val="21"/>
                <w:szCs w:val="21"/>
                <w:lang w:val="zh-CN"/>
              </w:rPr>
              <w:t>设计</w:t>
            </w:r>
          </w:p>
          <w:p w14:paraId="5AF2DF4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6118A9D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544" w:type="dxa"/>
            <w:noWrap w:val="0"/>
            <w:vAlign w:val="center"/>
          </w:tcPr>
          <w:p w14:paraId="7029C04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751" w:type="dxa"/>
            <w:noWrap w:val="0"/>
            <w:vAlign w:val="center"/>
          </w:tcPr>
          <w:p w14:paraId="5CE8801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49B4DCC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775" w:type="dxa"/>
            <w:noWrap w:val="0"/>
            <w:vAlign w:val="center"/>
          </w:tcPr>
          <w:p w14:paraId="3D2AD88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r>
      <w:tr w14:paraId="611D3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1" w:hRule="atLeast"/>
          <w:jc w:val="center"/>
        </w:trPr>
        <w:tc>
          <w:tcPr>
            <w:tcW w:w="510" w:type="dxa"/>
            <w:vMerge w:val="continue"/>
            <w:noWrap w:val="0"/>
            <w:vAlign w:val="center"/>
          </w:tcPr>
          <w:p w14:paraId="70171F3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711BBEC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35879D2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2.2浸润线位置局部过高，有渗透水逸出，坝面局部出现沼泽化。</w:t>
            </w:r>
          </w:p>
        </w:tc>
        <w:tc>
          <w:tcPr>
            <w:tcW w:w="1055" w:type="dxa"/>
            <w:vMerge w:val="restart"/>
            <w:noWrap w:val="0"/>
            <w:vAlign w:val="center"/>
          </w:tcPr>
          <w:p w14:paraId="204E16F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《尾矿库安全规程》第6.9条</w:t>
            </w:r>
          </w:p>
        </w:tc>
        <w:tc>
          <w:tcPr>
            <w:tcW w:w="999" w:type="dxa"/>
            <w:noWrap w:val="0"/>
            <w:vAlign w:val="center"/>
          </w:tcPr>
          <w:p w14:paraId="37BE1FA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查观测</w:t>
            </w:r>
          </w:p>
          <w:p w14:paraId="36BBB4D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记录、现场</w:t>
            </w:r>
          </w:p>
        </w:tc>
        <w:tc>
          <w:tcPr>
            <w:tcW w:w="1114" w:type="dxa"/>
            <w:noWrap w:val="0"/>
            <w:vAlign w:val="center"/>
          </w:tcPr>
          <w:p w14:paraId="7072036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无此现象</w:t>
            </w:r>
          </w:p>
        </w:tc>
        <w:tc>
          <w:tcPr>
            <w:tcW w:w="544" w:type="dxa"/>
            <w:vMerge w:val="restart"/>
            <w:noWrap w:val="0"/>
            <w:vAlign w:val="center"/>
          </w:tcPr>
          <w:p w14:paraId="488356F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一般隐患</w:t>
            </w:r>
          </w:p>
        </w:tc>
        <w:tc>
          <w:tcPr>
            <w:tcW w:w="751" w:type="dxa"/>
            <w:noWrap w:val="0"/>
            <w:vAlign w:val="center"/>
          </w:tcPr>
          <w:p w14:paraId="73C6927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437E07C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正常库</w:t>
            </w:r>
          </w:p>
        </w:tc>
      </w:tr>
      <w:tr w14:paraId="025D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1" w:hRule="atLeast"/>
          <w:jc w:val="center"/>
        </w:trPr>
        <w:tc>
          <w:tcPr>
            <w:tcW w:w="510" w:type="dxa"/>
            <w:vMerge w:val="continue"/>
            <w:noWrap w:val="0"/>
            <w:vAlign w:val="center"/>
          </w:tcPr>
          <w:p w14:paraId="3DCBBA8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3EF510C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291AA1F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2.3坝面出现纵向或横向裂缝。</w:t>
            </w:r>
          </w:p>
        </w:tc>
        <w:tc>
          <w:tcPr>
            <w:tcW w:w="1055" w:type="dxa"/>
            <w:vMerge w:val="continue"/>
            <w:noWrap w:val="0"/>
            <w:vAlign w:val="center"/>
          </w:tcPr>
          <w:p w14:paraId="2B60B2A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2EF1928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2B8AFDB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无裂缝</w:t>
            </w:r>
          </w:p>
        </w:tc>
        <w:tc>
          <w:tcPr>
            <w:tcW w:w="544" w:type="dxa"/>
            <w:vMerge w:val="continue"/>
            <w:noWrap w:val="0"/>
            <w:vAlign w:val="center"/>
          </w:tcPr>
          <w:p w14:paraId="5797A67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465A09D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7D1CA44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正常库</w:t>
            </w:r>
          </w:p>
        </w:tc>
      </w:tr>
      <w:tr w14:paraId="20C3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7" w:hRule="atLeast"/>
          <w:jc w:val="center"/>
        </w:trPr>
        <w:tc>
          <w:tcPr>
            <w:tcW w:w="510" w:type="dxa"/>
            <w:vMerge w:val="continue"/>
            <w:noWrap w:val="0"/>
            <w:vAlign w:val="center"/>
          </w:tcPr>
          <w:p w14:paraId="35BC402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3492E68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28E0186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2.4马道的高程、宽度必须符合设计要求。</w:t>
            </w:r>
          </w:p>
        </w:tc>
        <w:tc>
          <w:tcPr>
            <w:tcW w:w="1055" w:type="dxa"/>
            <w:vMerge w:val="restart"/>
            <w:noWrap w:val="0"/>
            <w:vAlign w:val="center"/>
          </w:tcPr>
          <w:p w14:paraId="1FD0AC1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《尾矿设施设计规范》第4.5.5、4.5.7条，《尾矿库安全规程》第5.3.20条</w:t>
            </w:r>
          </w:p>
        </w:tc>
        <w:tc>
          <w:tcPr>
            <w:tcW w:w="999" w:type="dxa"/>
            <w:vMerge w:val="restart"/>
            <w:noWrap w:val="0"/>
            <w:vAlign w:val="center"/>
          </w:tcPr>
          <w:p w14:paraId="261EDC0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1114" w:type="dxa"/>
            <w:noWrap w:val="0"/>
            <w:vAlign w:val="center"/>
          </w:tcPr>
          <w:p w14:paraId="4D1887F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hAnsi="Times New Roman" w:cs="Times New Roman"/>
                <w:color w:val="auto"/>
                <w:kern w:val="0"/>
                <w:sz w:val="21"/>
                <w:szCs w:val="21"/>
                <w:lang w:val="en-US" w:eastAsia="zh-CN"/>
              </w:rPr>
              <w:t>符合</w:t>
            </w:r>
          </w:p>
        </w:tc>
        <w:tc>
          <w:tcPr>
            <w:tcW w:w="544" w:type="dxa"/>
            <w:noWrap w:val="0"/>
            <w:vAlign w:val="center"/>
          </w:tcPr>
          <w:p w14:paraId="42AE1B1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zh-CN"/>
              </w:rPr>
              <w:t>4</w:t>
            </w:r>
          </w:p>
        </w:tc>
        <w:tc>
          <w:tcPr>
            <w:tcW w:w="751" w:type="dxa"/>
            <w:vMerge w:val="restart"/>
            <w:noWrap w:val="0"/>
            <w:vAlign w:val="center"/>
          </w:tcPr>
          <w:p w14:paraId="665EC02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textAlignment w:val="auto"/>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不符合</w:t>
            </w:r>
          </w:p>
          <w:p w14:paraId="67A4E63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zh-CN"/>
              </w:rPr>
              <w:t>不得分</w:t>
            </w:r>
          </w:p>
        </w:tc>
        <w:tc>
          <w:tcPr>
            <w:tcW w:w="775" w:type="dxa"/>
            <w:noWrap w:val="0"/>
            <w:vAlign w:val="center"/>
          </w:tcPr>
          <w:p w14:paraId="708AE28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4</w:t>
            </w:r>
          </w:p>
        </w:tc>
      </w:tr>
      <w:tr w14:paraId="76EE6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4" w:hRule="atLeast"/>
          <w:jc w:val="center"/>
        </w:trPr>
        <w:tc>
          <w:tcPr>
            <w:tcW w:w="510" w:type="dxa"/>
            <w:vMerge w:val="continue"/>
            <w:noWrap w:val="0"/>
            <w:vAlign w:val="center"/>
          </w:tcPr>
          <w:p w14:paraId="494898A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5BA49D5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1618D04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2.5坝面排水沟的数量、尺寸必须符合设计要求，并保持畅通。</w:t>
            </w:r>
          </w:p>
        </w:tc>
        <w:tc>
          <w:tcPr>
            <w:tcW w:w="1055" w:type="dxa"/>
            <w:vMerge w:val="continue"/>
            <w:noWrap w:val="0"/>
            <w:vAlign w:val="center"/>
          </w:tcPr>
          <w:p w14:paraId="221035C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vMerge w:val="continue"/>
            <w:noWrap w:val="0"/>
            <w:vAlign w:val="center"/>
          </w:tcPr>
          <w:p w14:paraId="48E41D8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114" w:type="dxa"/>
            <w:noWrap w:val="0"/>
            <w:vAlign w:val="center"/>
          </w:tcPr>
          <w:p w14:paraId="06819E5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en-US" w:eastAsia="zh-CN"/>
              </w:rPr>
              <w:t>畅通</w:t>
            </w:r>
          </w:p>
        </w:tc>
        <w:tc>
          <w:tcPr>
            <w:tcW w:w="544" w:type="dxa"/>
            <w:noWrap w:val="0"/>
            <w:vAlign w:val="center"/>
          </w:tcPr>
          <w:p w14:paraId="682A102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zh-CN"/>
              </w:rPr>
              <w:t>4</w:t>
            </w:r>
          </w:p>
        </w:tc>
        <w:tc>
          <w:tcPr>
            <w:tcW w:w="751" w:type="dxa"/>
            <w:vMerge w:val="continue"/>
            <w:noWrap w:val="0"/>
            <w:vAlign w:val="center"/>
          </w:tcPr>
          <w:p w14:paraId="0578FA2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50C6599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4</w:t>
            </w:r>
          </w:p>
        </w:tc>
      </w:tr>
      <w:tr w14:paraId="7F4C4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2" w:hRule="atLeast"/>
          <w:jc w:val="center"/>
        </w:trPr>
        <w:tc>
          <w:tcPr>
            <w:tcW w:w="510" w:type="dxa"/>
            <w:vMerge w:val="continue"/>
            <w:noWrap w:val="0"/>
            <w:vAlign w:val="center"/>
          </w:tcPr>
          <w:p w14:paraId="2B91238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043C19F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0F89E617">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2.6上游式尾矿坝的堆积坝下游坡面上，应结合排渗设施每隔6～10m高差设排水沟。</w:t>
            </w:r>
          </w:p>
        </w:tc>
        <w:tc>
          <w:tcPr>
            <w:tcW w:w="1055" w:type="dxa"/>
            <w:vMerge w:val="continue"/>
            <w:noWrap w:val="0"/>
            <w:vAlign w:val="center"/>
          </w:tcPr>
          <w:p w14:paraId="11A55D3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noWrap w:val="0"/>
            <w:vAlign w:val="center"/>
          </w:tcPr>
          <w:p w14:paraId="1E0B4F0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对照设计、规范查现场</w:t>
            </w:r>
          </w:p>
        </w:tc>
        <w:tc>
          <w:tcPr>
            <w:tcW w:w="1114" w:type="dxa"/>
            <w:noWrap w:val="0"/>
            <w:vAlign w:val="center"/>
          </w:tcPr>
          <w:p w14:paraId="527D5BE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olor w:val="auto"/>
                <w:kern w:val="0"/>
                <w:sz w:val="21"/>
                <w:szCs w:val="21"/>
                <w:lang w:val="zh-CN"/>
              </w:rPr>
              <w:t>初期坝底部和堆积坝第三级子坝坡脚均设排渗管、</w:t>
            </w:r>
            <w:r>
              <w:rPr>
                <w:rFonts w:hint="eastAsia"/>
                <w:color w:val="auto"/>
                <w:kern w:val="0"/>
                <w:sz w:val="21"/>
                <w:szCs w:val="21"/>
                <w:lang w:val="en-US" w:eastAsia="zh-CN"/>
              </w:rPr>
              <w:t>设有排渗盲沟</w:t>
            </w:r>
          </w:p>
        </w:tc>
        <w:tc>
          <w:tcPr>
            <w:tcW w:w="544" w:type="dxa"/>
            <w:noWrap w:val="0"/>
            <w:vAlign w:val="center"/>
          </w:tcPr>
          <w:p w14:paraId="5947FD0C">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zh-CN"/>
              </w:rPr>
              <w:t>3</w:t>
            </w:r>
          </w:p>
        </w:tc>
        <w:tc>
          <w:tcPr>
            <w:tcW w:w="751" w:type="dxa"/>
            <w:vMerge w:val="continue"/>
            <w:noWrap w:val="0"/>
            <w:vAlign w:val="center"/>
          </w:tcPr>
          <w:p w14:paraId="739EB3B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5C2741D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3</w:t>
            </w:r>
          </w:p>
        </w:tc>
      </w:tr>
      <w:tr w14:paraId="50AC4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2" w:hRule="atLeast"/>
          <w:jc w:val="center"/>
        </w:trPr>
        <w:tc>
          <w:tcPr>
            <w:tcW w:w="510" w:type="dxa"/>
            <w:vMerge w:val="continue"/>
            <w:noWrap w:val="0"/>
            <w:vAlign w:val="center"/>
          </w:tcPr>
          <w:p w14:paraId="301FBE9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685094B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13FA5F9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2.7坝面未按设计设置排水沟，冲蚀严重，形成较多或较大的冲沟。</w:t>
            </w:r>
          </w:p>
        </w:tc>
        <w:tc>
          <w:tcPr>
            <w:tcW w:w="1055" w:type="dxa"/>
            <w:vMerge w:val="restart"/>
            <w:noWrap w:val="0"/>
            <w:vAlign w:val="center"/>
          </w:tcPr>
          <w:p w14:paraId="5A4886C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《尾矿设施设计规范》第4.5.9条，《尾矿库安全规程》第6.9条、第5.3.20条</w:t>
            </w:r>
          </w:p>
        </w:tc>
        <w:tc>
          <w:tcPr>
            <w:tcW w:w="999" w:type="dxa"/>
            <w:noWrap w:val="0"/>
            <w:vAlign w:val="center"/>
          </w:tcPr>
          <w:p w14:paraId="13B9912E">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查现场</w:t>
            </w:r>
          </w:p>
        </w:tc>
        <w:tc>
          <w:tcPr>
            <w:tcW w:w="1114" w:type="dxa"/>
            <w:noWrap w:val="0"/>
            <w:vAlign w:val="center"/>
          </w:tcPr>
          <w:p w14:paraId="22907C5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zh-CN"/>
              </w:rPr>
              <w:t>坝面排水沟</w:t>
            </w:r>
            <w:r>
              <w:rPr>
                <w:rFonts w:hint="eastAsia" w:cs="Times New Roman"/>
                <w:color w:val="auto"/>
                <w:kern w:val="0"/>
                <w:sz w:val="21"/>
                <w:szCs w:val="21"/>
                <w:lang w:val="en-US" w:eastAsia="zh-CN"/>
              </w:rPr>
              <w:t>完好</w:t>
            </w:r>
          </w:p>
        </w:tc>
        <w:tc>
          <w:tcPr>
            <w:tcW w:w="544" w:type="dxa"/>
            <w:vMerge w:val="restart"/>
            <w:noWrap w:val="0"/>
            <w:vAlign w:val="center"/>
          </w:tcPr>
          <w:p w14:paraId="060A05E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病库</w:t>
            </w:r>
          </w:p>
        </w:tc>
        <w:tc>
          <w:tcPr>
            <w:tcW w:w="751" w:type="dxa"/>
            <w:noWrap w:val="0"/>
            <w:vAlign w:val="center"/>
          </w:tcPr>
          <w:p w14:paraId="1B20AE8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7C8E24D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zh-CN"/>
              </w:rPr>
              <w:t>正常库</w:t>
            </w:r>
          </w:p>
        </w:tc>
      </w:tr>
      <w:tr w14:paraId="4D96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2" w:hRule="atLeast"/>
          <w:jc w:val="center"/>
        </w:trPr>
        <w:tc>
          <w:tcPr>
            <w:tcW w:w="510" w:type="dxa"/>
            <w:vMerge w:val="continue"/>
            <w:noWrap w:val="0"/>
            <w:vAlign w:val="center"/>
          </w:tcPr>
          <w:p w14:paraId="00043A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28A662D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4A29A9B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2.8尾矿堆积坝下游坡与两岸山坡结合处的山坡上设置的截水沟应符合设计要求，并畅通。</w:t>
            </w:r>
          </w:p>
        </w:tc>
        <w:tc>
          <w:tcPr>
            <w:tcW w:w="1055" w:type="dxa"/>
            <w:vMerge w:val="continue"/>
            <w:noWrap w:val="0"/>
            <w:vAlign w:val="center"/>
          </w:tcPr>
          <w:p w14:paraId="68DD438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vMerge w:val="restart"/>
            <w:noWrap w:val="0"/>
            <w:vAlign w:val="center"/>
          </w:tcPr>
          <w:p w14:paraId="7FF8233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w:t>
            </w:r>
          </w:p>
          <w:p w14:paraId="56E00E7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74EAB7B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截水沟符合设计要求</w:t>
            </w:r>
          </w:p>
        </w:tc>
        <w:tc>
          <w:tcPr>
            <w:tcW w:w="544" w:type="dxa"/>
            <w:vMerge w:val="continue"/>
            <w:noWrap w:val="0"/>
            <w:vAlign w:val="center"/>
          </w:tcPr>
          <w:p w14:paraId="50DAF5E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22B0781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24BA1E5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正常库</w:t>
            </w:r>
          </w:p>
        </w:tc>
      </w:tr>
      <w:tr w14:paraId="5E95D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2" w:hRule="atLeast"/>
          <w:jc w:val="center"/>
        </w:trPr>
        <w:tc>
          <w:tcPr>
            <w:tcW w:w="510" w:type="dxa"/>
            <w:vMerge w:val="continue"/>
            <w:noWrap w:val="0"/>
            <w:vAlign w:val="center"/>
          </w:tcPr>
          <w:p w14:paraId="77114A5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035C104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548056A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2.9堆积坝外坡未按设计覆土、植被。</w:t>
            </w:r>
          </w:p>
        </w:tc>
        <w:tc>
          <w:tcPr>
            <w:tcW w:w="1055" w:type="dxa"/>
            <w:vMerge w:val="continue"/>
            <w:noWrap w:val="0"/>
            <w:vAlign w:val="center"/>
          </w:tcPr>
          <w:p w14:paraId="242E2C5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p>
        </w:tc>
        <w:tc>
          <w:tcPr>
            <w:tcW w:w="999" w:type="dxa"/>
            <w:vMerge w:val="continue"/>
            <w:noWrap w:val="0"/>
            <w:vAlign w:val="center"/>
          </w:tcPr>
          <w:p w14:paraId="0F169565">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114" w:type="dxa"/>
            <w:noWrap w:val="0"/>
            <w:vAlign w:val="center"/>
          </w:tcPr>
          <w:p w14:paraId="3C65EA6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color w:val="auto"/>
                <w:kern w:val="0"/>
                <w:sz w:val="21"/>
                <w:szCs w:val="21"/>
                <w:lang w:val="en-US" w:eastAsia="zh-CN"/>
              </w:rPr>
              <w:t>已</w:t>
            </w:r>
            <w:r>
              <w:rPr>
                <w:rFonts w:hint="eastAsia" w:ascii="Times New Roman"/>
                <w:color w:val="auto"/>
                <w:kern w:val="0"/>
                <w:sz w:val="21"/>
                <w:szCs w:val="21"/>
                <w:lang w:val="zh-CN"/>
              </w:rPr>
              <w:t>按设计覆土、植被。</w:t>
            </w:r>
          </w:p>
        </w:tc>
        <w:tc>
          <w:tcPr>
            <w:tcW w:w="544" w:type="dxa"/>
            <w:vMerge w:val="continue"/>
            <w:noWrap w:val="0"/>
            <w:vAlign w:val="center"/>
          </w:tcPr>
          <w:p w14:paraId="41E8B2F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51" w:type="dxa"/>
            <w:noWrap w:val="0"/>
            <w:vAlign w:val="center"/>
          </w:tcPr>
          <w:p w14:paraId="623CAC2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0F0AB9F8">
            <w:pPr>
              <w:keepNext w:val="0"/>
              <w:keepLines w:val="0"/>
              <w:pageBreakBefore w:val="0"/>
              <w:widowControl w:val="0"/>
              <w:kinsoku/>
              <w:wordWrap/>
              <w:overflowPunct/>
              <w:topLinePunct w:val="0"/>
              <w:bidi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zh-CN"/>
              </w:rPr>
              <w:t>正常库</w:t>
            </w:r>
          </w:p>
        </w:tc>
      </w:tr>
      <w:tr w14:paraId="57266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7" w:hRule="atLeast"/>
          <w:jc w:val="center"/>
        </w:trPr>
        <w:tc>
          <w:tcPr>
            <w:tcW w:w="510" w:type="dxa"/>
            <w:vMerge w:val="continue"/>
            <w:noWrap w:val="0"/>
            <w:vAlign w:val="center"/>
          </w:tcPr>
          <w:p w14:paraId="1FA4274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4033FAE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2C870D5B">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2.10尾矿坝下游坡面上，不得有积水坑存在。</w:t>
            </w:r>
          </w:p>
        </w:tc>
        <w:tc>
          <w:tcPr>
            <w:tcW w:w="1055" w:type="dxa"/>
            <w:noWrap w:val="0"/>
            <w:vAlign w:val="center"/>
          </w:tcPr>
          <w:p w14:paraId="53EFF5E8">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《尾矿库安全规程》第6.3.11条</w:t>
            </w:r>
          </w:p>
        </w:tc>
        <w:tc>
          <w:tcPr>
            <w:tcW w:w="999" w:type="dxa"/>
            <w:noWrap w:val="0"/>
            <w:vAlign w:val="center"/>
          </w:tcPr>
          <w:p w14:paraId="3C4D68F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color w:val="auto"/>
                <w:kern w:val="0"/>
                <w:sz w:val="21"/>
                <w:szCs w:val="21"/>
                <w:lang w:val="zh-CN"/>
              </w:rPr>
              <w:t>查现场</w:t>
            </w:r>
          </w:p>
        </w:tc>
        <w:tc>
          <w:tcPr>
            <w:tcW w:w="1114" w:type="dxa"/>
            <w:noWrap w:val="0"/>
            <w:vAlign w:val="center"/>
          </w:tcPr>
          <w:p w14:paraId="5F48EF6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无此现象</w:t>
            </w:r>
          </w:p>
        </w:tc>
        <w:tc>
          <w:tcPr>
            <w:tcW w:w="544" w:type="dxa"/>
            <w:noWrap w:val="0"/>
            <w:vAlign w:val="center"/>
          </w:tcPr>
          <w:p w14:paraId="65B15A7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w:t>
            </w:r>
          </w:p>
        </w:tc>
        <w:tc>
          <w:tcPr>
            <w:tcW w:w="751" w:type="dxa"/>
            <w:noWrap w:val="0"/>
            <w:vAlign w:val="center"/>
          </w:tcPr>
          <w:p w14:paraId="24D3E75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28B8A432">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775" w:type="dxa"/>
            <w:noWrap w:val="0"/>
            <w:vAlign w:val="center"/>
          </w:tcPr>
          <w:p w14:paraId="09179814">
            <w:pPr>
              <w:keepNext w:val="0"/>
              <w:keepLines w:val="0"/>
              <w:pageBreakBefore w:val="0"/>
              <w:widowControl w:val="0"/>
              <w:kinsoku/>
              <w:wordWrap/>
              <w:overflowPunct/>
              <w:topLinePunct w:val="0"/>
              <w:bidi w:val="0"/>
              <w:snapToGrid/>
              <w:spacing w:line="28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kern w:val="0"/>
                <w:sz w:val="21"/>
                <w:szCs w:val="21"/>
                <w:lang w:val="en-US" w:eastAsia="zh-CN"/>
              </w:rPr>
              <w:t>3</w:t>
            </w:r>
          </w:p>
        </w:tc>
      </w:tr>
      <w:tr w14:paraId="3482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8" w:hRule="atLeast"/>
          <w:jc w:val="center"/>
        </w:trPr>
        <w:tc>
          <w:tcPr>
            <w:tcW w:w="510" w:type="dxa"/>
            <w:vMerge w:val="continue"/>
            <w:noWrap w:val="0"/>
            <w:vAlign w:val="center"/>
          </w:tcPr>
          <w:p w14:paraId="408AA9B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restart"/>
            <w:noWrap w:val="0"/>
            <w:vAlign w:val="center"/>
          </w:tcPr>
          <w:p w14:paraId="4DEC352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拦挡坝</w:t>
            </w:r>
          </w:p>
        </w:tc>
        <w:tc>
          <w:tcPr>
            <w:tcW w:w="2929" w:type="dxa"/>
            <w:noWrap w:val="0"/>
            <w:vAlign w:val="center"/>
          </w:tcPr>
          <w:p w14:paraId="1462459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3.1尾矿库拦挡坝在设计洪水位时，其安全超高不得小于最小安全超高、最大风雍水面高度和最大风浪爬高三者之和。地震雍浪高度可根据抗震设防烈度和水深确定，可采用0.5～1.5m。</w:t>
            </w:r>
          </w:p>
        </w:tc>
        <w:tc>
          <w:tcPr>
            <w:tcW w:w="1055" w:type="dxa"/>
            <w:noWrap w:val="0"/>
            <w:vAlign w:val="center"/>
          </w:tcPr>
          <w:p w14:paraId="1CED326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《尾矿设施设计规范》第4.2.3条，《尾矿库安全规程》第5.3.11、5.3.12条第5.3.11、12条</w:t>
            </w:r>
          </w:p>
        </w:tc>
        <w:tc>
          <w:tcPr>
            <w:tcW w:w="999" w:type="dxa"/>
            <w:noWrap w:val="0"/>
            <w:vAlign w:val="center"/>
          </w:tcPr>
          <w:p w14:paraId="7B773020">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1114" w:type="dxa"/>
            <w:noWrap w:val="0"/>
            <w:vAlign w:val="center"/>
          </w:tcPr>
          <w:p w14:paraId="5802AD4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无</w:t>
            </w:r>
            <w:r>
              <w:rPr>
                <w:rFonts w:hint="eastAsia" w:ascii="Times New Roman" w:eastAsia="宋体"/>
                <w:color w:val="auto"/>
                <w:kern w:val="0"/>
                <w:sz w:val="21"/>
                <w:szCs w:val="21"/>
                <w:lang w:val="en-US" w:eastAsia="zh-CN"/>
              </w:rPr>
              <w:t>此项</w:t>
            </w:r>
          </w:p>
        </w:tc>
        <w:tc>
          <w:tcPr>
            <w:tcW w:w="544" w:type="dxa"/>
            <w:noWrap w:val="0"/>
            <w:vAlign w:val="center"/>
          </w:tcPr>
          <w:p w14:paraId="0ED8683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751" w:type="dxa"/>
            <w:noWrap w:val="0"/>
            <w:vAlign w:val="center"/>
          </w:tcPr>
          <w:p w14:paraId="20B9D74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3DB9D9B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775" w:type="dxa"/>
            <w:noWrap w:val="0"/>
            <w:vAlign w:val="center"/>
          </w:tcPr>
          <w:p w14:paraId="2F24D3CD">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zh-CN"/>
              </w:rPr>
              <w:t>—</w:t>
            </w:r>
          </w:p>
        </w:tc>
      </w:tr>
      <w:tr w14:paraId="54388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4" w:hRule="atLeast"/>
          <w:jc w:val="center"/>
        </w:trPr>
        <w:tc>
          <w:tcPr>
            <w:tcW w:w="510" w:type="dxa"/>
            <w:vMerge w:val="continue"/>
            <w:noWrap w:val="0"/>
            <w:vAlign w:val="center"/>
          </w:tcPr>
          <w:p w14:paraId="6983FC5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51ED22A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50CFD1A3">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3.2挑流鼻坎应与设计的相符，施工质量合格，下泄水不得冲刷坝脚。</w:t>
            </w:r>
          </w:p>
        </w:tc>
        <w:tc>
          <w:tcPr>
            <w:tcW w:w="1055" w:type="dxa"/>
            <w:noWrap w:val="0"/>
            <w:vAlign w:val="center"/>
          </w:tcPr>
          <w:p w14:paraId="70FAB60F">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《尾矿库安全规程》第5.6.2条</w:t>
            </w:r>
          </w:p>
        </w:tc>
        <w:tc>
          <w:tcPr>
            <w:tcW w:w="999" w:type="dxa"/>
            <w:noWrap w:val="0"/>
            <w:vAlign w:val="center"/>
          </w:tcPr>
          <w:p w14:paraId="6F563756">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1114" w:type="dxa"/>
            <w:noWrap w:val="0"/>
            <w:vAlign w:val="center"/>
          </w:tcPr>
          <w:p w14:paraId="75080AA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544" w:type="dxa"/>
            <w:noWrap w:val="0"/>
            <w:vAlign w:val="center"/>
          </w:tcPr>
          <w:p w14:paraId="224DBBD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751" w:type="dxa"/>
            <w:noWrap w:val="0"/>
            <w:vAlign w:val="center"/>
          </w:tcPr>
          <w:p w14:paraId="7F4CFD2A">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31C8C419">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775" w:type="dxa"/>
            <w:noWrap w:val="0"/>
            <w:vAlign w:val="center"/>
          </w:tcPr>
          <w:p w14:paraId="17B89121">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7DAF1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13" w:hRule="atLeast"/>
          <w:jc w:val="center"/>
        </w:trPr>
        <w:tc>
          <w:tcPr>
            <w:tcW w:w="510" w:type="dxa"/>
            <w:vMerge w:val="restart"/>
            <w:noWrap w:val="0"/>
            <w:vAlign w:val="center"/>
          </w:tcPr>
          <w:p w14:paraId="75F51FD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初期坝、拦挡坝、堆积坝、副坝、拦水坝坝体和排水棱体</w:t>
            </w:r>
          </w:p>
        </w:tc>
        <w:tc>
          <w:tcPr>
            <w:tcW w:w="300" w:type="dxa"/>
            <w:vMerge w:val="restart"/>
            <w:noWrap w:val="0"/>
            <w:vAlign w:val="center"/>
          </w:tcPr>
          <w:p w14:paraId="6AA69C3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初期坝</w:t>
            </w:r>
          </w:p>
        </w:tc>
        <w:tc>
          <w:tcPr>
            <w:tcW w:w="2929" w:type="dxa"/>
            <w:noWrap w:val="0"/>
            <w:vAlign w:val="center"/>
          </w:tcPr>
          <w:p w14:paraId="6CF28FA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4.1上游式尾矿堆积坝的初期透水堆石坝坝高与总坝高之比值不宜小于1/8。</w:t>
            </w:r>
          </w:p>
        </w:tc>
        <w:tc>
          <w:tcPr>
            <w:tcW w:w="1055" w:type="dxa"/>
            <w:noWrap w:val="0"/>
            <w:vAlign w:val="center"/>
          </w:tcPr>
          <w:p w14:paraId="0AAAB91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《尾矿设施设计规范》第4.1.3条，《尾矿库安全规程》第5.3.3条</w:t>
            </w:r>
          </w:p>
        </w:tc>
        <w:tc>
          <w:tcPr>
            <w:tcW w:w="999" w:type="dxa"/>
            <w:noWrap w:val="0"/>
            <w:vAlign w:val="center"/>
          </w:tcPr>
          <w:p w14:paraId="68986FA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查设计与现场并进行验算</w:t>
            </w:r>
          </w:p>
        </w:tc>
        <w:tc>
          <w:tcPr>
            <w:tcW w:w="1114" w:type="dxa"/>
            <w:noWrap w:val="0"/>
            <w:vAlign w:val="center"/>
          </w:tcPr>
          <w:p w14:paraId="0127862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olor w:val="auto"/>
                <w:kern w:val="0"/>
                <w:sz w:val="21"/>
                <w:szCs w:val="21"/>
                <w:lang w:val="en-US" w:eastAsia="zh-CN"/>
              </w:rPr>
              <w:t>无此项</w:t>
            </w:r>
          </w:p>
        </w:tc>
        <w:tc>
          <w:tcPr>
            <w:tcW w:w="544" w:type="dxa"/>
            <w:noWrap w:val="0"/>
            <w:vAlign w:val="center"/>
          </w:tcPr>
          <w:p w14:paraId="56C41BB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751" w:type="dxa"/>
            <w:vMerge w:val="restart"/>
            <w:noWrap w:val="0"/>
            <w:vAlign w:val="center"/>
          </w:tcPr>
          <w:p w14:paraId="3E64ABB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489F30B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775" w:type="dxa"/>
            <w:noWrap w:val="0"/>
            <w:vAlign w:val="center"/>
          </w:tcPr>
          <w:p w14:paraId="45527C0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w:t>
            </w:r>
          </w:p>
        </w:tc>
      </w:tr>
      <w:tr w14:paraId="3A67E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18" w:hRule="atLeast"/>
          <w:jc w:val="center"/>
        </w:trPr>
        <w:tc>
          <w:tcPr>
            <w:tcW w:w="510" w:type="dxa"/>
            <w:vMerge w:val="continue"/>
            <w:noWrap w:val="0"/>
            <w:vAlign w:val="center"/>
          </w:tcPr>
          <w:p w14:paraId="0CF786B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300" w:type="dxa"/>
            <w:vMerge w:val="continue"/>
            <w:noWrap w:val="0"/>
            <w:vAlign w:val="center"/>
          </w:tcPr>
          <w:p w14:paraId="47A5B1C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223C153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zh-CN"/>
              </w:rPr>
              <w:t>4.2透水初期坝上游坡面采用土工布组合反滤层时，土工布嵌入坝基及坝肩的深度不得小于0.5m，并需用土料填塞密实。</w:t>
            </w:r>
          </w:p>
        </w:tc>
        <w:tc>
          <w:tcPr>
            <w:tcW w:w="1055" w:type="dxa"/>
            <w:noWrap w:val="0"/>
            <w:vAlign w:val="center"/>
          </w:tcPr>
          <w:p w14:paraId="744401B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《尾矿设施设计规范》第4.5.4条</w:t>
            </w:r>
          </w:p>
        </w:tc>
        <w:tc>
          <w:tcPr>
            <w:tcW w:w="999" w:type="dxa"/>
            <w:noWrap w:val="0"/>
            <w:vAlign w:val="center"/>
          </w:tcPr>
          <w:p w14:paraId="237585F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查设计文件、竣工、监理报告、现场</w:t>
            </w:r>
          </w:p>
        </w:tc>
        <w:tc>
          <w:tcPr>
            <w:tcW w:w="1114" w:type="dxa"/>
            <w:noWrap w:val="0"/>
            <w:vAlign w:val="center"/>
          </w:tcPr>
          <w:p w14:paraId="4EF7EA0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eastAsia="宋体"/>
                <w:color w:val="auto"/>
                <w:kern w:val="0"/>
                <w:sz w:val="21"/>
                <w:szCs w:val="21"/>
                <w:lang w:val="en-US" w:eastAsia="zh-CN"/>
              </w:rPr>
            </w:pPr>
            <w:r>
              <w:rPr>
                <w:rFonts w:hint="eastAsia" w:cs="Times New Roman"/>
                <w:color w:val="auto"/>
                <w:kern w:val="0"/>
                <w:sz w:val="21"/>
                <w:szCs w:val="21"/>
                <w:lang w:val="en-US" w:eastAsia="zh-CN"/>
              </w:rPr>
              <w:t>无此项</w:t>
            </w:r>
          </w:p>
        </w:tc>
        <w:tc>
          <w:tcPr>
            <w:tcW w:w="544" w:type="dxa"/>
            <w:noWrap w:val="0"/>
            <w:vAlign w:val="center"/>
          </w:tcPr>
          <w:p w14:paraId="2115D7F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751" w:type="dxa"/>
            <w:vMerge w:val="continue"/>
            <w:noWrap w:val="0"/>
            <w:vAlign w:val="center"/>
          </w:tcPr>
          <w:p w14:paraId="0A78038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1F2D284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cs="Times New Roman"/>
                <w:color w:val="auto"/>
                <w:kern w:val="0"/>
                <w:sz w:val="21"/>
                <w:szCs w:val="21"/>
                <w:lang w:val="en-US" w:eastAsia="zh-CN"/>
              </w:rPr>
            </w:pPr>
            <w:r>
              <w:rPr>
                <w:rFonts w:hint="eastAsia" w:cs="Times New Roman"/>
                <w:color w:val="auto"/>
                <w:kern w:val="0"/>
                <w:sz w:val="21"/>
                <w:szCs w:val="21"/>
                <w:lang w:val="en-US" w:eastAsia="zh-CN"/>
              </w:rPr>
              <w:t>-</w:t>
            </w:r>
          </w:p>
        </w:tc>
      </w:tr>
      <w:tr w14:paraId="44FD6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9" w:hRule="atLeast"/>
          <w:jc w:val="center"/>
        </w:trPr>
        <w:tc>
          <w:tcPr>
            <w:tcW w:w="510" w:type="dxa"/>
            <w:vMerge w:val="continue"/>
            <w:noWrap w:val="0"/>
            <w:vAlign w:val="center"/>
          </w:tcPr>
          <w:p w14:paraId="4CF5170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2777C46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1E10DE1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r>
              <w:rPr>
                <w:rFonts w:hint="eastAsia" w:cs="Times New Roman"/>
                <w:color w:val="auto"/>
                <w:kern w:val="0"/>
                <w:sz w:val="21"/>
                <w:szCs w:val="21"/>
                <w:lang w:val="en-US" w:eastAsia="zh-CN"/>
              </w:rPr>
              <w:t>3</w:t>
            </w:r>
            <w:r>
              <w:rPr>
                <w:rFonts w:hint="default" w:ascii="Times New Roman" w:hAnsi="Times New Roman" w:eastAsia="宋体" w:cs="Times New Roman"/>
                <w:color w:val="auto"/>
                <w:kern w:val="0"/>
                <w:sz w:val="21"/>
                <w:szCs w:val="21"/>
                <w:lang w:val="zh-CN"/>
              </w:rPr>
              <w:t>初期的安全超高和泄洪能力要满足初期设计洪水标准。</w:t>
            </w:r>
          </w:p>
        </w:tc>
        <w:tc>
          <w:tcPr>
            <w:tcW w:w="1055" w:type="dxa"/>
            <w:noWrap w:val="0"/>
            <w:vAlign w:val="center"/>
          </w:tcPr>
          <w:p w14:paraId="6F647F6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《尾矿设施设计规范》第4.1.3条，《尾矿库安全规程》第5.3.3条</w:t>
            </w:r>
          </w:p>
        </w:tc>
        <w:tc>
          <w:tcPr>
            <w:tcW w:w="999" w:type="dxa"/>
            <w:noWrap w:val="0"/>
            <w:vAlign w:val="center"/>
          </w:tcPr>
          <w:p w14:paraId="66777FC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查设计与场察</w:t>
            </w:r>
          </w:p>
        </w:tc>
        <w:tc>
          <w:tcPr>
            <w:tcW w:w="1114" w:type="dxa"/>
            <w:noWrap w:val="0"/>
            <w:vAlign w:val="center"/>
          </w:tcPr>
          <w:p w14:paraId="4DA10AC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r>
              <w:rPr>
                <w:rFonts w:hint="eastAsia" w:cs="Times New Roman"/>
                <w:color w:val="auto"/>
                <w:kern w:val="0"/>
                <w:sz w:val="21"/>
                <w:szCs w:val="21"/>
                <w:lang w:val="en-US" w:eastAsia="zh-CN"/>
              </w:rPr>
              <w:t>要求</w:t>
            </w:r>
          </w:p>
        </w:tc>
        <w:tc>
          <w:tcPr>
            <w:tcW w:w="544" w:type="dxa"/>
            <w:noWrap w:val="0"/>
            <w:vAlign w:val="center"/>
          </w:tcPr>
          <w:p w14:paraId="1E7AD86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751" w:type="dxa"/>
            <w:vMerge w:val="continue"/>
            <w:noWrap w:val="0"/>
            <w:vAlign w:val="center"/>
          </w:tcPr>
          <w:p w14:paraId="362AB10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533C6FE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5DB82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34" w:hRule="atLeast"/>
          <w:jc w:val="center"/>
        </w:trPr>
        <w:tc>
          <w:tcPr>
            <w:tcW w:w="510" w:type="dxa"/>
            <w:vMerge w:val="continue"/>
            <w:noWrap w:val="0"/>
            <w:vAlign w:val="center"/>
          </w:tcPr>
          <w:p w14:paraId="1452B1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restart"/>
            <w:noWrap w:val="0"/>
            <w:vAlign w:val="center"/>
          </w:tcPr>
          <w:p w14:paraId="1EA1B1B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堆积坝</w:t>
            </w:r>
          </w:p>
        </w:tc>
        <w:tc>
          <w:tcPr>
            <w:tcW w:w="2929" w:type="dxa"/>
            <w:noWrap w:val="0"/>
            <w:vAlign w:val="center"/>
          </w:tcPr>
          <w:p w14:paraId="258034F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5.1坝上必须配备有通讯照明设备、各种安全监测设施、救生设备。</w:t>
            </w:r>
          </w:p>
        </w:tc>
        <w:tc>
          <w:tcPr>
            <w:tcW w:w="1055" w:type="dxa"/>
            <w:noWrap w:val="0"/>
            <w:vAlign w:val="center"/>
          </w:tcPr>
          <w:p w14:paraId="18E62EF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《尾矿库安全规程》第9.7.1条</w:t>
            </w:r>
          </w:p>
        </w:tc>
        <w:tc>
          <w:tcPr>
            <w:tcW w:w="999" w:type="dxa"/>
            <w:noWrap w:val="0"/>
            <w:vAlign w:val="center"/>
          </w:tcPr>
          <w:p w14:paraId="5277995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2C208CC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有通讯照明设备、安全监测设施，无</w:t>
            </w:r>
            <w:r>
              <w:rPr>
                <w:rFonts w:hint="default" w:ascii="Times New Roman" w:hAnsi="Times New Roman" w:eastAsia="宋体" w:cs="Times New Roman"/>
                <w:color w:val="auto"/>
                <w:kern w:val="0"/>
                <w:sz w:val="21"/>
                <w:szCs w:val="21"/>
                <w:lang w:val="zh-CN"/>
              </w:rPr>
              <w:t>救生设备</w:t>
            </w:r>
            <w:r>
              <w:rPr>
                <w:rFonts w:hint="eastAsia" w:cs="Times New Roman"/>
                <w:color w:val="auto"/>
                <w:kern w:val="0"/>
                <w:sz w:val="21"/>
                <w:szCs w:val="21"/>
                <w:lang w:val="zh-CN"/>
              </w:rPr>
              <w:t>。</w:t>
            </w:r>
          </w:p>
        </w:tc>
        <w:tc>
          <w:tcPr>
            <w:tcW w:w="544" w:type="dxa"/>
            <w:noWrap w:val="0"/>
            <w:vAlign w:val="center"/>
          </w:tcPr>
          <w:p w14:paraId="6086FE3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751" w:type="dxa"/>
            <w:vMerge w:val="continue"/>
            <w:noWrap w:val="0"/>
            <w:vAlign w:val="center"/>
          </w:tcPr>
          <w:p w14:paraId="6CA75AA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1375E3D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0</w:t>
            </w:r>
          </w:p>
        </w:tc>
      </w:tr>
      <w:tr w14:paraId="12B4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7" w:hRule="atLeast"/>
          <w:jc w:val="center"/>
        </w:trPr>
        <w:tc>
          <w:tcPr>
            <w:tcW w:w="510" w:type="dxa"/>
            <w:vMerge w:val="continue"/>
            <w:noWrap w:val="0"/>
            <w:vAlign w:val="center"/>
          </w:tcPr>
          <w:p w14:paraId="53FC7AE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5EDFC33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31A91B2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5.2每一期筑坝充填作业之前，必须进行岸坡处理。岸坡处理应做隐蔽工程记录，如遇泉眼水井、地道或洞穴等，要采取有效措施进行处理，经主管技术人员检查合格后方可充填筑坝。</w:t>
            </w:r>
          </w:p>
        </w:tc>
        <w:tc>
          <w:tcPr>
            <w:tcW w:w="1055" w:type="dxa"/>
            <w:noWrap w:val="0"/>
            <w:vAlign w:val="center"/>
          </w:tcPr>
          <w:p w14:paraId="3819B92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w:t>
            </w:r>
          </w:p>
          <w:p w14:paraId="4AE1762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第6.3.3条</w:t>
            </w:r>
          </w:p>
        </w:tc>
        <w:tc>
          <w:tcPr>
            <w:tcW w:w="999" w:type="dxa"/>
            <w:noWrap w:val="0"/>
            <w:vAlign w:val="center"/>
          </w:tcPr>
          <w:p w14:paraId="10366D7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查设尾矿库工程档案、现场</w:t>
            </w:r>
          </w:p>
        </w:tc>
        <w:tc>
          <w:tcPr>
            <w:tcW w:w="1114" w:type="dxa"/>
            <w:noWrap w:val="0"/>
            <w:vAlign w:val="center"/>
          </w:tcPr>
          <w:p w14:paraId="167C772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color w:val="auto"/>
                <w:kern w:val="0"/>
                <w:sz w:val="21"/>
                <w:szCs w:val="21"/>
                <w:lang w:val="zh-CN"/>
              </w:rPr>
              <w:t>有记录</w:t>
            </w:r>
          </w:p>
        </w:tc>
        <w:tc>
          <w:tcPr>
            <w:tcW w:w="544" w:type="dxa"/>
            <w:noWrap w:val="0"/>
            <w:vAlign w:val="center"/>
          </w:tcPr>
          <w:p w14:paraId="1A54685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751" w:type="dxa"/>
            <w:vMerge w:val="continue"/>
            <w:noWrap w:val="0"/>
            <w:vAlign w:val="center"/>
          </w:tcPr>
          <w:p w14:paraId="4E3BB03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283ADC1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3</w:t>
            </w:r>
          </w:p>
        </w:tc>
      </w:tr>
      <w:tr w14:paraId="5282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7" w:hRule="atLeast"/>
          <w:jc w:val="center"/>
        </w:trPr>
        <w:tc>
          <w:tcPr>
            <w:tcW w:w="510" w:type="dxa"/>
            <w:vMerge w:val="continue"/>
            <w:noWrap w:val="0"/>
            <w:vAlign w:val="center"/>
          </w:tcPr>
          <w:p w14:paraId="7AC4AD5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4C1D4F2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7B7807A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5.3每期子坝堆筑完毕，应进行质量检查，检查记录需经主管技术人员签字后存档备查。</w:t>
            </w:r>
          </w:p>
        </w:tc>
        <w:tc>
          <w:tcPr>
            <w:tcW w:w="1055" w:type="dxa"/>
            <w:noWrap w:val="0"/>
            <w:vAlign w:val="center"/>
          </w:tcPr>
          <w:p w14:paraId="5676330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《尾矿库安全规程》第6.1.6、6.3.5条</w:t>
            </w:r>
          </w:p>
        </w:tc>
        <w:tc>
          <w:tcPr>
            <w:tcW w:w="999" w:type="dxa"/>
            <w:noWrap w:val="0"/>
            <w:vAlign w:val="center"/>
          </w:tcPr>
          <w:p w14:paraId="18AF04D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查现场</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查尾矿库工程档案</w:t>
            </w:r>
          </w:p>
        </w:tc>
        <w:tc>
          <w:tcPr>
            <w:tcW w:w="1114" w:type="dxa"/>
            <w:noWrap w:val="0"/>
            <w:vAlign w:val="center"/>
          </w:tcPr>
          <w:p w14:paraId="0126B5C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color w:val="auto"/>
                <w:kern w:val="0"/>
                <w:sz w:val="21"/>
                <w:szCs w:val="21"/>
                <w:lang w:val="zh-CN"/>
              </w:rPr>
              <w:t>有记录</w:t>
            </w:r>
          </w:p>
        </w:tc>
        <w:tc>
          <w:tcPr>
            <w:tcW w:w="544" w:type="dxa"/>
            <w:noWrap w:val="0"/>
            <w:vAlign w:val="center"/>
          </w:tcPr>
          <w:p w14:paraId="53B5107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751" w:type="dxa"/>
            <w:vMerge w:val="continue"/>
            <w:noWrap w:val="0"/>
            <w:vAlign w:val="center"/>
          </w:tcPr>
          <w:p w14:paraId="4188DAC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59E9A0E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cs="Times New Roman"/>
                <w:color w:val="auto"/>
                <w:kern w:val="0"/>
                <w:sz w:val="21"/>
                <w:szCs w:val="21"/>
                <w:lang w:val="en-US" w:eastAsia="zh-CN"/>
              </w:rPr>
              <w:t>2</w:t>
            </w:r>
          </w:p>
        </w:tc>
      </w:tr>
      <w:tr w14:paraId="201D2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88" w:hRule="atLeast"/>
          <w:jc w:val="center"/>
        </w:trPr>
        <w:tc>
          <w:tcPr>
            <w:tcW w:w="510" w:type="dxa"/>
            <w:vMerge w:val="continue"/>
            <w:noWrap w:val="0"/>
            <w:vAlign w:val="center"/>
          </w:tcPr>
          <w:p w14:paraId="038734D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5C68DE4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046F601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5.4坝下游坡面不得有冲刷、拉沟现象。</w:t>
            </w:r>
          </w:p>
        </w:tc>
        <w:tc>
          <w:tcPr>
            <w:tcW w:w="1055" w:type="dxa"/>
            <w:noWrap w:val="0"/>
            <w:vAlign w:val="center"/>
          </w:tcPr>
          <w:p w14:paraId="2ABB1C0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《尾矿库安全规程》第6.3.11条</w:t>
            </w:r>
          </w:p>
        </w:tc>
        <w:tc>
          <w:tcPr>
            <w:tcW w:w="999" w:type="dxa"/>
            <w:noWrap w:val="0"/>
            <w:vAlign w:val="center"/>
          </w:tcPr>
          <w:p w14:paraId="3EE12A0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0DA44E6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符合</w:t>
            </w:r>
          </w:p>
        </w:tc>
        <w:tc>
          <w:tcPr>
            <w:tcW w:w="544" w:type="dxa"/>
            <w:noWrap w:val="0"/>
            <w:vAlign w:val="center"/>
          </w:tcPr>
          <w:p w14:paraId="2947650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751" w:type="dxa"/>
            <w:vMerge w:val="continue"/>
            <w:noWrap w:val="0"/>
            <w:vAlign w:val="center"/>
          </w:tcPr>
          <w:p w14:paraId="16FECE9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6F59238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r>
      <w:tr w14:paraId="45306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79" w:hRule="atLeast"/>
          <w:jc w:val="center"/>
        </w:trPr>
        <w:tc>
          <w:tcPr>
            <w:tcW w:w="510" w:type="dxa"/>
            <w:vMerge w:val="continue"/>
            <w:noWrap w:val="0"/>
            <w:vAlign w:val="center"/>
          </w:tcPr>
          <w:p w14:paraId="620303F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39C2A11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322791A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5.5若同一尾矿库内，建有一座或几座尾矿堆积坝体时，不得将细粒尾矿排至尾矿堆积坝前。</w:t>
            </w:r>
          </w:p>
        </w:tc>
        <w:tc>
          <w:tcPr>
            <w:tcW w:w="1055" w:type="dxa"/>
            <w:noWrap w:val="0"/>
            <w:vAlign w:val="center"/>
          </w:tcPr>
          <w:p w14:paraId="3E5F555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《冶金矿山尾矿设施管理规程》第4.2.9条</w:t>
            </w:r>
          </w:p>
        </w:tc>
        <w:tc>
          <w:tcPr>
            <w:tcW w:w="999" w:type="dxa"/>
            <w:noWrap w:val="0"/>
            <w:vAlign w:val="center"/>
          </w:tcPr>
          <w:p w14:paraId="5A1C05E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1114" w:type="dxa"/>
            <w:noWrap w:val="0"/>
            <w:vAlign w:val="center"/>
          </w:tcPr>
          <w:p w14:paraId="038009C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544" w:type="dxa"/>
            <w:noWrap w:val="0"/>
            <w:vAlign w:val="center"/>
          </w:tcPr>
          <w:p w14:paraId="34684F9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751" w:type="dxa"/>
            <w:vMerge w:val="continue"/>
            <w:noWrap w:val="0"/>
            <w:vAlign w:val="center"/>
          </w:tcPr>
          <w:p w14:paraId="019DBB2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4BA68D1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C230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6" w:hRule="atLeast"/>
          <w:jc w:val="center"/>
        </w:trPr>
        <w:tc>
          <w:tcPr>
            <w:tcW w:w="510" w:type="dxa"/>
            <w:vMerge w:val="continue"/>
            <w:noWrap w:val="0"/>
            <w:vAlign w:val="center"/>
          </w:tcPr>
          <w:p w14:paraId="4649E55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1535FCA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7B26C37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5.6坝面不得出现局部隆起、塌陷、流土、管涌、渗水量增大或渗水变浑等异常情况。</w:t>
            </w:r>
          </w:p>
        </w:tc>
        <w:tc>
          <w:tcPr>
            <w:tcW w:w="1055" w:type="dxa"/>
            <w:noWrap w:val="0"/>
            <w:vAlign w:val="center"/>
          </w:tcPr>
          <w:p w14:paraId="5BC447E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999" w:type="dxa"/>
            <w:noWrap w:val="0"/>
            <w:vAlign w:val="center"/>
          </w:tcPr>
          <w:p w14:paraId="42E368D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w:t>
            </w:r>
          </w:p>
          <w:p w14:paraId="1DC4B19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现场</w:t>
            </w:r>
          </w:p>
        </w:tc>
        <w:tc>
          <w:tcPr>
            <w:tcW w:w="1114" w:type="dxa"/>
            <w:noWrap w:val="0"/>
            <w:vAlign w:val="center"/>
          </w:tcPr>
          <w:p w14:paraId="6A8B093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color w:val="auto"/>
                <w:kern w:val="0"/>
                <w:sz w:val="21"/>
                <w:szCs w:val="21"/>
                <w:lang w:val="zh-CN"/>
              </w:rPr>
              <w:t>无此现象</w:t>
            </w:r>
          </w:p>
        </w:tc>
        <w:tc>
          <w:tcPr>
            <w:tcW w:w="544" w:type="dxa"/>
            <w:noWrap w:val="0"/>
            <w:vAlign w:val="center"/>
          </w:tcPr>
          <w:p w14:paraId="09A1907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751" w:type="dxa"/>
            <w:vMerge w:val="continue"/>
            <w:noWrap w:val="0"/>
            <w:vAlign w:val="center"/>
          </w:tcPr>
          <w:p w14:paraId="2DD987A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03FAE3D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74D39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3" w:hRule="atLeast"/>
          <w:jc w:val="center"/>
        </w:trPr>
        <w:tc>
          <w:tcPr>
            <w:tcW w:w="510" w:type="dxa"/>
            <w:vMerge w:val="continue"/>
            <w:noWrap w:val="0"/>
            <w:vAlign w:val="center"/>
          </w:tcPr>
          <w:p w14:paraId="7683D59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00" w:type="dxa"/>
            <w:vMerge w:val="continue"/>
            <w:noWrap w:val="0"/>
            <w:vAlign w:val="center"/>
          </w:tcPr>
          <w:p w14:paraId="60D5831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29" w:type="dxa"/>
            <w:noWrap w:val="0"/>
            <w:vAlign w:val="center"/>
          </w:tcPr>
          <w:p w14:paraId="4E92BAA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eastAsia" w:ascii="Times New Roman" w:hAnsi="Times New Roman" w:eastAsia="宋体" w:cs="Times New Roman"/>
                <w:color w:val="auto"/>
                <w:spacing w:val="4"/>
                <w:kern w:val="0"/>
                <w:sz w:val="21"/>
                <w:szCs w:val="21"/>
                <w:lang w:eastAsia="zh-CN"/>
              </w:rPr>
            </w:pPr>
            <w:r>
              <w:rPr>
                <w:rFonts w:hint="default" w:ascii="Times New Roman" w:hAnsi="Times New Roman" w:eastAsia="宋体" w:cs="Times New Roman"/>
                <w:color w:val="auto"/>
                <w:spacing w:val="4"/>
                <w:kern w:val="0"/>
                <w:sz w:val="21"/>
                <w:szCs w:val="21"/>
              </w:rPr>
              <w:t>5.7干式尾矿库的尾矿排矿筑坝应符合下列要求</w:t>
            </w:r>
            <w:r>
              <w:rPr>
                <w:rFonts w:hint="eastAsia" w:cs="Times New Roman"/>
                <w:color w:val="auto"/>
                <w:spacing w:val="4"/>
                <w:kern w:val="0"/>
                <w:sz w:val="21"/>
                <w:szCs w:val="21"/>
                <w:lang w:eastAsia="zh-CN"/>
              </w:rPr>
              <w:t>：</w:t>
            </w:r>
          </w:p>
          <w:p w14:paraId="60F34B3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spacing w:val="4"/>
                <w:kern w:val="0"/>
                <w:sz w:val="21"/>
                <w:szCs w:val="21"/>
              </w:rPr>
            </w:pPr>
            <w:r>
              <w:rPr>
                <w:rFonts w:hint="eastAsia" w:cs="Times New Roman"/>
                <w:color w:val="auto"/>
                <w:spacing w:val="4"/>
                <w:kern w:val="0"/>
                <w:sz w:val="21"/>
                <w:szCs w:val="21"/>
                <w:lang w:val="en-US" w:eastAsia="zh-CN"/>
              </w:rPr>
              <w:t>1）</w:t>
            </w:r>
            <w:r>
              <w:rPr>
                <w:rFonts w:hint="default" w:ascii="Times New Roman" w:hAnsi="Times New Roman" w:eastAsia="宋体" w:cs="Times New Roman"/>
                <w:color w:val="auto"/>
                <w:spacing w:val="4"/>
                <w:kern w:val="0"/>
                <w:sz w:val="21"/>
                <w:szCs w:val="21"/>
              </w:rPr>
              <w:t>尾矿排矿筑坝应边堆放边碾压</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堆积坝顶面坡度应满足排水的要求</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并不得出现反坡</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当堆积坝顶面倾向堆积坝外边坡或库周截洪沟时</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堆积坝顶面坡度不应大于2%。</w:t>
            </w:r>
          </w:p>
          <w:p w14:paraId="08F1D00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spacing w:val="4"/>
                <w:kern w:val="0"/>
                <w:sz w:val="21"/>
                <w:szCs w:val="21"/>
              </w:rPr>
            </w:pPr>
            <w:r>
              <w:rPr>
                <w:rFonts w:hint="eastAsia" w:cs="Times New Roman"/>
                <w:color w:val="auto"/>
                <w:spacing w:val="4"/>
                <w:kern w:val="0"/>
                <w:sz w:val="21"/>
                <w:szCs w:val="21"/>
                <w:lang w:val="en-US" w:eastAsia="zh-CN"/>
              </w:rPr>
              <w:t>2）</w:t>
            </w:r>
            <w:r>
              <w:rPr>
                <w:rFonts w:hint="default" w:ascii="Times New Roman" w:hAnsi="Times New Roman" w:eastAsia="宋体" w:cs="Times New Roman"/>
                <w:color w:val="auto"/>
                <w:spacing w:val="4"/>
                <w:kern w:val="0"/>
                <w:sz w:val="21"/>
                <w:szCs w:val="21"/>
              </w:rPr>
              <w:t>尾矿排矿筑坝期间应设置台阶</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分层碾压排放作业的台阶高度不应超过10m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台阶宽度不应小于1.5m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有行车要求时不应小于5m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推进碾压排放作业的台阶高度不应超过5m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台阶宽度不应小于5m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运行期</w:t>
            </w:r>
            <w:r>
              <w:rPr>
                <w:rFonts w:hint="eastAsia" w:cs="Times New Roman"/>
                <w:color w:val="auto"/>
                <w:spacing w:val="4"/>
                <w:kern w:val="0"/>
                <w:sz w:val="21"/>
                <w:szCs w:val="21"/>
                <w:lang w:val="en-US" w:eastAsia="zh-CN"/>
              </w:rPr>
              <w:t>间</w:t>
            </w:r>
            <w:r>
              <w:rPr>
                <w:rFonts w:hint="default" w:ascii="Times New Roman" w:hAnsi="Times New Roman" w:eastAsia="宋体" w:cs="Times New Roman"/>
                <w:color w:val="auto"/>
                <w:spacing w:val="4"/>
                <w:kern w:val="0"/>
                <w:sz w:val="21"/>
                <w:szCs w:val="21"/>
              </w:rPr>
              <w:t>台阶的坡比应满足</w:t>
            </w:r>
            <w:r>
              <w:rPr>
                <w:rFonts w:hint="eastAsia" w:cs="Times New Roman"/>
                <w:color w:val="auto"/>
                <w:spacing w:val="4"/>
                <w:kern w:val="0"/>
                <w:sz w:val="21"/>
                <w:szCs w:val="21"/>
                <w:lang w:val="en-US" w:eastAsia="zh-CN"/>
              </w:rPr>
              <w:t>稳定</w:t>
            </w:r>
            <w:r>
              <w:rPr>
                <w:rFonts w:hint="default" w:ascii="Times New Roman" w:hAnsi="Times New Roman" w:eastAsia="宋体" w:cs="Times New Roman"/>
                <w:color w:val="auto"/>
                <w:spacing w:val="4"/>
                <w:kern w:val="0"/>
                <w:sz w:val="21"/>
                <w:szCs w:val="21"/>
              </w:rPr>
              <w:t>要求。</w:t>
            </w:r>
          </w:p>
          <w:p w14:paraId="0AFF146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spacing w:val="4"/>
                <w:kern w:val="0"/>
                <w:sz w:val="21"/>
                <w:szCs w:val="21"/>
              </w:rPr>
            </w:pPr>
            <w:r>
              <w:rPr>
                <w:rFonts w:hint="eastAsia" w:cs="Times New Roman"/>
                <w:color w:val="auto"/>
                <w:spacing w:val="4"/>
                <w:kern w:val="0"/>
                <w:sz w:val="21"/>
                <w:szCs w:val="21"/>
                <w:lang w:val="en-US" w:eastAsia="zh-CN"/>
              </w:rPr>
              <w:t>3）</w:t>
            </w:r>
            <w:r>
              <w:rPr>
                <w:rFonts w:hint="default" w:ascii="Times New Roman" w:hAnsi="Times New Roman" w:eastAsia="宋体" w:cs="Times New Roman"/>
                <w:color w:val="auto"/>
                <w:spacing w:val="4"/>
                <w:kern w:val="0"/>
                <w:sz w:val="21"/>
                <w:szCs w:val="21"/>
              </w:rPr>
              <w:t>无黏性、少黏性尾矿分层厚度不得超过0.8m</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黏性尾矿分层厚度不得超过0.5m。</w:t>
            </w:r>
          </w:p>
          <w:p w14:paraId="4CDD871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spacing w:val="4"/>
                <w:kern w:val="0"/>
                <w:sz w:val="21"/>
                <w:szCs w:val="21"/>
              </w:rPr>
            </w:pPr>
            <w:r>
              <w:rPr>
                <w:rFonts w:hint="eastAsia" w:cs="Times New Roman"/>
                <w:color w:val="auto"/>
                <w:spacing w:val="4"/>
                <w:kern w:val="0"/>
                <w:sz w:val="21"/>
                <w:szCs w:val="21"/>
                <w:lang w:val="en-US" w:eastAsia="zh-CN"/>
              </w:rPr>
              <w:t>4）</w:t>
            </w:r>
            <w:r>
              <w:rPr>
                <w:rFonts w:hint="default" w:ascii="Times New Roman" w:hAnsi="Times New Roman" w:eastAsia="宋体" w:cs="Times New Roman"/>
                <w:color w:val="auto"/>
                <w:spacing w:val="4"/>
                <w:kern w:val="0"/>
                <w:sz w:val="21"/>
                <w:szCs w:val="21"/>
              </w:rPr>
              <w:t>尾矿排矿筑坝过程中</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应分阶段尽早形成永久边坡</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影响堆积坝最终外边坡稳定的区域应采用分层碾压排放作业</w:t>
            </w:r>
            <w:r>
              <w:rPr>
                <w:rFonts w:hint="eastAsia"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压实度不应小于0.92。</w:t>
            </w:r>
          </w:p>
        </w:tc>
        <w:tc>
          <w:tcPr>
            <w:tcW w:w="1055" w:type="dxa"/>
            <w:noWrap w:val="0"/>
            <w:vAlign w:val="center"/>
          </w:tcPr>
          <w:p w14:paraId="0BBB406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《尾矿库安全规程》第6.3.4条</w:t>
            </w:r>
          </w:p>
        </w:tc>
        <w:tc>
          <w:tcPr>
            <w:tcW w:w="999" w:type="dxa"/>
            <w:noWrap w:val="0"/>
            <w:vAlign w:val="center"/>
          </w:tcPr>
          <w:p w14:paraId="4E06FF6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查尾矿库工程档案</w:t>
            </w:r>
          </w:p>
        </w:tc>
        <w:tc>
          <w:tcPr>
            <w:tcW w:w="1114" w:type="dxa"/>
            <w:noWrap w:val="0"/>
            <w:vAlign w:val="center"/>
          </w:tcPr>
          <w:p w14:paraId="5ECE07A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未提供无黏性、少黏性、黏性尾矿分层厚度要求。</w:t>
            </w:r>
          </w:p>
        </w:tc>
        <w:tc>
          <w:tcPr>
            <w:tcW w:w="544" w:type="dxa"/>
            <w:noWrap w:val="0"/>
            <w:vAlign w:val="center"/>
          </w:tcPr>
          <w:p w14:paraId="141B95E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8</w:t>
            </w:r>
          </w:p>
        </w:tc>
        <w:tc>
          <w:tcPr>
            <w:tcW w:w="751" w:type="dxa"/>
            <w:noWrap w:val="0"/>
            <w:vAlign w:val="center"/>
          </w:tcPr>
          <w:p w14:paraId="48E12624">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0D2789E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扣2分</w:t>
            </w:r>
          </w:p>
        </w:tc>
        <w:tc>
          <w:tcPr>
            <w:tcW w:w="775" w:type="dxa"/>
            <w:noWrap w:val="0"/>
            <w:vAlign w:val="center"/>
          </w:tcPr>
          <w:p w14:paraId="5F67EAA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6</w:t>
            </w:r>
          </w:p>
        </w:tc>
      </w:tr>
      <w:tr w14:paraId="35F7E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 w:hRule="atLeast"/>
          <w:jc w:val="center"/>
        </w:trPr>
        <w:tc>
          <w:tcPr>
            <w:tcW w:w="510" w:type="dxa"/>
            <w:noWrap w:val="0"/>
            <w:vAlign w:val="center"/>
          </w:tcPr>
          <w:p w14:paraId="406471C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6397" w:type="dxa"/>
            <w:gridSpan w:val="5"/>
            <w:noWrap w:val="0"/>
            <w:vAlign w:val="center"/>
          </w:tcPr>
          <w:p w14:paraId="5E69D0E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44" w:type="dxa"/>
            <w:noWrap w:val="0"/>
            <w:vAlign w:val="center"/>
          </w:tcPr>
          <w:p w14:paraId="79A922A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60</w:t>
            </w:r>
          </w:p>
        </w:tc>
        <w:tc>
          <w:tcPr>
            <w:tcW w:w="751" w:type="dxa"/>
            <w:noWrap w:val="0"/>
            <w:vAlign w:val="center"/>
          </w:tcPr>
          <w:p w14:paraId="5C7FC35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775" w:type="dxa"/>
            <w:noWrap w:val="0"/>
            <w:vAlign w:val="center"/>
          </w:tcPr>
          <w:p w14:paraId="23F3C13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56</w:t>
            </w:r>
          </w:p>
        </w:tc>
      </w:tr>
    </w:tbl>
    <w:p w14:paraId="003F3684">
      <w:pPr>
        <w:pStyle w:val="4"/>
        <w:bidi w:val="0"/>
        <w:rPr>
          <w:rFonts w:hint="default"/>
          <w:color w:val="auto"/>
          <w:lang w:val="en-US" w:eastAsia="zh-CN"/>
        </w:rPr>
      </w:pPr>
      <w:bookmarkStart w:id="407" w:name="_Toc32217"/>
      <w:bookmarkStart w:id="408" w:name="_Toc5129"/>
      <w:bookmarkStart w:id="409" w:name="_Toc28039"/>
      <w:bookmarkStart w:id="410" w:name="_Toc25468"/>
      <w:r>
        <w:rPr>
          <w:rFonts w:hint="default"/>
          <w:color w:val="auto"/>
          <w:lang w:val="en-US" w:eastAsia="zh-CN"/>
        </w:rPr>
        <w:t>5.2.2</w:t>
      </w:r>
      <w:r>
        <w:rPr>
          <w:rFonts w:hint="eastAsia"/>
          <w:color w:val="auto"/>
          <w:lang w:val="en-US" w:eastAsia="zh-CN"/>
        </w:rPr>
        <w:t xml:space="preserve"> </w:t>
      </w:r>
      <w:r>
        <w:rPr>
          <w:rFonts w:hint="default"/>
          <w:color w:val="auto"/>
          <w:lang w:val="en-US" w:eastAsia="zh-CN"/>
        </w:rPr>
        <w:t>尾矿坝稳定性分析</w:t>
      </w:r>
      <w:bookmarkEnd w:id="407"/>
      <w:bookmarkEnd w:id="408"/>
      <w:bookmarkEnd w:id="409"/>
      <w:bookmarkEnd w:id="410"/>
    </w:p>
    <w:p w14:paraId="0E5207F2">
      <w:pPr>
        <w:rPr>
          <w:rFonts w:hint="default"/>
          <w:color w:val="auto"/>
          <w:lang w:val="en-US" w:eastAsia="zh-CN"/>
        </w:rPr>
      </w:pPr>
      <w:r>
        <w:rPr>
          <w:rFonts w:hint="default"/>
          <w:color w:val="auto"/>
          <w:lang w:val="en-US" w:eastAsia="zh-CN"/>
        </w:rPr>
        <w:t>本节内容主要摘自202</w:t>
      </w:r>
      <w:r>
        <w:rPr>
          <w:rFonts w:hint="eastAsia"/>
          <w:color w:val="auto"/>
          <w:lang w:val="en-US" w:eastAsia="zh-CN"/>
        </w:rPr>
        <w:t>4</w:t>
      </w:r>
      <w:r>
        <w:rPr>
          <w:rFonts w:hint="default"/>
          <w:color w:val="auto"/>
          <w:lang w:val="en-US" w:eastAsia="zh-CN"/>
        </w:rPr>
        <w:t>年</w:t>
      </w:r>
      <w:r>
        <w:rPr>
          <w:rFonts w:hint="eastAsia"/>
          <w:color w:val="auto"/>
          <w:lang w:val="en-US" w:eastAsia="zh-CN"/>
        </w:rPr>
        <w:t>5</w:t>
      </w:r>
      <w:r>
        <w:rPr>
          <w:rFonts w:hint="default"/>
          <w:color w:val="auto"/>
          <w:lang w:val="en-US" w:eastAsia="zh-CN"/>
        </w:rPr>
        <w:t>月中筠国际设计集团有限公司的《江西省宜丰万国矿业有限公司宜丰新庄铜铅锌矿尾矿库坝体稳定性分析报告》。</w:t>
      </w:r>
    </w:p>
    <w:p w14:paraId="6273C837">
      <w:pPr>
        <w:numPr>
          <w:ilvl w:val="0"/>
          <w:numId w:val="0"/>
        </w:numPr>
        <w:bidi w:val="0"/>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default"/>
          <w:color w:val="auto"/>
          <w:lang w:val="en-US" w:eastAsia="zh-CN"/>
        </w:rPr>
        <w:t>尾矿库安全等级及允许安全系数</w:t>
      </w:r>
    </w:p>
    <w:p w14:paraId="6E894838">
      <w:pPr>
        <w:bidi w:val="0"/>
        <w:rPr>
          <w:rFonts w:hint="default"/>
          <w:color w:val="auto"/>
          <w:lang w:val="en-US" w:eastAsia="zh-CN"/>
        </w:rPr>
      </w:pPr>
      <w:bookmarkStart w:id="411" w:name="_Toc8793"/>
      <w:r>
        <w:rPr>
          <w:rFonts w:hint="default"/>
          <w:color w:val="auto"/>
          <w:lang w:val="en-US" w:eastAsia="zh-CN"/>
        </w:rPr>
        <w:t>坝体安全系数是衡量坝体稳定性的最终定量指标，它与坝体稳定性研究各项工作内容的原理、方法、代表性、可靠性以及各项定量参数的取用、坝体的高陡程度和服务年限、工程的重要性等有关，因此，最小允许安全系数的确定是一个非常复杂的专家系统问题。</w:t>
      </w:r>
    </w:p>
    <w:p w14:paraId="1E5380D8">
      <w:pPr>
        <w:bidi w:val="0"/>
        <w:rPr>
          <w:rFonts w:hint="default"/>
          <w:color w:val="auto"/>
          <w:lang w:val="en-US" w:eastAsia="zh-CN"/>
        </w:rPr>
      </w:pPr>
      <w:r>
        <w:rPr>
          <w:rFonts w:hint="default"/>
          <w:color w:val="auto"/>
          <w:lang w:val="en-US" w:eastAsia="zh-CN"/>
        </w:rPr>
        <w:t>在坝体极限平衡分析中，安全系数F=1时，坝体处于极限平衡状态。在理论上，只要F稍大于1（F=1+ε，ε为任意小的正数），坝体就是稳定的；反之，坝体就失稳。但在现阶段，对于坝体实际问题，人们很难做到恰使坝体安全系数F=1+ε的程度，常使F=1+ω（ω、ε为小于1的正数），以作安全储备。在具体的稳定性分析验算中，常以强度、水压和地震设防来储备。</w:t>
      </w:r>
    </w:p>
    <w:p w14:paraId="2E73F6EA">
      <w:pPr>
        <w:bidi w:val="0"/>
        <w:rPr>
          <w:rFonts w:hint="default"/>
          <w:color w:val="auto"/>
          <w:lang w:val="en-US" w:eastAsia="zh-CN"/>
        </w:rPr>
      </w:pPr>
      <w:r>
        <w:rPr>
          <w:rFonts w:hint="default"/>
          <w:color w:val="auto"/>
          <w:lang w:val="en-US" w:eastAsia="zh-CN"/>
        </w:rPr>
        <w:t>根据《尾矿库安全规程》</w:t>
      </w:r>
      <w:r>
        <w:rPr>
          <w:rFonts w:hint="eastAsia"/>
          <w:color w:val="auto"/>
          <w:lang w:val="en-US" w:eastAsia="zh-CN"/>
        </w:rPr>
        <w:t>（</w:t>
      </w:r>
      <w:r>
        <w:rPr>
          <w:rFonts w:hint="default"/>
          <w:color w:val="auto"/>
          <w:lang w:val="en-US" w:eastAsia="zh-CN"/>
        </w:rPr>
        <w:t>GB39496-2020</w:t>
      </w:r>
      <w:r>
        <w:rPr>
          <w:rFonts w:hint="eastAsia"/>
          <w:color w:val="auto"/>
          <w:lang w:val="en-US" w:eastAsia="zh-CN"/>
        </w:rPr>
        <w:t>）</w:t>
      </w:r>
      <w:r>
        <w:rPr>
          <w:rFonts w:hint="default"/>
          <w:color w:val="auto"/>
          <w:lang w:val="en-US" w:eastAsia="zh-CN"/>
        </w:rPr>
        <w:t>，尾矿库安全等别根据库容大小和坝体高度确定，分为一</w:t>
      </w:r>
      <w:r>
        <w:rPr>
          <w:rFonts w:hint="default"/>
          <w:color w:val="auto"/>
          <w:lang w:val="en-US" w:eastAsia="zh-CN"/>
        </w:rPr>
        <w:t>～</w:t>
      </w:r>
      <w:r>
        <w:rPr>
          <w:rFonts w:hint="default"/>
          <w:color w:val="auto"/>
          <w:lang w:val="en-US" w:eastAsia="zh-CN"/>
        </w:rPr>
        <w:t>五，5个等别。</w:t>
      </w:r>
    </w:p>
    <w:p w14:paraId="02EE5CA1">
      <w:pPr>
        <w:bidi w:val="0"/>
        <w:ind w:left="0" w:leftChars="0" w:firstLine="0" w:firstLineChars="0"/>
        <w:jc w:val="center"/>
        <w:rPr>
          <w:rFonts w:hint="default"/>
          <w:color w:val="auto"/>
          <w:lang w:val="en-US" w:eastAsia="zh-CN"/>
        </w:rPr>
      </w:pPr>
      <w:r>
        <w:rPr>
          <w:rFonts w:hint="eastAsia"/>
          <w:color w:val="auto"/>
          <w:lang w:val="en-US" w:eastAsia="zh-CN"/>
        </w:rPr>
        <w:t xml:space="preserve">表5.2-2 </w:t>
      </w:r>
      <w:r>
        <w:rPr>
          <w:rFonts w:hint="default"/>
          <w:color w:val="auto"/>
          <w:lang w:val="en-US" w:eastAsia="zh-CN"/>
        </w:rPr>
        <w:t>尾矿库等别</w:t>
      </w:r>
    </w:p>
    <w:tbl>
      <w:tblPr>
        <w:tblStyle w:val="2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36"/>
        <w:gridCol w:w="4251"/>
        <w:gridCol w:w="3101"/>
      </w:tblGrid>
      <w:tr w14:paraId="1FC5E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4" w:hRule="exact"/>
        </w:trPr>
        <w:tc>
          <w:tcPr>
            <w:tcW w:w="1042" w:type="pct"/>
            <w:noWrap w:val="0"/>
            <w:vAlign w:val="center"/>
          </w:tcPr>
          <w:p w14:paraId="4F6B32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等别</w:t>
            </w:r>
          </w:p>
        </w:tc>
        <w:tc>
          <w:tcPr>
            <w:tcW w:w="2288" w:type="pct"/>
            <w:noWrap w:val="0"/>
            <w:vAlign w:val="center"/>
          </w:tcPr>
          <w:p w14:paraId="7A93F0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全库容V（万m³）</w:t>
            </w:r>
          </w:p>
        </w:tc>
        <w:tc>
          <w:tcPr>
            <w:tcW w:w="1668" w:type="pct"/>
            <w:noWrap w:val="0"/>
            <w:vAlign w:val="center"/>
          </w:tcPr>
          <w:p w14:paraId="60CB2C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坝高H（m）</w:t>
            </w:r>
          </w:p>
        </w:tc>
      </w:tr>
      <w:tr w14:paraId="19184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exact"/>
        </w:trPr>
        <w:tc>
          <w:tcPr>
            <w:tcW w:w="1042" w:type="pct"/>
            <w:noWrap w:val="0"/>
            <w:vAlign w:val="center"/>
          </w:tcPr>
          <w:p w14:paraId="3EE9CB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一</w:t>
            </w:r>
          </w:p>
        </w:tc>
        <w:tc>
          <w:tcPr>
            <w:tcW w:w="3957" w:type="pct"/>
            <w:gridSpan w:val="2"/>
            <w:noWrap w:val="0"/>
            <w:vAlign w:val="center"/>
          </w:tcPr>
          <w:p w14:paraId="50694B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二等库具备提高等别条件者</w:t>
            </w:r>
          </w:p>
        </w:tc>
      </w:tr>
      <w:tr w14:paraId="531ACB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exact"/>
        </w:trPr>
        <w:tc>
          <w:tcPr>
            <w:tcW w:w="1042" w:type="pct"/>
            <w:noWrap w:val="0"/>
            <w:vAlign w:val="center"/>
          </w:tcPr>
          <w:p w14:paraId="27B350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w:t>
            </w:r>
          </w:p>
        </w:tc>
        <w:tc>
          <w:tcPr>
            <w:tcW w:w="2288" w:type="pct"/>
            <w:noWrap w:val="0"/>
            <w:vAlign w:val="center"/>
          </w:tcPr>
          <w:p w14:paraId="5EC158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V≥10000</w:t>
            </w:r>
          </w:p>
        </w:tc>
        <w:tc>
          <w:tcPr>
            <w:tcW w:w="1668" w:type="pct"/>
            <w:noWrap w:val="0"/>
            <w:vAlign w:val="center"/>
          </w:tcPr>
          <w:p w14:paraId="5C67C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H≥100</w:t>
            </w:r>
          </w:p>
        </w:tc>
      </w:tr>
      <w:tr w14:paraId="4F827A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exact"/>
        </w:trPr>
        <w:tc>
          <w:tcPr>
            <w:tcW w:w="1042" w:type="pct"/>
            <w:noWrap w:val="0"/>
            <w:vAlign w:val="center"/>
          </w:tcPr>
          <w:p w14:paraId="79E4C1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三</w:t>
            </w:r>
          </w:p>
        </w:tc>
        <w:tc>
          <w:tcPr>
            <w:tcW w:w="2288" w:type="pct"/>
            <w:noWrap w:val="0"/>
            <w:vAlign w:val="center"/>
          </w:tcPr>
          <w:p w14:paraId="1DF0C8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1000≤V＜10000</w:t>
            </w:r>
          </w:p>
        </w:tc>
        <w:tc>
          <w:tcPr>
            <w:tcW w:w="2845" w:type="dxa"/>
            <w:noWrap w:val="0"/>
            <w:vAlign w:val="center"/>
          </w:tcPr>
          <w:p w14:paraId="6960B8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60≤H＜100</w:t>
            </w:r>
          </w:p>
        </w:tc>
      </w:tr>
      <w:tr w14:paraId="192B66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exact"/>
        </w:trPr>
        <w:tc>
          <w:tcPr>
            <w:tcW w:w="1042" w:type="pct"/>
            <w:noWrap w:val="0"/>
            <w:vAlign w:val="center"/>
          </w:tcPr>
          <w:p w14:paraId="7DAEBC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四</w:t>
            </w:r>
          </w:p>
        </w:tc>
        <w:tc>
          <w:tcPr>
            <w:tcW w:w="2288" w:type="pct"/>
            <w:noWrap w:val="0"/>
            <w:vAlign w:val="center"/>
          </w:tcPr>
          <w:p w14:paraId="2B0A17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100≤V＜1000</w:t>
            </w:r>
          </w:p>
        </w:tc>
        <w:tc>
          <w:tcPr>
            <w:tcW w:w="2845" w:type="dxa"/>
            <w:noWrap w:val="0"/>
            <w:vAlign w:val="center"/>
          </w:tcPr>
          <w:p w14:paraId="4F1153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30≤H＜60</w:t>
            </w:r>
          </w:p>
        </w:tc>
      </w:tr>
      <w:tr w14:paraId="09733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0" w:hRule="exact"/>
        </w:trPr>
        <w:tc>
          <w:tcPr>
            <w:tcW w:w="1042" w:type="pct"/>
            <w:noWrap w:val="0"/>
            <w:vAlign w:val="center"/>
          </w:tcPr>
          <w:p w14:paraId="7DBE8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w:t>
            </w:r>
          </w:p>
        </w:tc>
        <w:tc>
          <w:tcPr>
            <w:tcW w:w="2288" w:type="pct"/>
            <w:noWrap w:val="0"/>
            <w:vAlign w:val="center"/>
          </w:tcPr>
          <w:p w14:paraId="718DCE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V＜100</w:t>
            </w:r>
          </w:p>
        </w:tc>
        <w:tc>
          <w:tcPr>
            <w:tcW w:w="2845" w:type="dxa"/>
            <w:noWrap w:val="0"/>
            <w:vAlign w:val="center"/>
          </w:tcPr>
          <w:p w14:paraId="4A60E9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H＜30</w:t>
            </w:r>
          </w:p>
        </w:tc>
      </w:tr>
    </w:tbl>
    <w:p w14:paraId="344E0253">
      <w:pPr>
        <w:bidi w:val="0"/>
        <w:rPr>
          <w:rFonts w:hint="default"/>
          <w:color w:val="auto"/>
          <w:lang w:val="en-US" w:eastAsia="zh-CN"/>
        </w:rPr>
      </w:pPr>
      <w:r>
        <w:rPr>
          <w:rFonts w:hint="default"/>
          <w:color w:val="auto"/>
          <w:lang w:val="en-US" w:eastAsia="zh-CN"/>
        </w:rPr>
        <w:t>根据尾矿库的现状，坝体发生破坏将影响库区正常生产生活，有可能对运输车辆及人员、设备及工人造成重大伤亡及潜在的经济损失。现状坝体高度小于60m，尾矿库总库容小于1000万m</w:t>
      </w:r>
      <w:r>
        <w:rPr>
          <w:rFonts w:hint="default"/>
          <w:color w:val="auto"/>
          <w:vertAlign w:val="superscript"/>
          <w:lang w:val="en-US" w:eastAsia="zh-CN"/>
        </w:rPr>
        <w:t>3</w:t>
      </w:r>
      <w:r>
        <w:rPr>
          <w:rFonts w:hint="default"/>
          <w:color w:val="auto"/>
          <w:lang w:val="en-US" w:eastAsia="zh-CN"/>
        </w:rPr>
        <w:t>，根据《</w:t>
      </w:r>
      <w:r>
        <w:rPr>
          <w:rFonts w:hint="default"/>
          <w:color w:val="auto"/>
          <w:lang w:val="en-US" w:eastAsia="zh-CN"/>
        </w:rPr>
        <w:t>尾矿库安全规程</w:t>
      </w:r>
      <w:r>
        <w:rPr>
          <w:rFonts w:hint="default"/>
          <w:color w:val="auto"/>
          <w:lang w:val="en-US" w:eastAsia="zh-CN"/>
        </w:rPr>
        <w:t>》，该尾矿库定为四等库。</w:t>
      </w:r>
    </w:p>
    <w:p w14:paraId="684A4B3E">
      <w:pPr>
        <w:bidi w:val="0"/>
        <w:rPr>
          <w:rFonts w:hint="default"/>
          <w:color w:val="auto"/>
          <w:lang w:val="en-US" w:eastAsia="zh-CN"/>
        </w:rPr>
      </w:pPr>
      <w:r>
        <w:rPr>
          <w:rFonts w:hint="default"/>
          <w:color w:val="auto"/>
          <w:lang w:val="en-US" w:eastAsia="zh-CN"/>
        </w:rPr>
        <w:t>根据目前现有的规范规定，对坝体安全系数规定见</w:t>
      </w:r>
      <w:r>
        <w:rPr>
          <w:rFonts w:hint="eastAsia"/>
          <w:color w:val="auto"/>
          <w:lang w:val="en-US" w:eastAsia="zh-CN"/>
        </w:rPr>
        <w:t>表5.2-3</w:t>
      </w:r>
      <w:r>
        <w:rPr>
          <w:rFonts w:hint="default"/>
          <w:color w:val="auto"/>
          <w:lang w:val="en-US" w:eastAsia="zh-CN"/>
        </w:rPr>
        <w:t>。</w:t>
      </w:r>
    </w:p>
    <w:p w14:paraId="226F3391">
      <w:pPr>
        <w:bidi w:val="0"/>
        <w:ind w:left="0" w:leftChars="0" w:firstLine="0" w:firstLineChars="0"/>
        <w:jc w:val="center"/>
        <w:rPr>
          <w:rFonts w:hint="default"/>
          <w:color w:val="auto"/>
          <w:lang w:val="en-US" w:eastAsia="zh-CN"/>
        </w:rPr>
      </w:pPr>
      <w:r>
        <w:rPr>
          <w:rFonts w:hint="eastAsia"/>
          <w:color w:val="auto"/>
          <w:lang w:val="en-US" w:eastAsia="zh-CN"/>
        </w:rPr>
        <w:t xml:space="preserve">表5.2-3 </w:t>
      </w:r>
      <w:r>
        <w:rPr>
          <w:rFonts w:hint="default"/>
          <w:color w:val="auto"/>
          <w:lang w:val="en-US" w:eastAsia="zh-CN"/>
        </w:rPr>
        <w:t>坝坡抗滑稳定最小安全系数</w:t>
      </w:r>
    </w:p>
    <w:tbl>
      <w:tblPr>
        <w:tblStyle w:val="20"/>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2176"/>
        <w:gridCol w:w="1859"/>
        <w:gridCol w:w="1857"/>
        <w:gridCol w:w="1861"/>
      </w:tblGrid>
      <w:tr w14:paraId="797AF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4" w:type="pct"/>
            <w:vMerge w:val="restart"/>
            <w:noWrap w:val="0"/>
            <w:vAlign w:val="center"/>
          </w:tcPr>
          <w:p w14:paraId="336F98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运用情况</w:t>
            </w:r>
          </w:p>
        </w:tc>
        <w:tc>
          <w:tcPr>
            <w:tcW w:w="4175" w:type="pct"/>
            <w:gridSpan w:val="4"/>
            <w:noWrap w:val="0"/>
            <w:vAlign w:val="center"/>
          </w:tcPr>
          <w:p w14:paraId="4A267E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坝的级别</w:t>
            </w:r>
          </w:p>
        </w:tc>
      </w:tr>
      <w:tr w14:paraId="2E393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4" w:type="pct"/>
            <w:vMerge w:val="continue"/>
            <w:noWrap w:val="0"/>
            <w:vAlign w:val="center"/>
          </w:tcPr>
          <w:p w14:paraId="61B6AE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p>
        </w:tc>
        <w:tc>
          <w:tcPr>
            <w:tcW w:w="1172" w:type="pct"/>
            <w:noWrap w:val="0"/>
            <w:vAlign w:val="center"/>
          </w:tcPr>
          <w:p w14:paraId="1CADDA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w:t>
            </w:r>
          </w:p>
        </w:tc>
        <w:tc>
          <w:tcPr>
            <w:tcW w:w="1001" w:type="pct"/>
            <w:noWrap w:val="0"/>
            <w:vAlign w:val="center"/>
          </w:tcPr>
          <w:p w14:paraId="7258E3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w:t>
            </w:r>
          </w:p>
        </w:tc>
        <w:tc>
          <w:tcPr>
            <w:tcW w:w="1000" w:type="pct"/>
            <w:noWrap w:val="0"/>
            <w:vAlign w:val="center"/>
          </w:tcPr>
          <w:p w14:paraId="679141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3</w:t>
            </w:r>
          </w:p>
        </w:tc>
        <w:tc>
          <w:tcPr>
            <w:tcW w:w="1000" w:type="pct"/>
            <w:noWrap w:val="0"/>
            <w:vAlign w:val="center"/>
          </w:tcPr>
          <w:p w14:paraId="11DE7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p>
        </w:tc>
      </w:tr>
      <w:tr w14:paraId="6E5BA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4" w:type="pct"/>
            <w:noWrap w:val="0"/>
            <w:vAlign w:val="center"/>
          </w:tcPr>
          <w:p w14:paraId="71805B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正常</w:t>
            </w:r>
          </w:p>
        </w:tc>
        <w:tc>
          <w:tcPr>
            <w:tcW w:w="1172" w:type="pct"/>
            <w:noWrap w:val="0"/>
            <w:vAlign w:val="center"/>
          </w:tcPr>
          <w:p w14:paraId="56B166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1.30</w:t>
            </w:r>
          </w:p>
        </w:tc>
        <w:tc>
          <w:tcPr>
            <w:tcW w:w="1001" w:type="pct"/>
            <w:noWrap w:val="0"/>
            <w:vAlign w:val="center"/>
          </w:tcPr>
          <w:p w14:paraId="30CC0D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1.25</w:t>
            </w:r>
          </w:p>
        </w:tc>
        <w:tc>
          <w:tcPr>
            <w:tcW w:w="1000" w:type="pct"/>
            <w:noWrap w:val="0"/>
            <w:vAlign w:val="center"/>
          </w:tcPr>
          <w:p w14:paraId="50FFD9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1.20</w:t>
            </w:r>
          </w:p>
        </w:tc>
        <w:tc>
          <w:tcPr>
            <w:tcW w:w="1000" w:type="pct"/>
            <w:noWrap w:val="0"/>
            <w:vAlign w:val="center"/>
          </w:tcPr>
          <w:p w14:paraId="6524C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1.15</w:t>
            </w:r>
          </w:p>
        </w:tc>
      </w:tr>
      <w:tr w14:paraId="63D78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4" w:type="pct"/>
            <w:noWrap w:val="0"/>
            <w:vAlign w:val="center"/>
          </w:tcPr>
          <w:p w14:paraId="048F29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洪水</w:t>
            </w:r>
          </w:p>
        </w:tc>
        <w:tc>
          <w:tcPr>
            <w:tcW w:w="1172" w:type="pct"/>
            <w:noWrap w:val="0"/>
            <w:vAlign w:val="center"/>
          </w:tcPr>
          <w:p w14:paraId="36A6D9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1.20</w:t>
            </w:r>
          </w:p>
        </w:tc>
        <w:tc>
          <w:tcPr>
            <w:tcW w:w="1001" w:type="pct"/>
            <w:noWrap w:val="0"/>
            <w:vAlign w:val="center"/>
          </w:tcPr>
          <w:p w14:paraId="7E1FD8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1.15</w:t>
            </w:r>
          </w:p>
        </w:tc>
        <w:tc>
          <w:tcPr>
            <w:tcW w:w="1000" w:type="pct"/>
            <w:noWrap w:val="0"/>
            <w:vAlign w:val="center"/>
          </w:tcPr>
          <w:p w14:paraId="3AE42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1.10</w:t>
            </w:r>
          </w:p>
        </w:tc>
        <w:tc>
          <w:tcPr>
            <w:tcW w:w="1000" w:type="pct"/>
            <w:noWrap w:val="0"/>
            <w:vAlign w:val="center"/>
          </w:tcPr>
          <w:p w14:paraId="1F6FC1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1.05</w:t>
            </w:r>
          </w:p>
        </w:tc>
      </w:tr>
      <w:tr w14:paraId="0BD86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4" w:type="pct"/>
            <w:noWrap w:val="0"/>
            <w:vAlign w:val="center"/>
          </w:tcPr>
          <w:p w14:paraId="6BEFE0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特殊</w:t>
            </w:r>
          </w:p>
        </w:tc>
        <w:tc>
          <w:tcPr>
            <w:tcW w:w="1172" w:type="pct"/>
            <w:noWrap w:val="0"/>
            <w:vAlign w:val="center"/>
          </w:tcPr>
          <w:p w14:paraId="78EE0E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1.10</w:t>
            </w:r>
          </w:p>
        </w:tc>
        <w:tc>
          <w:tcPr>
            <w:tcW w:w="1001" w:type="pct"/>
            <w:noWrap w:val="0"/>
            <w:vAlign w:val="center"/>
          </w:tcPr>
          <w:p w14:paraId="1EAB0A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1.05</w:t>
            </w:r>
          </w:p>
        </w:tc>
        <w:tc>
          <w:tcPr>
            <w:tcW w:w="1000" w:type="pct"/>
            <w:noWrap w:val="0"/>
            <w:vAlign w:val="center"/>
          </w:tcPr>
          <w:p w14:paraId="56A139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1.05</w:t>
            </w:r>
          </w:p>
        </w:tc>
        <w:tc>
          <w:tcPr>
            <w:tcW w:w="1000" w:type="pct"/>
            <w:noWrap w:val="0"/>
            <w:vAlign w:val="center"/>
          </w:tcPr>
          <w:p w14:paraId="38046F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1.00</w:t>
            </w:r>
          </w:p>
        </w:tc>
      </w:tr>
    </w:tbl>
    <w:p w14:paraId="7B6B66FC">
      <w:pPr>
        <w:bidi w:val="0"/>
        <w:rPr>
          <w:rFonts w:hint="default"/>
          <w:b/>
          <w:bCs/>
          <w:color w:val="auto"/>
          <w:sz w:val="18"/>
          <w:szCs w:val="18"/>
          <w:lang w:val="en-US" w:eastAsia="zh-CN"/>
        </w:rPr>
      </w:pPr>
      <w:r>
        <w:rPr>
          <w:rFonts w:hint="default"/>
          <w:b/>
          <w:bCs/>
          <w:color w:val="auto"/>
          <w:sz w:val="18"/>
          <w:szCs w:val="18"/>
          <w:lang w:val="en-US" w:eastAsia="zh-CN"/>
        </w:rPr>
        <w:t>注：根据《碾压式土石坝设计规范》</w:t>
      </w:r>
      <w:r>
        <w:rPr>
          <w:rFonts w:hint="eastAsia"/>
          <w:b/>
          <w:bCs/>
          <w:color w:val="auto"/>
          <w:sz w:val="18"/>
          <w:szCs w:val="18"/>
          <w:lang w:val="en-US" w:eastAsia="zh-CN"/>
        </w:rPr>
        <w:t>（</w:t>
      </w:r>
      <w:r>
        <w:rPr>
          <w:rFonts w:hint="default"/>
          <w:b/>
          <w:bCs/>
          <w:color w:val="auto"/>
          <w:sz w:val="18"/>
          <w:szCs w:val="18"/>
          <w:lang w:val="en-US" w:eastAsia="zh-CN"/>
        </w:rPr>
        <w:t>SL274-2020</w:t>
      </w:r>
      <w:r>
        <w:rPr>
          <w:rFonts w:hint="eastAsia"/>
          <w:b/>
          <w:bCs/>
          <w:color w:val="auto"/>
          <w:sz w:val="18"/>
          <w:szCs w:val="18"/>
          <w:lang w:val="en-US" w:eastAsia="zh-CN"/>
        </w:rPr>
        <w:t>）</w:t>
      </w:r>
      <w:r>
        <w:rPr>
          <w:rFonts w:hint="default"/>
          <w:b/>
          <w:bCs/>
          <w:color w:val="auto"/>
          <w:sz w:val="18"/>
          <w:szCs w:val="18"/>
          <w:lang w:val="en-US" w:eastAsia="zh-CN"/>
        </w:rPr>
        <w:t>和《尾矿库安全规程》（GB39496-2020）渗流计算应考虑尾矿库运行中出现的各种不利组合，尾矿坝渗流计算工况见表5</w:t>
      </w:r>
      <w:r>
        <w:rPr>
          <w:rFonts w:hint="eastAsia"/>
          <w:b/>
          <w:bCs/>
          <w:color w:val="auto"/>
          <w:sz w:val="18"/>
          <w:szCs w:val="18"/>
          <w:lang w:val="en-US" w:eastAsia="zh-CN"/>
        </w:rPr>
        <w:t>.2-3</w:t>
      </w:r>
      <w:r>
        <w:rPr>
          <w:rFonts w:hint="default"/>
          <w:b/>
          <w:bCs/>
          <w:color w:val="auto"/>
          <w:sz w:val="18"/>
          <w:szCs w:val="18"/>
          <w:lang w:val="en-US" w:eastAsia="zh-CN"/>
        </w:rPr>
        <w:t>。</w:t>
      </w:r>
    </w:p>
    <w:p w14:paraId="6D8C1EB8">
      <w:pPr>
        <w:bidi w:val="0"/>
        <w:rPr>
          <w:rFonts w:hint="default"/>
          <w:b/>
          <w:bCs/>
          <w:color w:val="auto"/>
          <w:sz w:val="18"/>
          <w:szCs w:val="18"/>
          <w:lang w:val="en-US" w:eastAsia="zh-CN"/>
        </w:rPr>
      </w:pPr>
      <w:r>
        <w:rPr>
          <w:rFonts w:hint="default"/>
          <w:b/>
          <w:bCs/>
          <w:color w:val="auto"/>
          <w:sz w:val="18"/>
          <w:szCs w:val="18"/>
          <w:lang w:val="en-US" w:eastAsia="zh-CN"/>
        </w:rPr>
        <w:t>计算模型中上游库底及下游坡脚以上和水位线以下水头边界条件根据上下游水位可确定，水位线以上和坝顶以下为不透水边界，下游坝顶以下和水位线以上为可能浸出面。模型中坝基上游边界和下游边界均按不透水边界考虑。</w:t>
      </w:r>
    </w:p>
    <w:p w14:paraId="67D61466">
      <w:pPr>
        <w:bidi w:val="0"/>
        <w:ind w:left="0" w:leftChars="0" w:firstLine="0" w:firstLineChars="0"/>
        <w:jc w:val="center"/>
        <w:rPr>
          <w:rFonts w:hint="default"/>
          <w:color w:val="auto"/>
          <w:lang w:val="en-US" w:eastAsia="zh-CN"/>
        </w:rPr>
      </w:pPr>
      <w:r>
        <w:rPr>
          <w:rFonts w:hint="eastAsia"/>
          <w:color w:val="auto"/>
          <w:lang w:val="en-US" w:eastAsia="zh-CN"/>
        </w:rPr>
        <w:t xml:space="preserve">表5.2-4 </w:t>
      </w:r>
      <w:r>
        <w:rPr>
          <w:rFonts w:hint="default"/>
          <w:color w:val="auto"/>
          <w:lang w:val="en-US" w:eastAsia="zh-CN"/>
        </w:rPr>
        <w:t>尾矿坝渗流计算工况表</w:t>
      </w:r>
    </w:p>
    <w:tbl>
      <w:tblPr>
        <w:tblStyle w:val="20"/>
        <w:tblW w:w="8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0"/>
        <w:gridCol w:w="1774"/>
        <w:gridCol w:w="1559"/>
        <w:gridCol w:w="1559"/>
        <w:gridCol w:w="1660"/>
      </w:tblGrid>
      <w:tr w14:paraId="13729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4" w:hRule="atLeast"/>
          <w:jc w:val="center"/>
        </w:trPr>
        <w:tc>
          <w:tcPr>
            <w:tcW w:w="2020" w:type="dxa"/>
            <w:noWrap w:val="0"/>
            <w:vAlign w:val="center"/>
          </w:tcPr>
          <w:p w14:paraId="609CDB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类型</w:t>
            </w:r>
          </w:p>
        </w:tc>
        <w:tc>
          <w:tcPr>
            <w:tcW w:w="1774" w:type="dxa"/>
            <w:noWrap w:val="0"/>
            <w:vAlign w:val="center"/>
          </w:tcPr>
          <w:p w14:paraId="73431D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工况</w:t>
            </w:r>
          </w:p>
        </w:tc>
        <w:tc>
          <w:tcPr>
            <w:tcW w:w="1559" w:type="dxa"/>
            <w:noWrap w:val="0"/>
            <w:vAlign w:val="center"/>
          </w:tcPr>
          <w:p w14:paraId="2AFF15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上游水位(m)</w:t>
            </w:r>
          </w:p>
        </w:tc>
        <w:tc>
          <w:tcPr>
            <w:tcW w:w="1559" w:type="dxa"/>
            <w:noWrap w:val="0"/>
            <w:vAlign w:val="center"/>
          </w:tcPr>
          <w:p w14:paraId="79B788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下游水位(m)</w:t>
            </w:r>
          </w:p>
        </w:tc>
        <w:tc>
          <w:tcPr>
            <w:tcW w:w="1660" w:type="dxa"/>
            <w:noWrap w:val="0"/>
            <w:vAlign w:val="center"/>
          </w:tcPr>
          <w:p w14:paraId="70112C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备注</w:t>
            </w:r>
          </w:p>
        </w:tc>
      </w:tr>
      <w:tr w14:paraId="5FE06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2020" w:type="dxa"/>
            <w:vMerge w:val="restart"/>
            <w:noWrap w:val="0"/>
            <w:vAlign w:val="center"/>
          </w:tcPr>
          <w:p w14:paraId="329BE4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堆积坝</w:t>
            </w:r>
          </w:p>
        </w:tc>
        <w:tc>
          <w:tcPr>
            <w:tcW w:w="1774" w:type="dxa"/>
            <w:noWrap w:val="0"/>
            <w:vAlign w:val="center"/>
          </w:tcPr>
          <w:p w14:paraId="462823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正常运行</w:t>
            </w:r>
          </w:p>
        </w:tc>
        <w:tc>
          <w:tcPr>
            <w:tcW w:w="1559" w:type="dxa"/>
            <w:noWrap w:val="0"/>
            <w:vAlign w:val="center"/>
          </w:tcPr>
          <w:p w14:paraId="68410A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84.5</w:t>
            </w:r>
          </w:p>
        </w:tc>
        <w:tc>
          <w:tcPr>
            <w:tcW w:w="1559" w:type="dxa"/>
            <w:noWrap w:val="0"/>
            <w:vAlign w:val="center"/>
          </w:tcPr>
          <w:p w14:paraId="12B5EF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56.1</w:t>
            </w:r>
          </w:p>
        </w:tc>
        <w:tc>
          <w:tcPr>
            <w:tcW w:w="1660" w:type="dxa"/>
            <w:vMerge w:val="restart"/>
            <w:noWrap w:val="0"/>
            <w:vAlign w:val="center"/>
          </w:tcPr>
          <w:p w14:paraId="56CD51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考虑了坝底排渗,未考虑尾积坝的水平和垂直联合排渗</w:t>
            </w:r>
          </w:p>
        </w:tc>
      </w:tr>
      <w:tr w14:paraId="56E12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2020" w:type="dxa"/>
            <w:vMerge w:val="continue"/>
            <w:noWrap w:val="0"/>
            <w:vAlign w:val="center"/>
          </w:tcPr>
          <w:p w14:paraId="56E4239D">
            <w:pPr>
              <w:adjustRightInd w:val="0"/>
              <w:snapToGrid w:val="0"/>
              <w:jc w:val="center"/>
              <w:rPr>
                <w:rFonts w:hint="eastAsia" w:ascii="宋体" w:hAnsi="宋体" w:eastAsia="宋体" w:cs="宋体"/>
                <w:color w:val="auto"/>
                <w:szCs w:val="21"/>
                <w:lang w:val="en-US" w:eastAsia="zh-CN"/>
              </w:rPr>
            </w:pPr>
          </w:p>
        </w:tc>
        <w:tc>
          <w:tcPr>
            <w:tcW w:w="1774" w:type="dxa"/>
            <w:noWrap w:val="0"/>
            <w:vAlign w:val="center"/>
          </w:tcPr>
          <w:p w14:paraId="5FB951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洪水运行</w:t>
            </w:r>
          </w:p>
        </w:tc>
        <w:tc>
          <w:tcPr>
            <w:tcW w:w="1559" w:type="dxa"/>
            <w:noWrap w:val="0"/>
            <w:vAlign w:val="center"/>
          </w:tcPr>
          <w:p w14:paraId="54E195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85.5</w:t>
            </w:r>
          </w:p>
        </w:tc>
        <w:tc>
          <w:tcPr>
            <w:tcW w:w="1559" w:type="dxa"/>
            <w:noWrap w:val="0"/>
            <w:vAlign w:val="center"/>
          </w:tcPr>
          <w:p w14:paraId="5D3A60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56.1</w:t>
            </w:r>
          </w:p>
        </w:tc>
        <w:tc>
          <w:tcPr>
            <w:tcW w:w="1660" w:type="dxa"/>
            <w:vMerge w:val="continue"/>
            <w:noWrap w:val="0"/>
            <w:vAlign w:val="center"/>
          </w:tcPr>
          <w:p w14:paraId="2E86B6AF">
            <w:pPr>
              <w:ind w:firstLine="362" w:firstLineChars="151"/>
              <w:rPr>
                <w:rFonts w:hint="eastAsia" w:ascii="宋体" w:hAnsi="宋体" w:cs="Arial"/>
                <w:color w:val="auto"/>
                <w:sz w:val="24"/>
              </w:rPr>
            </w:pPr>
          </w:p>
        </w:tc>
      </w:tr>
    </w:tbl>
    <w:p w14:paraId="4DD5935F">
      <w:pPr>
        <w:bidi w:val="0"/>
        <w:rPr>
          <w:rFonts w:hint="default"/>
          <w:color w:val="auto"/>
          <w:lang w:val="en-US" w:eastAsia="zh-CN"/>
        </w:rPr>
      </w:pPr>
      <w:r>
        <w:rPr>
          <w:rFonts w:hint="default"/>
          <w:color w:val="auto"/>
          <w:lang w:val="en-US" w:eastAsia="zh-CN"/>
        </w:rPr>
        <w:t>综合上述，结合工程实践经验与宜丰新庄铜铅锌矿尾矿库坝体的工程实际，本次研究选用允许安全系数为：正常运行工况</w:t>
      </w:r>
      <w:r>
        <w:rPr>
          <w:rFonts w:hint="eastAsia" w:ascii="宋体" w:hAnsi="宋体" w:eastAsia="宋体" w:cs="宋体"/>
          <w:color w:val="auto"/>
          <w:lang w:val="en-US" w:eastAsia="zh-CN"/>
        </w:rPr>
        <w:t>Ⅰ</w:t>
      </w:r>
      <w:r>
        <w:rPr>
          <w:rFonts w:hint="default"/>
          <w:color w:val="auto"/>
          <w:lang w:val="en-US" w:eastAsia="zh-CN"/>
        </w:rPr>
        <w:t>F=1.15、洪水运行工况</w:t>
      </w:r>
      <w:r>
        <w:rPr>
          <w:rFonts w:hint="eastAsia" w:ascii="宋体" w:hAnsi="宋体" w:eastAsia="宋体" w:cs="宋体"/>
          <w:color w:val="auto"/>
          <w:lang w:val="en-US" w:eastAsia="zh-CN"/>
        </w:rPr>
        <w:t>Ⅱ</w:t>
      </w:r>
      <w:r>
        <w:rPr>
          <w:rFonts w:hint="default"/>
          <w:color w:val="auto"/>
          <w:lang w:val="en-US" w:eastAsia="zh-CN"/>
        </w:rPr>
        <w:t>F＝1.05；地震运行工况</w:t>
      </w:r>
      <w:r>
        <w:rPr>
          <w:rFonts w:hint="eastAsia" w:ascii="宋体" w:hAnsi="宋体" w:eastAsia="宋体" w:cs="宋体"/>
          <w:color w:val="auto"/>
          <w:lang w:val="en-US" w:eastAsia="zh-CN"/>
        </w:rPr>
        <w:t>Ⅲ</w:t>
      </w:r>
      <w:r>
        <w:rPr>
          <w:rFonts w:hint="default"/>
          <w:color w:val="auto"/>
          <w:lang w:val="en-US" w:eastAsia="zh-CN"/>
        </w:rPr>
        <w:t>F＝1.00，对应的计算方法为Morgenstern-Price法，Bishop法作为参考与校核。</w:t>
      </w:r>
    </w:p>
    <w:p w14:paraId="22FCAF0F">
      <w:pPr>
        <w:pStyle w:val="12"/>
        <w:rPr>
          <w:rFonts w:hint="default"/>
          <w:color w:val="auto"/>
          <w:lang w:val="en-US" w:eastAsia="zh-CN"/>
        </w:rPr>
      </w:pPr>
      <w:r>
        <w:rPr>
          <w:rFonts w:hint="eastAsia" w:ascii="Times New Roman" w:hAnsi="Times New Roman" w:eastAsia="宋体" w:cs="Times New Roman"/>
          <w:color w:val="auto"/>
          <w:kern w:val="2"/>
          <w:sz w:val="28"/>
          <w:szCs w:val="24"/>
          <w:lang w:val="en-US" w:eastAsia="zh-CN" w:bidi="ar-SA"/>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稳定性计算结果</w:t>
      </w:r>
    </w:p>
    <w:p w14:paraId="37D71AAF">
      <w:pPr>
        <w:bidi w:val="0"/>
        <w:rPr>
          <w:rFonts w:hint="default"/>
          <w:color w:val="auto"/>
          <w:lang w:val="en-US" w:eastAsia="zh-CN"/>
        </w:rPr>
      </w:pPr>
      <w:r>
        <w:rPr>
          <w:rFonts w:hint="default"/>
          <w:color w:val="auto"/>
          <w:lang w:val="en-US" w:eastAsia="zh-CN"/>
        </w:rPr>
        <w:t>对A剖面在现状条件下不同荷载组合进行了稳定性计算，结果表5</w:t>
      </w:r>
      <w:r>
        <w:rPr>
          <w:rFonts w:hint="eastAsia"/>
          <w:color w:val="auto"/>
          <w:lang w:val="en-US" w:eastAsia="zh-CN"/>
        </w:rPr>
        <w:t>.2</w:t>
      </w:r>
      <w:r>
        <w:rPr>
          <w:rFonts w:hint="default"/>
          <w:color w:val="auto"/>
          <w:lang w:val="en-US" w:eastAsia="zh-CN"/>
        </w:rPr>
        <w:t>-</w:t>
      </w:r>
      <w:r>
        <w:rPr>
          <w:rFonts w:hint="eastAsia"/>
          <w:color w:val="auto"/>
          <w:lang w:val="en-US" w:eastAsia="zh-CN"/>
        </w:rPr>
        <w:t>5</w:t>
      </w:r>
      <w:r>
        <w:rPr>
          <w:rFonts w:hint="default"/>
          <w:color w:val="auto"/>
          <w:lang w:val="en-US" w:eastAsia="zh-CN"/>
        </w:rPr>
        <w:t>和如图5</w:t>
      </w:r>
      <w:r>
        <w:rPr>
          <w:rFonts w:hint="eastAsia"/>
          <w:color w:val="auto"/>
          <w:lang w:val="en-US" w:eastAsia="zh-CN"/>
        </w:rPr>
        <w:t>.2</w:t>
      </w:r>
      <w:r>
        <w:rPr>
          <w:rFonts w:hint="default"/>
          <w:color w:val="auto"/>
          <w:lang w:val="en-US" w:eastAsia="zh-CN"/>
        </w:rPr>
        <w:t>-</w:t>
      </w:r>
      <w:r>
        <w:rPr>
          <w:rFonts w:hint="eastAsia"/>
          <w:color w:val="auto"/>
          <w:lang w:val="en-US" w:eastAsia="zh-CN"/>
        </w:rPr>
        <w:t>1</w:t>
      </w:r>
      <w:r>
        <w:rPr>
          <w:rFonts w:hint="default"/>
          <w:color w:val="auto"/>
          <w:lang w:val="en-US" w:eastAsia="zh-CN"/>
        </w:rPr>
        <w:t>～</w:t>
      </w:r>
      <w:r>
        <w:rPr>
          <w:rFonts w:hint="default"/>
          <w:color w:val="auto"/>
          <w:lang w:val="en-US" w:eastAsia="zh-CN"/>
        </w:rPr>
        <w:t>5-</w:t>
      </w:r>
      <w:r>
        <w:rPr>
          <w:rFonts w:hint="eastAsia"/>
          <w:color w:val="auto"/>
          <w:lang w:val="en-US" w:eastAsia="zh-CN"/>
        </w:rPr>
        <w:t>6</w:t>
      </w:r>
      <w:r>
        <w:rPr>
          <w:rFonts w:hint="default"/>
          <w:color w:val="auto"/>
          <w:lang w:val="en-US" w:eastAsia="zh-CN"/>
        </w:rPr>
        <w:t>所示。各剖面的计算结果显示，宜丰新庄铜铅锌矿尾矿库坝体现状坝体条件下，坝体稳定性安全系数都大于允许安全系数，坝体稳定性计算结果满足规范要求。</w:t>
      </w:r>
    </w:p>
    <w:p w14:paraId="4DDEC383">
      <w:pPr>
        <w:bidi w:val="0"/>
        <w:ind w:left="0" w:leftChars="0" w:firstLine="0" w:firstLineChars="0"/>
        <w:jc w:val="center"/>
        <w:rPr>
          <w:rFonts w:hint="default"/>
          <w:color w:val="auto"/>
          <w:lang w:val="en-US" w:eastAsia="zh-CN"/>
        </w:rPr>
      </w:pPr>
      <w:r>
        <w:rPr>
          <w:rFonts w:hint="default"/>
          <w:color w:val="auto"/>
          <w:lang w:val="en-US" w:eastAsia="zh-CN"/>
        </w:rPr>
        <w:t>表5.2-5 不同荷载组合下稳定性计算结果</w:t>
      </w:r>
    </w:p>
    <w:tbl>
      <w:tblPr>
        <w:tblStyle w:val="20"/>
        <w:tblW w:w="50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889"/>
        <w:gridCol w:w="2316"/>
        <w:gridCol w:w="2125"/>
        <w:gridCol w:w="979"/>
        <w:gridCol w:w="1101"/>
        <w:gridCol w:w="1202"/>
      </w:tblGrid>
      <w:tr w14:paraId="72E8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Merge w:val="restart"/>
            <w:noWrap w:val="0"/>
            <w:vAlign w:val="center"/>
          </w:tcPr>
          <w:p w14:paraId="0EF8EE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剖面编号</w:t>
            </w:r>
          </w:p>
        </w:tc>
        <w:tc>
          <w:tcPr>
            <w:tcW w:w="473" w:type="pct"/>
            <w:vMerge w:val="restart"/>
            <w:noWrap w:val="0"/>
            <w:vAlign w:val="center"/>
          </w:tcPr>
          <w:p w14:paraId="5092E3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荷载</w:t>
            </w:r>
          </w:p>
          <w:p w14:paraId="792218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组合</w:t>
            </w:r>
          </w:p>
        </w:tc>
        <w:tc>
          <w:tcPr>
            <w:tcW w:w="2364" w:type="pct"/>
            <w:gridSpan w:val="2"/>
            <w:noWrap w:val="0"/>
            <w:vAlign w:val="center"/>
          </w:tcPr>
          <w:p w14:paraId="77283F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坝体现状</w:t>
            </w:r>
          </w:p>
        </w:tc>
        <w:tc>
          <w:tcPr>
            <w:tcW w:w="521" w:type="pct"/>
            <w:vMerge w:val="restart"/>
            <w:noWrap w:val="0"/>
            <w:vAlign w:val="center"/>
          </w:tcPr>
          <w:p w14:paraId="7CD4FA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允许安全系数</w:t>
            </w:r>
          </w:p>
        </w:tc>
        <w:tc>
          <w:tcPr>
            <w:tcW w:w="586" w:type="pct"/>
            <w:vMerge w:val="restart"/>
            <w:noWrap w:val="0"/>
            <w:vAlign w:val="center"/>
          </w:tcPr>
          <w:p w14:paraId="41233D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稳定性结论</w:t>
            </w:r>
          </w:p>
        </w:tc>
        <w:tc>
          <w:tcPr>
            <w:tcW w:w="640" w:type="pct"/>
            <w:vMerge w:val="restart"/>
            <w:noWrap w:val="0"/>
            <w:vAlign w:val="top"/>
          </w:tcPr>
          <w:p w14:paraId="4FA43C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破坏模式</w:t>
            </w:r>
          </w:p>
        </w:tc>
      </w:tr>
      <w:tr w14:paraId="0A554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Merge w:val="continue"/>
            <w:noWrap w:val="0"/>
            <w:vAlign w:val="center"/>
          </w:tcPr>
          <w:p w14:paraId="1CE756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p>
        </w:tc>
        <w:tc>
          <w:tcPr>
            <w:tcW w:w="473" w:type="pct"/>
            <w:vMerge w:val="continue"/>
            <w:noWrap w:val="0"/>
            <w:vAlign w:val="center"/>
          </w:tcPr>
          <w:p w14:paraId="3EE460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p>
        </w:tc>
        <w:tc>
          <w:tcPr>
            <w:tcW w:w="1233" w:type="pct"/>
            <w:noWrap w:val="0"/>
            <w:vAlign w:val="center"/>
          </w:tcPr>
          <w:p w14:paraId="538C5F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M~P法</w:t>
            </w:r>
          </w:p>
        </w:tc>
        <w:tc>
          <w:tcPr>
            <w:tcW w:w="1130" w:type="pct"/>
            <w:noWrap w:val="0"/>
            <w:vAlign w:val="center"/>
          </w:tcPr>
          <w:p w14:paraId="067B8C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Bishop法</w:t>
            </w:r>
          </w:p>
        </w:tc>
        <w:tc>
          <w:tcPr>
            <w:tcW w:w="521" w:type="pct"/>
            <w:vMerge w:val="continue"/>
            <w:noWrap w:val="0"/>
            <w:vAlign w:val="top"/>
          </w:tcPr>
          <w:p w14:paraId="4D52AB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p>
        </w:tc>
        <w:tc>
          <w:tcPr>
            <w:tcW w:w="586" w:type="pct"/>
            <w:vMerge w:val="continue"/>
            <w:noWrap w:val="0"/>
            <w:vAlign w:val="top"/>
          </w:tcPr>
          <w:p w14:paraId="1A4AFE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p>
        </w:tc>
        <w:tc>
          <w:tcPr>
            <w:tcW w:w="640" w:type="pct"/>
            <w:vMerge w:val="continue"/>
            <w:noWrap w:val="0"/>
            <w:vAlign w:val="top"/>
          </w:tcPr>
          <w:p w14:paraId="2DBD97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p>
        </w:tc>
      </w:tr>
      <w:tr w14:paraId="58361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Merge w:val="restart"/>
            <w:noWrap w:val="0"/>
            <w:vAlign w:val="center"/>
          </w:tcPr>
          <w:p w14:paraId="4B4BE5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A</w:t>
            </w:r>
          </w:p>
        </w:tc>
        <w:tc>
          <w:tcPr>
            <w:tcW w:w="473" w:type="pct"/>
            <w:noWrap w:val="0"/>
            <w:vAlign w:val="center"/>
          </w:tcPr>
          <w:p w14:paraId="7065A1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Ⅰ</w:t>
            </w:r>
          </w:p>
        </w:tc>
        <w:tc>
          <w:tcPr>
            <w:tcW w:w="1233" w:type="pct"/>
            <w:noWrap w:val="0"/>
            <w:vAlign w:val="center"/>
          </w:tcPr>
          <w:p w14:paraId="1468EC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2.444</w:t>
            </w:r>
          </w:p>
        </w:tc>
        <w:tc>
          <w:tcPr>
            <w:tcW w:w="1130" w:type="pct"/>
            <w:noWrap w:val="0"/>
            <w:vAlign w:val="center"/>
          </w:tcPr>
          <w:p w14:paraId="5BD43F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2.571</w:t>
            </w:r>
          </w:p>
        </w:tc>
        <w:tc>
          <w:tcPr>
            <w:tcW w:w="521" w:type="pct"/>
            <w:noWrap w:val="0"/>
            <w:vAlign w:val="top"/>
          </w:tcPr>
          <w:p w14:paraId="6EDD63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1.15</w:t>
            </w:r>
          </w:p>
        </w:tc>
        <w:tc>
          <w:tcPr>
            <w:tcW w:w="586" w:type="pct"/>
            <w:noWrap w:val="0"/>
            <w:vAlign w:val="top"/>
          </w:tcPr>
          <w:p w14:paraId="3CE210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稳定</w:t>
            </w:r>
          </w:p>
        </w:tc>
        <w:tc>
          <w:tcPr>
            <w:tcW w:w="640" w:type="pct"/>
            <w:vMerge w:val="restart"/>
            <w:noWrap w:val="0"/>
            <w:vAlign w:val="center"/>
          </w:tcPr>
          <w:p w14:paraId="23283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圆弧型破坏</w:t>
            </w:r>
          </w:p>
        </w:tc>
      </w:tr>
      <w:tr w14:paraId="40C7E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Merge w:val="continue"/>
            <w:noWrap w:val="0"/>
            <w:vAlign w:val="center"/>
          </w:tcPr>
          <w:p w14:paraId="508E95C1">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宋体" w:hAnsi="宋体" w:eastAsia="宋体" w:cs="宋体"/>
                <w:color w:val="auto"/>
                <w:sz w:val="24"/>
                <w:szCs w:val="24"/>
              </w:rPr>
            </w:pPr>
          </w:p>
        </w:tc>
        <w:tc>
          <w:tcPr>
            <w:tcW w:w="473" w:type="pct"/>
            <w:noWrap w:val="0"/>
            <w:vAlign w:val="center"/>
          </w:tcPr>
          <w:p w14:paraId="50C85C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Ⅱ</w:t>
            </w:r>
          </w:p>
        </w:tc>
        <w:tc>
          <w:tcPr>
            <w:tcW w:w="1233" w:type="pct"/>
            <w:noWrap w:val="0"/>
            <w:vAlign w:val="center"/>
          </w:tcPr>
          <w:p w14:paraId="0308B5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1.573</w:t>
            </w:r>
          </w:p>
        </w:tc>
        <w:tc>
          <w:tcPr>
            <w:tcW w:w="1130" w:type="pct"/>
            <w:noWrap w:val="0"/>
            <w:vAlign w:val="center"/>
          </w:tcPr>
          <w:p w14:paraId="74362D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1.546</w:t>
            </w:r>
          </w:p>
        </w:tc>
        <w:tc>
          <w:tcPr>
            <w:tcW w:w="521" w:type="pct"/>
            <w:noWrap w:val="0"/>
            <w:vAlign w:val="top"/>
          </w:tcPr>
          <w:p w14:paraId="63EDFA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1.05</w:t>
            </w:r>
          </w:p>
        </w:tc>
        <w:tc>
          <w:tcPr>
            <w:tcW w:w="586" w:type="pct"/>
            <w:noWrap w:val="0"/>
            <w:vAlign w:val="top"/>
          </w:tcPr>
          <w:p w14:paraId="1A2CD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稳定</w:t>
            </w:r>
          </w:p>
        </w:tc>
        <w:tc>
          <w:tcPr>
            <w:tcW w:w="640" w:type="pct"/>
            <w:vMerge w:val="continue"/>
            <w:noWrap w:val="0"/>
            <w:vAlign w:val="center"/>
          </w:tcPr>
          <w:p w14:paraId="37CC6D0A">
            <w:pPr>
              <w:contextualSpacing/>
              <w:jc w:val="center"/>
              <w:rPr>
                <w:rFonts w:hint="eastAsia" w:ascii="宋体" w:hAnsi="宋体" w:eastAsia="宋体" w:cs="宋体"/>
                <w:color w:val="auto"/>
                <w:szCs w:val="21"/>
              </w:rPr>
            </w:pPr>
          </w:p>
        </w:tc>
      </w:tr>
      <w:tr w14:paraId="7D726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Merge w:val="continue"/>
            <w:noWrap w:val="0"/>
            <w:vAlign w:val="center"/>
          </w:tcPr>
          <w:p w14:paraId="53CAA6D2">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宋体" w:hAnsi="宋体" w:eastAsia="宋体" w:cs="宋体"/>
                <w:color w:val="auto"/>
                <w:sz w:val="24"/>
                <w:szCs w:val="24"/>
              </w:rPr>
            </w:pPr>
          </w:p>
        </w:tc>
        <w:tc>
          <w:tcPr>
            <w:tcW w:w="473" w:type="pct"/>
            <w:noWrap w:val="0"/>
            <w:vAlign w:val="center"/>
          </w:tcPr>
          <w:p w14:paraId="67846C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Ⅲ</w:t>
            </w:r>
          </w:p>
        </w:tc>
        <w:tc>
          <w:tcPr>
            <w:tcW w:w="1233" w:type="pct"/>
            <w:noWrap w:val="0"/>
            <w:vAlign w:val="center"/>
          </w:tcPr>
          <w:p w14:paraId="2772A6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1.482</w:t>
            </w:r>
          </w:p>
        </w:tc>
        <w:tc>
          <w:tcPr>
            <w:tcW w:w="1130" w:type="pct"/>
            <w:noWrap w:val="0"/>
            <w:vAlign w:val="center"/>
          </w:tcPr>
          <w:p w14:paraId="2909A1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1.453</w:t>
            </w:r>
          </w:p>
        </w:tc>
        <w:tc>
          <w:tcPr>
            <w:tcW w:w="521" w:type="pct"/>
            <w:noWrap w:val="0"/>
            <w:vAlign w:val="top"/>
          </w:tcPr>
          <w:p w14:paraId="6A3634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1.00</w:t>
            </w:r>
          </w:p>
        </w:tc>
        <w:tc>
          <w:tcPr>
            <w:tcW w:w="586" w:type="pct"/>
            <w:noWrap w:val="0"/>
            <w:vAlign w:val="top"/>
          </w:tcPr>
          <w:p w14:paraId="4FB06A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稳定</w:t>
            </w:r>
          </w:p>
        </w:tc>
        <w:tc>
          <w:tcPr>
            <w:tcW w:w="640" w:type="pct"/>
            <w:vMerge w:val="continue"/>
            <w:noWrap w:val="0"/>
            <w:vAlign w:val="center"/>
          </w:tcPr>
          <w:p w14:paraId="7A777D74">
            <w:pPr>
              <w:contextualSpacing/>
              <w:jc w:val="center"/>
              <w:rPr>
                <w:rFonts w:hint="eastAsia" w:ascii="宋体" w:hAnsi="宋体" w:eastAsia="宋体" w:cs="宋体"/>
                <w:color w:val="auto"/>
                <w:szCs w:val="21"/>
              </w:rPr>
            </w:pPr>
          </w:p>
        </w:tc>
      </w:tr>
    </w:tbl>
    <w:p w14:paraId="1F1902CD">
      <w:pPr>
        <w:bidi w:val="0"/>
        <w:ind w:left="0" w:leftChars="0" w:firstLine="0" w:firstLineChars="0"/>
        <w:jc w:val="center"/>
        <w:rPr>
          <w:color w:val="auto"/>
        </w:rPr>
      </w:pPr>
      <w:r>
        <w:rPr>
          <w:color w:val="auto"/>
        </w:rPr>
        <w:drawing>
          <wp:inline distT="0" distB="0" distL="114300" distR="114300">
            <wp:extent cx="5894070" cy="3154045"/>
            <wp:effectExtent l="0" t="0" r="11430"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5894070" cy="3154045"/>
                    </a:xfrm>
                    <a:prstGeom prst="rect">
                      <a:avLst/>
                    </a:prstGeom>
                    <a:noFill/>
                    <a:ln>
                      <a:noFill/>
                    </a:ln>
                  </pic:spPr>
                </pic:pic>
              </a:graphicData>
            </a:graphic>
          </wp:inline>
        </w:drawing>
      </w:r>
    </w:p>
    <w:p w14:paraId="23D729F7">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1 A剖面坝体稳定性M-P法计算结果（工况Ⅰ）</w:t>
      </w:r>
    </w:p>
    <w:p w14:paraId="4BF3F78E">
      <w:pPr>
        <w:bidi w:val="0"/>
        <w:ind w:left="0" w:leftChars="0" w:firstLine="0" w:firstLineChars="0"/>
        <w:jc w:val="center"/>
        <w:rPr>
          <w:rFonts w:hint="default"/>
          <w:color w:val="auto"/>
          <w:lang w:val="en-US" w:eastAsia="zh-CN"/>
        </w:rPr>
      </w:pPr>
      <w:r>
        <w:rPr>
          <w:color w:val="auto"/>
        </w:rPr>
        <w:drawing>
          <wp:inline distT="0" distB="0" distL="114300" distR="114300">
            <wp:extent cx="6010275" cy="3269615"/>
            <wp:effectExtent l="0" t="0" r="9525" b="698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2"/>
                    <a:srcRect l="2286" r="5246"/>
                    <a:stretch>
                      <a:fillRect/>
                    </a:stretch>
                  </pic:blipFill>
                  <pic:spPr>
                    <a:xfrm>
                      <a:off x="0" y="0"/>
                      <a:ext cx="6010275" cy="3269615"/>
                    </a:xfrm>
                    <a:prstGeom prst="rect">
                      <a:avLst/>
                    </a:prstGeom>
                    <a:noFill/>
                    <a:ln>
                      <a:noFill/>
                    </a:ln>
                  </pic:spPr>
                </pic:pic>
              </a:graphicData>
            </a:graphic>
          </wp:inline>
        </w:drawing>
      </w:r>
    </w:p>
    <w:p w14:paraId="4C459EBD">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2 A剖面坝体稳定性Bishop法计算结果（工况Ⅰ）</w:t>
      </w:r>
    </w:p>
    <w:p w14:paraId="0ECE1172">
      <w:pPr>
        <w:bidi w:val="0"/>
        <w:ind w:left="0" w:leftChars="0" w:firstLine="0" w:firstLineChars="0"/>
        <w:jc w:val="center"/>
        <w:rPr>
          <w:rFonts w:hint="default"/>
          <w:color w:val="auto"/>
          <w:lang w:val="en-US" w:eastAsia="zh-CN"/>
        </w:rPr>
      </w:pPr>
      <w:r>
        <w:rPr>
          <w:color w:val="auto"/>
        </w:rPr>
        <w:drawing>
          <wp:inline distT="0" distB="0" distL="114300" distR="114300">
            <wp:extent cx="5824220" cy="3073400"/>
            <wp:effectExtent l="0" t="0" r="5080" b="1270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3"/>
                    <a:stretch>
                      <a:fillRect/>
                    </a:stretch>
                  </pic:blipFill>
                  <pic:spPr>
                    <a:xfrm>
                      <a:off x="0" y="0"/>
                      <a:ext cx="5824220" cy="3073400"/>
                    </a:xfrm>
                    <a:prstGeom prst="rect">
                      <a:avLst/>
                    </a:prstGeom>
                    <a:noFill/>
                    <a:ln>
                      <a:noFill/>
                    </a:ln>
                  </pic:spPr>
                </pic:pic>
              </a:graphicData>
            </a:graphic>
          </wp:inline>
        </w:drawing>
      </w:r>
    </w:p>
    <w:p w14:paraId="2D5614DB">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3 </w:t>
      </w:r>
      <w:r>
        <w:rPr>
          <w:rFonts w:hint="default"/>
          <w:color w:val="auto"/>
          <w:lang w:val="en-US" w:eastAsia="zh-CN"/>
        </w:rPr>
        <w:t>A剖面坝体稳定性M-P法计算结果（工况</w:t>
      </w:r>
      <w:r>
        <w:rPr>
          <w:rFonts w:hint="eastAsia" w:ascii="宋体" w:hAnsi="宋体" w:eastAsia="宋体" w:cs="宋体"/>
          <w:color w:val="auto"/>
          <w:lang w:val="en-US" w:eastAsia="zh-CN"/>
        </w:rPr>
        <w:t>Ⅱ</w:t>
      </w:r>
      <w:r>
        <w:rPr>
          <w:rFonts w:hint="default"/>
          <w:color w:val="auto"/>
          <w:lang w:val="en-US" w:eastAsia="zh-CN"/>
        </w:rPr>
        <w:t>）</w:t>
      </w:r>
    </w:p>
    <w:p w14:paraId="7A5691CC">
      <w:pPr>
        <w:bidi w:val="0"/>
        <w:ind w:left="0" w:leftChars="0" w:firstLine="0" w:firstLineChars="0"/>
        <w:jc w:val="center"/>
        <w:rPr>
          <w:rFonts w:hint="default"/>
          <w:color w:val="auto"/>
          <w:lang w:val="en-US" w:eastAsia="zh-CN"/>
        </w:rPr>
      </w:pPr>
      <w:r>
        <w:rPr>
          <w:color w:val="auto"/>
        </w:rPr>
        <w:drawing>
          <wp:inline distT="0" distB="0" distL="114300" distR="114300">
            <wp:extent cx="5829300" cy="3169285"/>
            <wp:effectExtent l="0" t="0" r="0" b="1206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4"/>
                    <a:stretch>
                      <a:fillRect/>
                    </a:stretch>
                  </pic:blipFill>
                  <pic:spPr>
                    <a:xfrm>
                      <a:off x="0" y="0"/>
                      <a:ext cx="5829300" cy="3169285"/>
                    </a:xfrm>
                    <a:prstGeom prst="rect">
                      <a:avLst/>
                    </a:prstGeom>
                    <a:noFill/>
                    <a:ln>
                      <a:noFill/>
                    </a:ln>
                  </pic:spPr>
                </pic:pic>
              </a:graphicData>
            </a:graphic>
          </wp:inline>
        </w:drawing>
      </w:r>
    </w:p>
    <w:p w14:paraId="5F06F664">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4 </w:t>
      </w:r>
      <w:r>
        <w:rPr>
          <w:rFonts w:hint="default"/>
          <w:color w:val="auto"/>
          <w:lang w:val="en-US" w:eastAsia="zh-CN"/>
        </w:rPr>
        <w:t>A剖面坝体稳定性Bishop法计算结果（工况</w:t>
      </w:r>
      <w:r>
        <w:rPr>
          <w:rFonts w:hint="eastAsia" w:ascii="宋体" w:hAnsi="宋体" w:eastAsia="宋体" w:cs="宋体"/>
          <w:color w:val="auto"/>
          <w:lang w:val="en-US" w:eastAsia="zh-CN"/>
        </w:rPr>
        <w:t>Ⅱ</w:t>
      </w:r>
      <w:r>
        <w:rPr>
          <w:rFonts w:hint="default"/>
          <w:color w:val="auto"/>
          <w:lang w:val="en-US" w:eastAsia="zh-CN"/>
        </w:rPr>
        <w:t>）</w:t>
      </w:r>
    </w:p>
    <w:p w14:paraId="49D54AC3">
      <w:pPr>
        <w:bidi w:val="0"/>
        <w:ind w:left="0" w:leftChars="0" w:firstLine="0" w:firstLineChars="0"/>
        <w:jc w:val="center"/>
        <w:rPr>
          <w:rFonts w:hint="default"/>
          <w:color w:val="auto"/>
          <w:lang w:val="en-US" w:eastAsia="zh-CN"/>
        </w:rPr>
      </w:pPr>
      <w:r>
        <w:rPr>
          <w:color w:val="auto"/>
        </w:rPr>
        <w:drawing>
          <wp:inline distT="0" distB="0" distL="114300" distR="114300">
            <wp:extent cx="5828030" cy="3111500"/>
            <wp:effectExtent l="0" t="0" r="1270" b="1270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tretch>
                      <a:fillRect/>
                    </a:stretch>
                  </pic:blipFill>
                  <pic:spPr>
                    <a:xfrm>
                      <a:off x="0" y="0"/>
                      <a:ext cx="5828030" cy="3111500"/>
                    </a:xfrm>
                    <a:prstGeom prst="rect">
                      <a:avLst/>
                    </a:prstGeom>
                    <a:noFill/>
                    <a:ln>
                      <a:noFill/>
                    </a:ln>
                  </pic:spPr>
                </pic:pic>
              </a:graphicData>
            </a:graphic>
          </wp:inline>
        </w:drawing>
      </w:r>
    </w:p>
    <w:p w14:paraId="25F4D608">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5 </w:t>
      </w:r>
      <w:r>
        <w:rPr>
          <w:rFonts w:hint="default"/>
          <w:color w:val="auto"/>
          <w:lang w:val="en-US" w:eastAsia="zh-CN"/>
        </w:rPr>
        <w:t>A剖面坝体稳定性M-P法计算结果（工况</w:t>
      </w:r>
      <w:r>
        <w:rPr>
          <w:rFonts w:hint="eastAsia" w:ascii="宋体" w:hAnsi="宋体" w:eastAsia="宋体" w:cs="宋体"/>
          <w:color w:val="auto"/>
          <w:lang w:val="en-US" w:eastAsia="zh-CN"/>
        </w:rPr>
        <w:t>Ⅲ</w:t>
      </w:r>
      <w:r>
        <w:rPr>
          <w:rFonts w:hint="default"/>
          <w:color w:val="auto"/>
          <w:lang w:val="en-US" w:eastAsia="zh-CN"/>
        </w:rPr>
        <w:t>）</w:t>
      </w:r>
    </w:p>
    <w:p w14:paraId="6B78BCD3">
      <w:pPr>
        <w:bidi w:val="0"/>
        <w:ind w:left="0" w:leftChars="0" w:firstLine="0" w:firstLineChars="0"/>
        <w:jc w:val="center"/>
        <w:rPr>
          <w:rFonts w:hint="default"/>
          <w:color w:val="auto"/>
          <w:lang w:val="en-US" w:eastAsia="zh-CN"/>
        </w:rPr>
      </w:pPr>
      <w:r>
        <w:rPr>
          <w:color w:val="auto"/>
        </w:rPr>
        <w:drawing>
          <wp:inline distT="0" distB="0" distL="114300" distR="114300">
            <wp:extent cx="5832475" cy="3298825"/>
            <wp:effectExtent l="0" t="0" r="1587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5832475" cy="3298825"/>
                    </a:xfrm>
                    <a:prstGeom prst="rect">
                      <a:avLst/>
                    </a:prstGeom>
                    <a:noFill/>
                    <a:ln>
                      <a:noFill/>
                    </a:ln>
                  </pic:spPr>
                </pic:pic>
              </a:graphicData>
            </a:graphic>
          </wp:inline>
        </w:drawing>
      </w:r>
    </w:p>
    <w:p w14:paraId="26A0E5D2">
      <w:pPr>
        <w:bidi w:val="0"/>
        <w:ind w:left="0" w:leftChars="0" w:firstLine="0" w:firstLineChars="0"/>
        <w:jc w:val="center"/>
        <w:rPr>
          <w:rFonts w:hint="default"/>
          <w:color w:val="auto"/>
          <w:lang w:val="en-US" w:eastAsia="zh-CN"/>
        </w:rPr>
      </w:pPr>
      <w:r>
        <w:rPr>
          <w:rFonts w:hint="default"/>
          <w:color w:val="auto"/>
          <w:lang w:val="en-US" w:eastAsia="zh-CN"/>
        </w:rPr>
        <w:t>图5</w:t>
      </w:r>
      <w:r>
        <w:rPr>
          <w:rFonts w:hint="eastAsia"/>
          <w:color w:val="auto"/>
          <w:lang w:val="en-US" w:eastAsia="zh-CN"/>
        </w:rPr>
        <w:t>.2</w:t>
      </w:r>
      <w:r>
        <w:rPr>
          <w:rFonts w:hint="default"/>
          <w:color w:val="auto"/>
          <w:lang w:val="en-US" w:eastAsia="zh-CN"/>
        </w:rPr>
        <w:t>-</w:t>
      </w:r>
      <w:r>
        <w:rPr>
          <w:rFonts w:hint="eastAsia"/>
          <w:color w:val="auto"/>
          <w:lang w:val="en-US" w:eastAsia="zh-CN"/>
        </w:rPr>
        <w:t xml:space="preserve">6 </w:t>
      </w:r>
      <w:r>
        <w:rPr>
          <w:rFonts w:hint="default"/>
          <w:color w:val="auto"/>
          <w:lang w:val="en-US" w:eastAsia="zh-CN"/>
        </w:rPr>
        <w:t>A剖面坝体稳定性Bishop法计算结果（工况</w:t>
      </w:r>
      <w:r>
        <w:rPr>
          <w:rFonts w:hint="eastAsia" w:ascii="宋体" w:hAnsi="宋体" w:eastAsia="宋体" w:cs="宋体"/>
          <w:color w:val="auto"/>
          <w:lang w:val="en-US" w:eastAsia="zh-CN"/>
        </w:rPr>
        <w:t>Ⅲ</w:t>
      </w:r>
      <w:r>
        <w:rPr>
          <w:rFonts w:hint="default"/>
          <w:color w:val="auto"/>
          <w:lang w:val="en-US" w:eastAsia="zh-CN"/>
        </w:rPr>
        <w:t>）</w:t>
      </w:r>
    </w:p>
    <w:p w14:paraId="2B43C690">
      <w:pPr>
        <w:bidi w:val="0"/>
        <w:rPr>
          <w:rFonts w:hint="default"/>
          <w:color w:val="auto"/>
          <w:lang w:val="en-US" w:eastAsia="zh-CN"/>
        </w:rPr>
      </w:pPr>
      <w:r>
        <w:rPr>
          <w:rFonts w:hint="default"/>
          <w:color w:val="auto"/>
          <w:lang w:val="en-US" w:eastAsia="zh-CN"/>
        </w:rPr>
        <w:t>从各剖面的结算结果来看，现状条件下，坝体的安全系数都大于允许安全系数，坝体稳定性能满足规范要求。</w:t>
      </w:r>
    </w:p>
    <w:p w14:paraId="1F5C2052">
      <w:pPr>
        <w:pStyle w:val="4"/>
        <w:bidi w:val="0"/>
        <w:rPr>
          <w:rFonts w:hint="eastAsia"/>
          <w:color w:val="auto"/>
          <w:lang w:eastAsia="zh-CN"/>
        </w:rPr>
      </w:pPr>
      <w:bookmarkStart w:id="412" w:name="_Toc12946"/>
      <w:bookmarkStart w:id="413" w:name="_Toc21991"/>
      <w:bookmarkStart w:id="414" w:name="_Toc25380"/>
      <w:r>
        <w:rPr>
          <w:rFonts w:hint="eastAsia"/>
          <w:color w:val="auto"/>
          <w:lang w:eastAsia="zh-CN"/>
        </w:rPr>
        <w:t>5.2.3</w:t>
      </w:r>
      <w:r>
        <w:rPr>
          <w:rFonts w:hint="eastAsia"/>
          <w:color w:val="auto"/>
          <w:lang w:val="en-US" w:eastAsia="zh-CN"/>
        </w:rPr>
        <w:t xml:space="preserve"> </w:t>
      </w:r>
      <w:r>
        <w:rPr>
          <w:rFonts w:hint="eastAsia"/>
          <w:color w:val="auto"/>
          <w:lang w:eastAsia="zh-CN"/>
        </w:rPr>
        <w:t>评价单元小结</w:t>
      </w:r>
      <w:bookmarkEnd w:id="411"/>
      <w:bookmarkEnd w:id="412"/>
      <w:bookmarkEnd w:id="413"/>
      <w:bookmarkEnd w:id="414"/>
    </w:p>
    <w:p w14:paraId="327CB539">
      <w:pPr>
        <w:rPr>
          <w:rFonts w:hint="eastAsia"/>
          <w:color w:val="auto"/>
          <w:lang w:eastAsia="zh-CN"/>
        </w:rPr>
      </w:pPr>
      <w:r>
        <w:rPr>
          <w:rFonts w:hint="eastAsia"/>
          <w:color w:val="auto"/>
          <w:lang w:val="en-US" w:eastAsia="zh-CN"/>
        </w:rPr>
        <w:t xml:space="preserve">1. </w:t>
      </w:r>
      <w:r>
        <w:rPr>
          <w:rFonts w:hint="eastAsia"/>
          <w:color w:val="auto"/>
          <w:lang w:eastAsia="zh-CN"/>
        </w:rPr>
        <w:t>经现场检查，宜丰新庄铜铅锌矿尾矿库（主坝</w:t>
      </w:r>
      <w:r>
        <w:rPr>
          <w:rFonts w:hint="eastAsia"/>
          <w:color w:val="auto"/>
          <w:lang w:eastAsia="zh-CN"/>
        </w:rPr>
        <w:t>，1</w:t>
      </w:r>
      <w:r>
        <w:rPr>
          <w:rFonts w:hint="default"/>
          <w:color w:val="auto"/>
          <w:lang w:val="en-US" w:eastAsia="zh-CN"/>
        </w:rPr>
        <w:t>#</w:t>
      </w:r>
      <w:r>
        <w:rPr>
          <w:rFonts w:hint="eastAsia"/>
          <w:color w:val="auto"/>
          <w:lang w:eastAsia="zh-CN"/>
        </w:rPr>
        <w:t>副坝、</w:t>
      </w:r>
      <w:r>
        <w:rPr>
          <w:rFonts w:hint="eastAsia"/>
          <w:color w:val="auto"/>
          <w:lang w:val="en-US" w:eastAsia="zh-CN"/>
        </w:rPr>
        <w:t>2</w:t>
      </w:r>
      <w:r>
        <w:rPr>
          <w:rFonts w:hint="default"/>
          <w:color w:val="auto"/>
          <w:lang w:val="en-US" w:eastAsia="zh-CN"/>
        </w:rPr>
        <w:t>#</w:t>
      </w:r>
      <w:r>
        <w:rPr>
          <w:rFonts w:hint="eastAsia"/>
          <w:color w:val="auto"/>
          <w:lang w:eastAsia="zh-CN"/>
        </w:rPr>
        <w:t>副坝</w:t>
      </w:r>
      <w:r>
        <w:rPr>
          <w:rFonts w:hint="eastAsia"/>
          <w:color w:val="auto"/>
          <w:lang w:eastAsia="zh-CN"/>
        </w:rPr>
        <w:t>）的外形尺寸（坝顶高程、马道高程，坝顶、马道宽度，上下游坡坡比等）符合设计要求，各坝</w:t>
      </w:r>
      <w:r>
        <w:rPr>
          <w:rFonts w:hint="eastAsia"/>
          <w:color w:val="auto"/>
          <w:lang w:val="en-US" w:eastAsia="zh-CN"/>
        </w:rPr>
        <w:t>体</w:t>
      </w:r>
      <w:r>
        <w:rPr>
          <w:rFonts w:hint="eastAsia"/>
          <w:color w:val="auto"/>
          <w:lang w:eastAsia="zh-CN"/>
        </w:rPr>
        <w:t>均无位移、沉陷、滑坡及裂缝、渗透水、沼泽化等现象。</w:t>
      </w:r>
    </w:p>
    <w:p w14:paraId="76D8C31F">
      <w:pPr>
        <w:rPr>
          <w:rFonts w:hint="eastAsia"/>
          <w:color w:val="auto"/>
          <w:lang w:eastAsia="zh-CN"/>
        </w:rPr>
      </w:pPr>
      <w:r>
        <w:rPr>
          <w:rFonts w:hint="eastAsia"/>
          <w:color w:val="auto"/>
          <w:lang w:val="en-US" w:eastAsia="zh-CN"/>
        </w:rPr>
        <w:t xml:space="preserve">2. </w:t>
      </w:r>
      <w:r>
        <w:rPr>
          <w:rFonts w:hint="eastAsia"/>
          <w:color w:val="auto"/>
          <w:lang w:eastAsia="zh-CN"/>
        </w:rPr>
        <w:t>通过尾矿坝稳定分析计算来看，尾矿坝体</w:t>
      </w:r>
      <w:r>
        <w:rPr>
          <w:rFonts w:hint="default"/>
          <w:color w:val="auto"/>
          <w:lang w:val="en-US" w:eastAsia="zh-CN"/>
        </w:rPr>
        <w:t>压坡</w:t>
      </w:r>
      <w:r>
        <w:rPr>
          <w:rFonts w:hint="eastAsia"/>
          <w:color w:val="auto"/>
          <w:lang w:val="en-US" w:eastAsia="zh-CN"/>
        </w:rPr>
        <w:t>后</w:t>
      </w:r>
      <w:r>
        <w:rPr>
          <w:rFonts w:hint="eastAsia"/>
          <w:color w:val="auto"/>
          <w:lang w:eastAsia="zh-CN"/>
        </w:rPr>
        <w:t>处在稳定状态。</w:t>
      </w:r>
    </w:p>
    <w:p w14:paraId="0724B326">
      <w:pPr>
        <w:rPr>
          <w:rFonts w:hint="eastAsia"/>
          <w:color w:val="auto"/>
          <w:lang w:eastAsia="zh-CN"/>
        </w:rPr>
      </w:pPr>
      <w:r>
        <w:rPr>
          <w:rFonts w:hint="eastAsia"/>
          <w:color w:val="auto"/>
          <w:lang w:val="en-US" w:eastAsia="zh-CN"/>
        </w:rPr>
        <w:t xml:space="preserve">3. </w:t>
      </w:r>
      <w:r>
        <w:rPr>
          <w:rFonts w:hint="eastAsia"/>
          <w:color w:val="auto"/>
          <w:lang w:eastAsia="zh-CN"/>
        </w:rPr>
        <w:t>经采用安全检查表法评判，尾矿坝体单元应得分</w:t>
      </w:r>
      <w:r>
        <w:rPr>
          <w:rFonts w:hint="eastAsia"/>
          <w:color w:val="auto"/>
          <w:lang w:val="en-US" w:eastAsia="zh-CN"/>
        </w:rPr>
        <w:t>60</w:t>
      </w:r>
      <w:r>
        <w:rPr>
          <w:rFonts w:hint="eastAsia"/>
          <w:color w:val="auto"/>
          <w:lang w:eastAsia="zh-CN"/>
        </w:rPr>
        <w:t>分，实际得分</w:t>
      </w:r>
      <w:r>
        <w:rPr>
          <w:rFonts w:hint="eastAsia"/>
          <w:color w:val="auto"/>
          <w:lang w:val="en-US" w:eastAsia="zh-CN"/>
        </w:rPr>
        <w:t>56</w:t>
      </w:r>
      <w:r>
        <w:rPr>
          <w:rFonts w:hint="eastAsia"/>
          <w:color w:val="auto"/>
          <w:lang w:eastAsia="zh-CN"/>
        </w:rPr>
        <w:t>分，得分率为</w:t>
      </w:r>
      <w:r>
        <w:rPr>
          <w:rFonts w:hint="eastAsia"/>
          <w:color w:val="auto"/>
          <w:lang w:val="en-US" w:eastAsia="zh-CN"/>
        </w:rPr>
        <w:t>93.33</w:t>
      </w:r>
      <w:r>
        <w:rPr>
          <w:rFonts w:hint="eastAsia"/>
          <w:color w:val="auto"/>
          <w:lang w:eastAsia="zh-CN"/>
        </w:rPr>
        <w:t>%，尾矿坝体单元符合安全要求。</w:t>
      </w:r>
    </w:p>
    <w:p w14:paraId="454DF785">
      <w:pPr>
        <w:pStyle w:val="3"/>
        <w:bidi w:val="0"/>
        <w:rPr>
          <w:rFonts w:hint="eastAsia"/>
          <w:color w:val="auto"/>
          <w:lang w:eastAsia="zh-CN"/>
        </w:rPr>
      </w:pPr>
      <w:bookmarkStart w:id="415" w:name="_Toc9686"/>
      <w:bookmarkStart w:id="416" w:name="_Toc16029"/>
      <w:bookmarkStart w:id="417" w:name="_Toc29404"/>
      <w:bookmarkStart w:id="418" w:name="_Toc589"/>
      <w:r>
        <w:rPr>
          <w:rFonts w:hint="eastAsia"/>
          <w:color w:val="auto"/>
          <w:lang w:eastAsia="zh-CN"/>
        </w:rPr>
        <w:t>5.3</w:t>
      </w:r>
      <w:r>
        <w:rPr>
          <w:rFonts w:hint="eastAsia"/>
          <w:color w:val="auto"/>
          <w:lang w:val="en-US" w:eastAsia="zh-CN"/>
        </w:rPr>
        <w:t xml:space="preserve"> </w:t>
      </w:r>
      <w:r>
        <w:rPr>
          <w:rFonts w:hint="eastAsia"/>
          <w:color w:val="auto"/>
          <w:lang w:eastAsia="zh-CN"/>
        </w:rPr>
        <w:t>防排洪系统单元</w:t>
      </w:r>
      <w:bookmarkEnd w:id="415"/>
      <w:bookmarkEnd w:id="416"/>
      <w:bookmarkEnd w:id="417"/>
      <w:bookmarkEnd w:id="418"/>
    </w:p>
    <w:p w14:paraId="40E56842">
      <w:pPr>
        <w:pStyle w:val="4"/>
        <w:bidi w:val="0"/>
        <w:rPr>
          <w:rFonts w:hint="eastAsia"/>
          <w:color w:val="auto"/>
          <w:lang w:eastAsia="zh-CN"/>
        </w:rPr>
      </w:pPr>
      <w:bookmarkStart w:id="419" w:name="_Toc30295"/>
      <w:bookmarkStart w:id="420" w:name="_Toc19143"/>
      <w:bookmarkStart w:id="421" w:name="_Toc29776"/>
      <w:bookmarkStart w:id="422" w:name="_Toc5679"/>
      <w:r>
        <w:rPr>
          <w:rFonts w:hint="eastAsia"/>
          <w:color w:val="auto"/>
          <w:lang w:eastAsia="zh-CN"/>
        </w:rPr>
        <w:t>5.3.1</w:t>
      </w:r>
      <w:r>
        <w:rPr>
          <w:rFonts w:hint="eastAsia"/>
          <w:color w:val="auto"/>
          <w:lang w:val="en-US" w:eastAsia="zh-CN"/>
        </w:rPr>
        <w:t xml:space="preserve"> </w:t>
      </w:r>
      <w:r>
        <w:rPr>
          <w:rFonts w:hint="eastAsia"/>
          <w:color w:val="auto"/>
          <w:lang w:eastAsia="zh-CN"/>
        </w:rPr>
        <w:t>安全检查表评价</w:t>
      </w:r>
      <w:bookmarkEnd w:id="419"/>
      <w:bookmarkEnd w:id="420"/>
      <w:bookmarkEnd w:id="421"/>
      <w:bookmarkEnd w:id="422"/>
    </w:p>
    <w:p w14:paraId="6F1FE872">
      <w:pPr>
        <w:rPr>
          <w:rFonts w:hint="eastAsia"/>
          <w:color w:val="auto"/>
          <w:lang w:eastAsia="zh-CN"/>
        </w:rPr>
      </w:pPr>
      <w:r>
        <w:rPr>
          <w:rFonts w:hint="eastAsia"/>
          <w:color w:val="auto"/>
          <w:lang w:eastAsia="zh-CN"/>
        </w:rPr>
        <w:t>运用《江西省尾矿库安全检查表》，对宜丰新庄铜铅锌矿尾矿库防排洪系统单元进行评判，具体见表5</w:t>
      </w:r>
      <w:r>
        <w:rPr>
          <w:rFonts w:hint="eastAsia"/>
          <w:color w:val="auto"/>
          <w:lang w:val="en-US" w:eastAsia="zh-CN"/>
        </w:rPr>
        <w:t>.3</w:t>
      </w:r>
      <w:r>
        <w:rPr>
          <w:rFonts w:hint="eastAsia"/>
          <w:color w:val="auto"/>
          <w:lang w:eastAsia="zh-CN"/>
        </w:rPr>
        <w:t>-</w:t>
      </w:r>
      <w:r>
        <w:rPr>
          <w:rFonts w:hint="eastAsia"/>
          <w:color w:val="auto"/>
          <w:lang w:val="en-US" w:eastAsia="zh-CN"/>
        </w:rPr>
        <w:t>1</w:t>
      </w:r>
      <w:r>
        <w:rPr>
          <w:rFonts w:hint="eastAsia"/>
          <w:color w:val="auto"/>
          <w:lang w:eastAsia="zh-CN"/>
        </w:rPr>
        <w:t>。</w:t>
      </w:r>
    </w:p>
    <w:p w14:paraId="5764E2AA">
      <w:pPr>
        <w:ind w:left="0" w:leftChars="0" w:firstLine="0" w:firstLineChars="0"/>
        <w:jc w:val="center"/>
        <w:rPr>
          <w:rFonts w:hint="eastAsia"/>
          <w:color w:val="auto"/>
          <w:lang w:eastAsia="zh-CN"/>
        </w:rPr>
      </w:pPr>
      <w:r>
        <w:rPr>
          <w:rFonts w:hint="eastAsia"/>
          <w:color w:val="auto"/>
          <w:lang w:eastAsia="zh-CN"/>
        </w:rPr>
        <w:t>表5</w:t>
      </w:r>
      <w:r>
        <w:rPr>
          <w:rFonts w:hint="eastAsia"/>
          <w:color w:val="auto"/>
          <w:lang w:val="en-US" w:eastAsia="zh-CN"/>
        </w:rPr>
        <w:t>.3</w:t>
      </w:r>
      <w:r>
        <w:rPr>
          <w:rFonts w:hint="eastAsia"/>
          <w:color w:val="auto"/>
          <w:lang w:eastAsia="zh-CN"/>
        </w:rPr>
        <w:t>-</w:t>
      </w:r>
      <w:r>
        <w:rPr>
          <w:rFonts w:hint="eastAsia"/>
          <w:color w:val="auto"/>
          <w:lang w:val="en-US" w:eastAsia="zh-CN"/>
        </w:rPr>
        <w:t xml:space="preserve">1 </w:t>
      </w:r>
      <w:r>
        <w:rPr>
          <w:rFonts w:hint="eastAsia"/>
          <w:color w:val="auto"/>
          <w:lang w:eastAsia="zh-CN"/>
        </w:rPr>
        <w:t>防排洪系统单元安全检查表</w:t>
      </w:r>
    </w:p>
    <w:tbl>
      <w:tblPr>
        <w:tblStyle w:val="20"/>
        <w:tblW w:w="50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580"/>
        <w:gridCol w:w="3282"/>
        <w:gridCol w:w="1685"/>
        <w:gridCol w:w="899"/>
        <w:gridCol w:w="658"/>
        <w:gridCol w:w="649"/>
        <w:gridCol w:w="824"/>
        <w:gridCol w:w="537"/>
      </w:tblGrid>
      <w:tr w14:paraId="036F9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noWrap w:val="0"/>
            <w:vAlign w:val="center"/>
          </w:tcPr>
          <w:p w14:paraId="37FC0FB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项目</w:t>
            </w:r>
          </w:p>
        </w:tc>
        <w:tc>
          <w:tcPr>
            <w:tcW w:w="1800" w:type="pct"/>
            <w:noWrap w:val="0"/>
            <w:vAlign w:val="center"/>
          </w:tcPr>
          <w:p w14:paraId="01B0F59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检查内容</w:t>
            </w:r>
          </w:p>
        </w:tc>
        <w:tc>
          <w:tcPr>
            <w:tcW w:w="924" w:type="pct"/>
            <w:noWrap w:val="0"/>
            <w:vAlign w:val="center"/>
          </w:tcPr>
          <w:p w14:paraId="4EE429A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检查依据</w:t>
            </w:r>
          </w:p>
        </w:tc>
        <w:tc>
          <w:tcPr>
            <w:tcW w:w="493" w:type="pct"/>
            <w:noWrap w:val="0"/>
            <w:vAlign w:val="center"/>
          </w:tcPr>
          <w:p w14:paraId="730E32D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检查方法</w:t>
            </w:r>
          </w:p>
          <w:p w14:paraId="7144398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及地点</w:t>
            </w:r>
          </w:p>
        </w:tc>
        <w:tc>
          <w:tcPr>
            <w:tcW w:w="361" w:type="pct"/>
            <w:noWrap w:val="0"/>
            <w:vAlign w:val="center"/>
          </w:tcPr>
          <w:p w14:paraId="54F6E7D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w:t>
            </w:r>
          </w:p>
          <w:p w14:paraId="6651AA1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记录</w:t>
            </w:r>
          </w:p>
        </w:tc>
        <w:tc>
          <w:tcPr>
            <w:tcW w:w="356" w:type="pct"/>
            <w:noWrap w:val="0"/>
            <w:vAlign w:val="center"/>
          </w:tcPr>
          <w:p w14:paraId="6405176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p w14:paraId="6A9D703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分值</w:t>
            </w:r>
          </w:p>
        </w:tc>
        <w:tc>
          <w:tcPr>
            <w:tcW w:w="452" w:type="pct"/>
            <w:noWrap w:val="0"/>
            <w:vAlign w:val="center"/>
          </w:tcPr>
          <w:p w14:paraId="4F9E8FC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评分</w:t>
            </w:r>
          </w:p>
          <w:p w14:paraId="4E43E3B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tc>
        <w:tc>
          <w:tcPr>
            <w:tcW w:w="294" w:type="pct"/>
            <w:noWrap w:val="0"/>
            <w:vAlign w:val="center"/>
          </w:tcPr>
          <w:p w14:paraId="21A6CC7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得分</w:t>
            </w:r>
          </w:p>
        </w:tc>
      </w:tr>
      <w:tr w14:paraId="37A89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restart"/>
            <w:noWrap w:val="0"/>
            <w:vAlign w:val="center"/>
          </w:tcPr>
          <w:p w14:paraId="1710587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p w14:paraId="36E4CA4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防洪</w:t>
            </w:r>
          </w:p>
          <w:p w14:paraId="2E03AAE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排水</w:t>
            </w:r>
          </w:p>
          <w:p w14:paraId="72E14E6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066E6DB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1.调洪库容与安全超高、最小干滩长度</w:t>
            </w:r>
            <w:r>
              <w:rPr>
                <w:rFonts w:hint="eastAsia" w:ascii="Times New Roman" w:hAnsi="Times New Roman" w:eastAsia="宋体" w:cs="Times New Roman"/>
                <w:color w:val="auto"/>
                <w:kern w:val="0"/>
                <w:sz w:val="21"/>
                <w:szCs w:val="21"/>
                <w:lang w:val="zh-CN"/>
              </w:rPr>
              <w:t>。</w:t>
            </w:r>
          </w:p>
          <w:p w14:paraId="40CFBA2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1.1当尾矿库调洪库库容严重不足，在设计洪水位时，安全超高和最小干滩长度都不满足设计要求，将可能出现洪水漫顶。</w:t>
            </w:r>
          </w:p>
        </w:tc>
        <w:tc>
          <w:tcPr>
            <w:tcW w:w="924" w:type="pct"/>
            <w:noWrap w:val="0"/>
            <w:vAlign w:val="center"/>
          </w:tcPr>
          <w:p w14:paraId="03CB64C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《尾矿库安全规程》第6.9.3条</w:t>
            </w:r>
          </w:p>
        </w:tc>
        <w:tc>
          <w:tcPr>
            <w:tcW w:w="493" w:type="pct"/>
            <w:noWrap w:val="0"/>
            <w:vAlign w:val="center"/>
          </w:tcPr>
          <w:p w14:paraId="07078E8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p w14:paraId="1668A84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图纸</w:t>
            </w:r>
          </w:p>
        </w:tc>
        <w:tc>
          <w:tcPr>
            <w:tcW w:w="361" w:type="pct"/>
            <w:noWrap w:val="0"/>
            <w:vAlign w:val="center"/>
          </w:tcPr>
          <w:p w14:paraId="17F4FB8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56" w:type="pct"/>
            <w:noWrap w:val="0"/>
            <w:vAlign w:val="center"/>
          </w:tcPr>
          <w:p w14:paraId="577DDD2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2C10279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险情</w:t>
            </w:r>
          </w:p>
        </w:tc>
        <w:tc>
          <w:tcPr>
            <w:tcW w:w="452" w:type="pct"/>
            <w:noWrap w:val="0"/>
            <w:vAlign w:val="center"/>
          </w:tcPr>
          <w:p w14:paraId="6CD14E1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55AF6D5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24060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2103BDC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0DC26D8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1.2当尾矿库调洪库库容不足，在设计洪水位时安全超高和最小干滩长度均不满足设计要求。</w:t>
            </w:r>
          </w:p>
        </w:tc>
        <w:tc>
          <w:tcPr>
            <w:tcW w:w="924" w:type="pct"/>
            <w:noWrap w:val="0"/>
            <w:vAlign w:val="center"/>
          </w:tcPr>
          <w:p w14:paraId="251F7A4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《尾矿库安全规程》第6.9.2条</w:t>
            </w:r>
          </w:p>
        </w:tc>
        <w:tc>
          <w:tcPr>
            <w:tcW w:w="493" w:type="pct"/>
            <w:vMerge w:val="restart"/>
            <w:noWrap w:val="0"/>
            <w:vAlign w:val="center"/>
          </w:tcPr>
          <w:p w14:paraId="6D8BBC3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w:t>
            </w:r>
          </w:p>
          <w:p w14:paraId="6CF6851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361" w:type="pct"/>
            <w:noWrap w:val="0"/>
            <w:vAlign w:val="center"/>
          </w:tcPr>
          <w:p w14:paraId="2E9230D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56" w:type="pct"/>
            <w:noWrap w:val="0"/>
            <w:vAlign w:val="center"/>
          </w:tcPr>
          <w:p w14:paraId="05ED5F6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4949A82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2" w:type="pct"/>
            <w:noWrap w:val="0"/>
            <w:vAlign w:val="center"/>
          </w:tcPr>
          <w:p w14:paraId="37EFA79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3A294A8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7E94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6F965AB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71A4198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1.3当尾矿库调洪库库容不足，在设计洪水位时不能同时满足设计规定的安全超高和最小干滩长度要求。</w:t>
            </w:r>
          </w:p>
        </w:tc>
        <w:tc>
          <w:tcPr>
            <w:tcW w:w="924" w:type="pct"/>
            <w:noWrap w:val="0"/>
            <w:vAlign w:val="center"/>
          </w:tcPr>
          <w:p w14:paraId="5354515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《尾矿库安全规程》第6.9.1条</w:t>
            </w:r>
          </w:p>
        </w:tc>
        <w:tc>
          <w:tcPr>
            <w:tcW w:w="493" w:type="pct"/>
            <w:vMerge w:val="continue"/>
            <w:noWrap w:val="0"/>
            <w:vAlign w:val="center"/>
          </w:tcPr>
          <w:p w14:paraId="6134DD5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787F3D6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56" w:type="pct"/>
            <w:noWrap w:val="0"/>
            <w:vAlign w:val="center"/>
          </w:tcPr>
          <w:p w14:paraId="70CD8DE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w:t>
            </w:r>
          </w:p>
          <w:p w14:paraId="3015CA6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2" w:type="pct"/>
            <w:noWrap w:val="0"/>
            <w:vAlign w:val="center"/>
          </w:tcPr>
          <w:p w14:paraId="3561623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01C4D5A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07113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4362637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4BA5CA7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2.排洪系统</w:t>
            </w:r>
          </w:p>
          <w:p w14:paraId="3FC02AB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2.1尾矿库防洪能力低于设计能力（排洪、排水构筑物结构尺寸低于设计要求）</w:t>
            </w:r>
          </w:p>
          <w:p w14:paraId="76B1987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2.2排洪系统严重堵塞或坍塌，不能排水或排水能力急剧下降。</w:t>
            </w:r>
          </w:p>
          <w:p w14:paraId="0640A18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2.3排水井显著倾斜，有倒塌的迹象。</w:t>
            </w:r>
          </w:p>
        </w:tc>
        <w:tc>
          <w:tcPr>
            <w:tcW w:w="924" w:type="pct"/>
            <w:noWrap w:val="0"/>
            <w:vAlign w:val="center"/>
          </w:tcPr>
          <w:p w14:paraId="0267D5B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《尾矿库安全规程》第6.9.3条</w:t>
            </w:r>
          </w:p>
        </w:tc>
        <w:tc>
          <w:tcPr>
            <w:tcW w:w="493" w:type="pct"/>
            <w:vMerge w:val="continue"/>
            <w:noWrap w:val="0"/>
            <w:vAlign w:val="center"/>
          </w:tcPr>
          <w:p w14:paraId="0A87005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0087AD4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排洪系统符合设计，运行良好</w:t>
            </w:r>
          </w:p>
        </w:tc>
        <w:tc>
          <w:tcPr>
            <w:tcW w:w="356" w:type="pct"/>
            <w:noWrap w:val="0"/>
            <w:vAlign w:val="center"/>
          </w:tcPr>
          <w:p w14:paraId="23B711D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50121C8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险情</w:t>
            </w:r>
          </w:p>
        </w:tc>
        <w:tc>
          <w:tcPr>
            <w:tcW w:w="452" w:type="pct"/>
            <w:noWrap w:val="0"/>
            <w:vAlign w:val="center"/>
          </w:tcPr>
          <w:p w14:paraId="51CBF52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有1项符合，就为重大险情</w:t>
            </w:r>
          </w:p>
        </w:tc>
        <w:tc>
          <w:tcPr>
            <w:tcW w:w="294" w:type="pct"/>
            <w:noWrap w:val="0"/>
            <w:vAlign w:val="center"/>
          </w:tcPr>
          <w:p w14:paraId="1961D6E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4EE7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4626A1F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6C0877E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2.4排洪系统部分堵塞或坍塌，排水能力有所降低，达不到设计要求。</w:t>
            </w:r>
          </w:p>
          <w:p w14:paraId="157CEF8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2.5排水井有所倾斜。</w:t>
            </w:r>
          </w:p>
        </w:tc>
        <w:tc>
          <w:tcPr>
            <w:tcW w:w="924" w:type="pct"/>
            <w:noWrap w:val="0"/>
            <w:vAlign w:val="center"/>
          </w:tcPr>
          <w:p w14:paraId="3B2DFF1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《尾矿库安全规程》第6.9.2条</w:t>
            </w:r>
          </w:p>
        </w:tc>
        <w:tc>
          <w:tcPr>
            <w:tcW w:w="493" w:type="pct"/>
            <w:vMerge w:val="restart"/>
            <w:noWrap w:val="0"/>
            <w:vAlign w:val="center"/>
          </w:tcPr>
          <w:p w14:paraId="03EA712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65C587D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w:t>
            </w:r>
          </w:p>
          <w:p w14:paraId="2559385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系统</w:t>
            </w:r>
          </w:p>
          <w:p w14:paraId="7324468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56" w:type="pct"/>
            <w:noWrap w:val="0"/>
            <w:vAlign w:val="center"/>
          </w:tcPr>
          <w:p w14:paraId="7B490A1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4D7F142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2" w:type="pct"/>
            <w:noWrap w:val="0"/>
            <w:vAlign w:val="center"/>
          </w:tcPr>
          <w:p w14:paraId="69DD5AF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有1项符合，就为重大隐患</w:t>
            </w:r>
          </w:p>
        </w:tc>
        <w:tc>
          <w:tcPr>
            <w:tcW w:w="294" w:type="pct"/>
            <w:noWrap w:val="0"/>
            <w:vAlign w:val="center"/>
          </w:tcPr>
          <w:p w14:paraId="45567F5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2C366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12AA329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4E0CB89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2.6排水系统出现不影响安全使用的裂缝、腐蚀或磨损。</w:t>
            </w:r>
          </w:p>
        </w:tc>
        <w:tc>
          <w:tcPr>
            <w:tcW w:w="924" w:type="pct"/>
            <w:noWrap w:val="0"/>
            <w:vAlign w:val="center"/>
          </w:tcPr>
          <w:p w14:paraId="317E813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《尾矿库安全规程》第6.9.1条</w:t>
            </w:r>
          </w:p>
        </w:tc>
        <w:tc>
          <w:tcPr>
            <w:tcW w:w="493" w:type="pct"/>
            <w:vMerge w:val="continue"/>
            <w:noWrap w:val="0"/>
            <w:vAlign w:val="center"/>
          </w:tcPr>
          <w:p w14:paraId="4C799D2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1FD0F74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w:t>
            </w:r>
          </w:p>
          <w:p w14:paraId="70C450C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系统</w:t>
            </w:r>
          </w:p>
          <w:p w14:paraId="79662BA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56" w:type="pct"/>
            <w:noWrap w:val="0"/>
            <w:vAlign w:val="center"/>
          </w:tcPr>
          <w:p w14:paraId="5D0758E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w:t>
            </w:r>
          </w:p>
          <w:p w14:paraId="5E8A897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2" w:type="pct"/>
            <w:noWrap w:val="0"/>
            <w:vAlign w:val="center"/>
          </w:tcPr>
          <w:p w14:paraId="7FD3786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27282AC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0708E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207" w:hRule="atLeast"/>
          <w:jc w:val="center"/>
        </w:trPr>
        <w:tc>
          <w:tcPr>
            <w:tcW w:w="318" w:type="pct"/>
            <w:vMerge w:val="continue"/>
            <w:noWrap w:val="0"/>
            <w:vAlign w:val="center"/>
          </w:tcPr>
          <w:p w14:paraId="539ECCC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152A88E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3.1库内应在适当地点设置清晰醒目的水位观测标尺，并标明正常运行水位和警戒水位。</w:t>
            </w:r>
          </w:p>
        </w:tc>
        <w:tc>
          <w:tcPr>
            <w:tcW w:w="924" w:type="pct"/>
            <w:noWrap w:val="0"/>
            <w:vAlign w:val="center"/>
          </w:tcPr>
          <w:p w14:paraId="125A258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bookmarkStart w:id="423" w:name="_Toc234632459"/>
            <w:bookmarkStart w:id="424" w:name="_Toc217992854"/>
            <w:bookmarkStart w:id="425" w:name="_Toc243102931"/>
            <w:bookmarkStart w:id="426" w:name="_Toc216088241"/>
            <w:bookmarkStart w:id="427" w:name="_Toc217808581"/>
            <w:bookmarkStart w:id="428" w:name="_Toc215331725"/>
            <w:bookmarkStart w:id="429" w:name="_Toc217919923"/>
            <w:bookmarkStart w:id="430" w:name="_Toc242431498"/>
            <w:bookmarkStart w:id="431" w:name="_Toc217808842"/>
            <w:bookmarkStart w:id="432" w:name="_Toc241681168"/>
            <w:bookmarkStart w:id="433" w:name="_Toc254857127"/>
            <w:bookmarkStart w:id="434" w:name="_Toc234211588"/>
            <w:bookmarkStart w:id="435" w:name="_Toc254855236"/>
            <w:r>
              <w:rPr>
                <w:rFonts w:hint="default" w:ascii="Times New Roman" w:hAnsi="Times New Roman" w:eastAsia="宋体" w:cs="Times New Roman"/>
                <w:color w:val="auto"/>
                <w:kern w:val="0"/>
                <w:sz w:val="21"/>
                <w:szCs w:val="21"/>
                <w:lang w:val="zh-CN"/>
              </w:rPr>
              <w:t>尾矿库安全监测技术规范</w:t>
            </w:r>
            <w:bookmarkEnd w:id="423"/>
            <w:bookmarkEnd w:id="424"/>
            <w:bookmarkEnd w:id="425"/>
            <w:bookmarkEnd w:id="426"/>
            <w:bookmarkEnd w:id="427"/>
            <w:bookmarkEnd w:id="428"/>
            <w:bookmarkEnd w:id="429"/>
            <w:bookmarkEnd w:id="430"/>
            <w:bookmarkEnd w:id="431"/>
            <w:bookmarkEnd w:id="432"/>
            <w:bookmarkEnd w:id="433"/>
            <w:bookmarkEnd w:id="434"/>
            <w:bookmarkEnd w:id="435"/>
            <w:r>
              <w:rPr>
                <w:rFonts w:hint="default" w:ascii="Times New Roman" w:hAnsi="Times New Roman" w:eastAsia="宋体" w:cs="Times New Roman"/>
                <w:color w:val="auto"/>
                <w:kern w:val="0"/>
                <w:sz w:val="21"/>
                <w:szCs w:val="21"/>
                <w:lang w:val="zh-CN"/>
              </w:rPr>
              <w:t>》第8.2.1条，《尾矿库安全规程》第5.5.4、6.4.5条</w:t>
            </w:r>
          </w:p>
        </w:tc>
        <w:tc>
          <w:tcPr>
            <w:tcW w:w="493" w:type="pct"/>
            <w:noWrap w:val="0"/>
            <w:vAlign w:val="center"/>
          </w:tcPr>
          <w:p w14:paraId="2ABC484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361" w:type="pct"/>
            <w:noWrap w:val="0"/>
            <w:vAlign w:val="center"/>
          </w:tcPr>
          <w:p w14:paraId="73326E4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未标明正常运行水位和警戒水位</w:t>
            </w:r>
          </w:p>
        </w:tc>
        <w:tc>
          <w:tcPr>
            <w:tcW w:w="356" w:type="pct"/>
            <w:noWrap w:val="0"/>
            <w:vAlign w:val="center"/>
          </w:tcPr>
          <w:p w14:paraId="02521F7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452" w:type="pct"/>
            <w:noWrap w:val="0"/>
            <w:vAlign w:val="center"/>
          </w:tcPr>
          <w:p w14:paraId="2BE1F89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5765626A">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294" w:type="pct"/>
            <w:noWrap w:val="0"/>
            <w:vAlign w:val="center"/>
          </w:tcPr>
          <w:p w14:paraId="519C6A1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0</w:t>
            </w:r>
          </w:p>
        </w:tc>
      </w:tr>
      <w:tr w14:paraId="66D18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1E3EF2E5">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5095E1B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3.2尾矿库水边线应与坝轴线基本保持平行。</w:t>
            </w:r>
          </w:p>
        </w:tc>
        <w:tc>
          <w:tcPr>
            <w:tcW w:w="924" w:type="pct"/>
            <w:noWrap w:val="0"/>
            <w:vAlign w:val="center"/>
          </w:tcPr>
          <w:p w14:paraId="43F4A02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《尾矿库安全生产标准化评分办法》</w:t>
            </w:r>
          </w:p>
        </w:tc>
        <w:tc>
          <w:tcPr>
            <w:tcW w:w="493" w:type="pct"/>
            <w:noWrap w:val="0"/>
            <w:vAlign w:val="center"/>
          </w:tcPr>
          <w:p w14:paraId="4F32AB9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23BCCC1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c>
          <w:tcPr>
            <w:tcW w:w="356" w:type="pct"/>
            <w:noWrap w:val="0"/>
            <w:vAlign w:val="center"/>
          </w:tcPr>
          <w:p w14:paraId="7200E0B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452" w:type="pct"/>
            <w:noWrap w:val="0"/>
            <w:vAlign w:val="center"/>
          </w:tcPr>
          <w:p w14:paraId="13278AF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6AE897F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294" w:type="pct"/>
            <w:noWrap w:val="0"/>
            <w:vAlign w:val="center"/>
          </w:tcPr>
          <w:p w14:paraId="7DD33B6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3</w:t>
            </w:r>
          </w:p>
        </w:tc>
      </w:tr>
      <w:tr w14:paraId="5251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5DD7C61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560A589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3.3应疏浚库区内截洪沟、坝面排水沟及下游排洪（渠）道；</w:t>
            </w:r>
          </w:p>
          <w:p w14:paraId="58DFBB5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3.4按设计确定的排洪底坎高程，将排洪底坎以上1.5倍调洪高度内的档板全部打开；</w:t>
            </w:r>
          </w:p>
          <w:p w14:paraId="55CB1D3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3.5清除排洪口前水面漂浮物；</w:t>
            </w:r>
          </w:p>
        </w:tc>
        <w:tc>
          <w:tcPr>
            <w:tcW w:w="924" w:type="pct"/>
            <w:noWrap w:val="0"/>
            <w:vAlign w:val="center"/>
          </w:tcPr>
          <w:p w14:paraId="2DCB28D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《尾矿库安全规程》第6.4.3条</w:t>
            </w:r>
          </w:p>
        </w:tc>
        <w:tc>
          <w:tcPr>
            <w:tcW w:w="493" w:type="pct"/>
            <w:noWrap w:val="0"/>
            <w:vAlign w:val="center"/>
          </w:tcPr>
          <w:p w14:paraId="7EB02ED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361" w:type="pct"/>
            <w:noWrap w:val="0"/>
            <w:vAlign w:val="center"/>
          </w:tcPr>
          <w:p w14:paraId="55FFD18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c>
          <w:tcPr>
            <w:tcW w:w="356" w:type="pct"/>
            <w:noWrap w:val="0"/>
            <w:vAlign w:val="center"/>
          </w:tcPr>
          <w:p w14:paraId="45D47D3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6</w:t>
            </w:r>
          </w:p>
        </w:tc>
        <w:tc>
          <w:tcPr>
            <w:tcW w:w="452" w:type="pct"/>
            <w:noWrap w:val="0"/>
            <w:vAlign w:val="center"/>
          </w:tcPr>
          <w:p w14:paraId="2BB07BF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1项不符合扣2分</w:t>
            </w:r>
          </w:p>
        </w:tc>
        <w:tc>
          <w:tcPr>
            <w:tcW w:w="294" w:type="pct"/>
            <w:noWrap w:val="0"/>
            <w:vAlign w:val="center"/>
          </w:tcPr>
          <w:p w14:paraId="4018FDB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6</w:t>
            </w:r>
          </w:p>
        </w:tc>
      </w:tr>
      <w:tr w14:paraId="6AFA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4E920CF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7162BC5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3.6应备足抗洪抢险所需物资，落实应急救援措施；</w:t>
            </w:r>
          </w:p>
          <w:p w14:paraId="5DFC897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3.7应确保上坝道路、通讯、供电及照明线路可靠和畅通；</w:t>
            </w:r>
          </w:p>
          <w:p w14:paraId="336A480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3.8及时了解和掌握汛期水情和气象预报情况。</w:t>
            </w:r>
          </w:p>
        </w:tc>
        <w:tc>
          <w:tcPr>
            <w:tcW w:w="924" w:type="pct"/>
            <w:noWrap w:val="0"/>
            <w:vAlign w:val="center"/>
          </w:tcPr>
          <w:p w14:paraId="60EF746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《尾矿库安全规程》第6.1.10、9.7.2、9.7.4、10.8条</w:t>
            </w:r>
          </w:p>
        </w:tc>
        <w:tc>
          <w:tcPr>
            <w:tcW w:w="493" w:type="pct"/>
            <w:noWrap w:val="0"/>
            <w:vAlign w:val="center"/>
          </w:tcPr>
          <w:p w14:paraId="26CC870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p w14:paraId="0210398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和记录</w:t>
            </w:r>
          </w:p>
        </w:tc>
        <w:tc>
          <w:tcPr>
            <w:tcW w:w="361" w:type="pct"/>
            <w:noWrap w:val="0"/>
            <w:vAlign w:val="center"/>
          </w:tcPr>
          <w:p w14:paraId="12AEE11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物资</w:t>
            </w:r>
          </w:p>
          <w:p w14:paraId="6F785DF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eastAsia="宋体" w:cs="Times New Roman"/>
                <w:color w:val="auto"/>
                <w:kern w:val="0"/>
                <w:sz w:val="21"/>
                <w:szCs w:val="21"/>
                <w:lang w:val="en-US" w:eastAsia="zh-CN"/>
              </w:rPr>
              <w:t>偏少</w:t>
            </w:r>
          </w:p>
        </w:tc>
        <w:tc>
          <w:tcPr>
            <w:tcW w:w="356" w:type="pct"/>
            <w:noWrap w:val="0"/>
            <w:vAlign w:val="center"/>
          </w:tcPr>
          <w:p w14:paraId="343E474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2" w:type="pct"/>
            <w:noWrap w:val="0"/>
            <w:vAlign w:val="center"/>
          </w:tcPr>
          <w:p w14:paraId="5421063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不达要求前2项有1项扣3分，后1项扣1分</w:t>
            </w:r>
          </w:p>
        </w:tc>
        <w:tc>
          <w:tcPr>
            <w:tcW w:w="294" w:type="pct"/>
            <w:noWrap w:val="0"/>
            <w:vAlign w:val="center"/>
          </w:tcPr>
          <w:p w14:paraId="3E7BCB1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4</w:t>
            </w:r>
          </w:p>
        </w:tc>
      </w:tr>
      <w:tr w14:paraId="0C87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71189E1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135FA07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3.9不得在尾矿滩面设置泄洪口。</w:t>
            </w:r>
          </w:p>
        </w:tc>
        <w:tc>
          <w:tcPr>
            <w:tcW w:w="924" w:type="pct"/>
            <w:noWrap w:val="0"/>
            <w:vAlign w:val="center"/>
          </w:tcPr>
          <w:p w14:paraId="60DBCFB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《冶金矿山尾矿设施管理规程》第4.3.5条</w:t>
            </w:r>
          </w:p>
        </w:tc>
        <w:tc>
          <w:tcPr>
            <w:tcW w:w="493" w:type="pct"/>
            <w:noWrap w:val="0"/>
            <w:vAlign w:val="center"/>
          </w:tcPr>
          <w:p w14:paraId="3DF23C8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361" w:type="pct"/>
            <w:noWrap w:val="0"/>
            <w:vAlign w:val="center"/>
          </w:tcPr>
          <w:p w14:paraId="53B450FC">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4977B0D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56" w:type="pct"/>
            <w:noWrap w:val="0"/>
            <w:vAlign w:val="center"/>
          </w:tcPr>
          <w:p w14:paraId="2E3D530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2" w:type="pct"/>
            <w:vMerge w:val="restart"/>
            <w:noWrap w:val="0"/>
            <w:vAlign w:val="center"/>
          </w:tcPr>
          <w:p w14:paraId="1F7F455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00D14F0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294" w:type="pct"/>
            <w:noWrap w:val="0"/>
            <w:vAlign w:val="center"/>
          </w:tcPr>
          <w:p w14:paraId="3EB1A71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7B268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08C2F91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2D3ED41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3.10尾矿库排水构筑物停止使用后，是否按照设计要求进行封堵。</w:t>
            </w:r>
          </w:p>
        </w:tc>
        <w:tc>
          <w:tcPr>
            <w:tcW w:w="924" w:type="pct"/>
            <w:noWrap w:val="0"/>
            <w:vAlign w:val="center"/>
          </w:tcPr>
          <w:p w14:paraId="4FB7C9E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《尾矿库安全规程》第6.4.8条</w:t>
            </w:r>
          </w:p>
        </w:tc>
        <w:tc>
          <w:tcPr>
            <w:tcW w:w="493" w:type="pct"/>
            <w:noWrap w:val="0"/>
            <w:vAlign w:val="center"/>
          </w:tcPr>
          <w:p w14:paraId="08CD7886">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查设尾矿库工程档案和现场</w:t>
            </w:r>
          </w:p>
        </w:tc>
        <w:tc>
          <w:tcPr>
            <w:tcW w:w="361" w:type="pct"/>
            <w:noWrap w:val="0"/>
            <w:vAlign w:val="center"/>
          </w:tcPr>
          <w:p w14:paraId="54AD8FB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已按设计要求进行封堵</w:t>
            </w:r>
          </w:p>
        </w:tc>
        <w:tc>
          <w:tcPr>
            <w:tcW w:w="356" w:type="pct"/>
            <w:noWrap w:val="0"/>
            <w:vAlign w:val="center"/>
          </w:tcPr>
          <w:p w14:paraId="3749C8D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452" w:type="pct"/>
            <w:vMerge w:val="continue"/>
            <w:noWrap w:val="0"/>
            <w:vAlign w:val="center"/>
          </w:tcPr>
          <w:p w14:paraId="21757AB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76E5E90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eastAsia="宋体" w:cs="Times New Roman"/>
                <w:color w:val="auto"/>
                <w:kern w:val="0"/>
                <w:sz w:val="21"/>
                <w:szCs w:val="21"/>
                <w:lang w:val="en-US" w:eastAsia="zh-CN"/>
              </w:rPr>
              <w:t>5</w:t>
            </w:r>
          </w:p>
        </w:tc>
      </w:tr>
      <w:tr w14:paraId="1D96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687044D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2435CC9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3.12排水系统是否有变形、位移、损坏现象。</w:t>
            </w:r>
          </w:p>
        </w:tc>
        <w:tc>
          <w:tcPr>
            <w:tcW w:w="924" w:type="pct"/>
            <w:noWrap w:val="0"/>
            <w:vAlign w:val="center"/>
          </w:tcPr>
          <w:p w14:paraId="4106B95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《尾矿库安全规程》第9.2.5条</w:t>
            </w:r>
          </w:p>
        </w:tc>
        <w:tc>
          <w:tcPr>
            <w:tcW w:w="493" w:type="pct"/>
            <w:noWrap w:val="0"/>
            <w:vAlign w:val="center"/>
          </w:tcPr>
          <w:p w14:paraId="278153E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查现场</w:t>
            </w:r>
          </w:p>
        </w:tc>
        <w:tc>
          <w:tcPr>
            <w:tcW w:w="361" w:type="pct"/>
            <w:noWrap w:val="0"/>
            <w:vAlign w:val="center"/>
          </w:tcPr>
          <w:p w14:paraId="7F6A2892">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56" w:type="pct"/>
            <w:noWrap w:val="0"/>
            <w:vAlign w:val="center"/>
          </w:tcPr>
          <w:p w14:paraId="709F122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2" w:type="pct"/>
            <w:vMerge w:val="continue"/>
            <w:noWrap w:val="0"/>
            <w:vAlign w:val="center"/>
          </w:tcPr>
          <w:p w14:paraId="058A1BD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272A04BE">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3FBF1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54" w:hRule="atLeast"/>
          <w:jc w:val="center"/>
        </w:trPr>
        <w:tc>
          <w:tcPr>
            <w:tcW w:w="318" w:type="pct"/>
            <w:vMerge w:val="continue"/>
            <w:noWrap w:val="0"/>
            <w:vAlign w:val="center"/>
          </w:tcPr>
          <w:p w14:paraId="7FF4A48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800" w:type="pct"/>
            <w:noWrap w:val="0"/>
            <w:vAlign w:val="center"/>
          </w:tcPr>
          <w:p w14:paraId="2ABC703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pacing w:val="4"/>
                <w:kern w:val="0"/>
                <w:sz w:val="21"/>
                <w:szCs w:val="21"/>
              </w:rPr>
              <w:t>3.13未经技术论证，不得用常规子坝拦洪。</w:t>
            </w:r>
          </w:p>
        </w:tc>
        <w:tc>
          <w:tcPr>
            <w:tcW w:w="924" w:type="pct"/>
            <w:noWrap w:val="0"/>
            <w:vAlign w:val="center"/>
          </w:tcPr>
          <w:p w14:paraId="77B9189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《尾矿库安全规程》第6.4.3条</w:t>
            </w:r>
          </w:p>
        </w:tc>
        <w:tc>
          <w:tcPr>
            <w:tcW w:w="493" w:type="pct"/>
            <w:noWrap w:val="0"/>
            <w:vAlign w:val="center"/>
          </w:tcPr>
          <w:p w14:paraId="776F6064">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对照设计、现场检查</w:t>
            </w:r>
          </w:p>
        </w:tc>
        <w:tc>
          <w:tcPr>
            <w:tcW w:w="361" w:type="pct"/>
            <w:noWrap w:val="0"/>
            <w:vAlign w:val="center"/>
          </w:tcPr>
          <w:p w14:paraId="75024631">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无此现象</w:t>
            </w:r>
          </w:p>
        </w:tc>
        <w:tc>
          <w:tcPr>
            <w:tcW w:w="356" w:type="pct"/>
            <w:noWrap w:val="0"/>
            <w:vAlign w:val="center"/>
          </w:tcPr>
          <w:p w14:paraId="4419570D">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452" w:type="pct"/>
            <w:noWrap w:val="0"/>
            <w:vAlign w:val="center"/>
          </w:tcPr>
          <w:p w14:paraId="5CAD597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19E0A198">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eastAsia="宋体" w:cs="Times New Roman"/>
                <w:color w:val="auto"/>
                <w:kern w:val="0"/>
                <w:sz w:val="21"/>
                <w:szCs w:val="21"/>
                <w:lang w:val="en-US" w:eastAsia="zh-CN"/>
              </w:rPr>
              <w:t>4</w:t>
            </w:r>
          </w:p>
        </w:tc>
      </w:tr>
      <w:tr w14:paraId="088A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90" w:hRule="atLeast"/>
          <w:jc w:val="center"/>
        </w:trPr>
        <w:tc>
          <w:tcPr>
            <w:tcW w:w="2118" w:type="pct"/>
            <w:gridSpan w:val="2"/>
            <w:noWrap w:val="0"/>
            <w:vAlign w:val="center"/>
          </w:tcPr>
          <w:p w14:paraId="6E78FF20">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924" w:type="pct"/>
            <w:noWrap w:val="0"/>
            <w:vAlign w:val="center"/>
          </w:tcPr>
          <w:p w14:paraId="08D4A387">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493" w:type="pct"/>
            <w:noWrap w:val="0"/>
            <w:vAlign w:val="center"/>
          </w:tcPr>
          <w:p w14:paraId="7C30DAD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61" w:type="pct"/>
            <w:noWrap w:val="0"/>
            <w:vAlign w:val="center"/>
          </w:tcPr>
          <w:p w14:paraId="25456B9F">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6" w:type="pct"/>
            <w:noWrap w:val="0"/>
            <w:vAlign w:val="center"/>
          </w:tcPr>
          <w:p w14:paraId="64EB04C9">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41</w:t>
            </w:r>
          </w:p>
        </w:tc>
        <w:tc>
          <w:tcPr>
            <w:tcW w:w="452" w:type="pct"/>
            <w:noWrap w:val="0"/>
            <w:vAlign w:val="center"/>
          </w:tcPr>
          <w:p w14:paraId="68658843">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4" w:type="pct"/>
            <w:noWrap w:val="0"/>
            <w:vAlign w:val="center"/>
          </w:tcPr>
          <w:p w14:paraId="6BDAD2FB">
            <w:pPr>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36</w:t>
            </w:r>
          </w:p>
        </w:tc>
      </w:tr>
    </w:tbl>
    <w:p w14:paraId="2832338B">
      <w:pPr>
        <w:pStyle w:val="4"/>
        <w:bidi w:val="0"/>
        <w:rPr>
          <w:rFonts w:hint="default"/>
          <w:color w:val="auto"/>
          <w:lang w:val="en-US" w:eastAsia="zh-CN"/>
        </w:rPr>
      </w:pPr>
      <w:bookmarkStart w:id="436" w:name="_Toc29308"/>
      <w:bookmarkStart w:id="437" w:name="_Toc29504"/>
      <w:bookmarkStart w:id="438" w:name="_Toc13516"/>
      <w:bookmarkStart w:id="439" w:name="_Toc10677"/>
      <w:r>
        <w:rPr>
          <w:rFonts w:hint="default"/>
          <w:color w:val="auto"/>
          <w:lang w:val="en-US" w:eastAsia="zh-CN"/>
        </w:rPr>
        <w:t>5.3.2 尾矿库调洪演算</w:t>
      </w:r>
      <w:bookmarkEnd w:id="436"/>
      <w:bookmarkEnd w:id="437"/>
      <w:bookmarkEnd w:id="438"/>
      <w:bookmarkEnd w:id="439"/>
    </w:p>
    <w:p w14:paraId="2EA5ED48">
      <w:pPr>
        <w:rPr>
          <w:rFonts w:hint="default"/>
          <w:color w:val="auto"/>
          <w:lang w:val="en-US" w:eastAsia="zh-CN"/>
        </w:rPr>
      </w:pPr>
      <w:r>
        <w:rPr>
          <w:rFonts w:hint="default"/>
          <w:color w:val="auto"/>
          <w:lang w:val="en-US" w:eastAsia="zh-CN"/>
        </w:rPr>
        <w:t>本节内容主要摘自《</w:t>
      </w:r>
      <w:r>
        <w:rPr>
          <w:rFonts w:hint="eastAsia"/>
          <w:color w:val="auto"/>
          <w:lang w:val="en-US" w:eastAsia="zh-CN"/>
        </w:rPr>
        <w:t>江西省宜丰万国矿业有限公司宜丰新庄铜铅锌矿</w:t>
      </w:r>
      <w:r>
        <w:rPr>
          <w:rFonts w:hint="default"/>
          <w:color w:val="auto"/>
          <w:lang w:val="en-US" w:eastAsia="zh-CN"/>
        </w:rPr>
        <w:t>宜丰新庄铜铅锌矿</w:t>
      </w:r>
      <w:r>
        <w:rPr>
          <w:rFonts w:hint="eastAsia"/>
          <w:color w:val="auto"/>
          <w:lang w:val="en-US" w:eastAsia="zh-CN"/>
        </w:rPr>
        <w:t>尾矿库调洪演算报告（2025年度）</w:t>
      </w:r>
      <w:r>
        <w:rPr>
          <w:rFonts w:hint="default"/>
          <w:color w:val="auto"/>
          <w:lang w:val="en-US" w:eastAsia="zh-CN"/>
        </w:rPr>
        <w:t>》</w:t>
      </w:r>
      <w:r>
        <w:rPr>
          <w:rFonts w:hint="default"/>
          <w:b w:val="0"/>
          <w:bCs w:val="0"/>
          <w:color w:val="auto"/>
          <w:lang w:val="en-US" w:eastAsia="zh-CN"/>
        </w:rPr>
        <w:t>（汉宸国际工程设计集团有限公司，202</w:t>
      </w:r>
      <w:r>
        <w:rPr>
          <w:rFonts w:hint="eastAsia"/>
          <w:b w:val="0"/>
          <w:bCs w:val="0"/>
          <w:color w:val="auto"/>
          <w:lang w:val="en-US" w:eastAsia="zh-CN"/>
        </w:rPr>
        <w:t>5</w:t>
      </w:r>
      <w:r>
        <w:rPr>
          <w:rFonts w:hint="default"/>
          <w:b w:val="0"/>
          <w:bCs w:val="0"/>
          <w:color w:val="auto"/>
          <w:lang w:val="en-US" w:eastAsia="zh-CN"/>
        </w:rPr>
        <w:t>年</w:t>
      </w:r>
      <w:r>
        <w:rPr>
          <w:rFonts w:hint="eastAsia"/>
          <w:b w:val="0"/>
          <w:bCs w:val="0"/>
          <w:color w:val="auto"/>
          <w:lang w:val="en-US" w:eastAsia="zh-CN"/>
        </w:rPr>
        <w:t>3</w:t>
      </w:r>
      <w:r>
        <w:rPr>
          <w:rFonts w:hint="default"/>
          <w:b w:val="0"/>
          <w:bCs w:val="0"/>
          <w:color w:val="auto"/>
          <w:lang w:val="en-US" w:eastAsia="zh-CN"/>
        </w:rPr>
        <w:t>月）</w:t>
      </w:r>
      <w:r>
        <w:rPr>
          <w:rFonts w:hint="default"/>
          <w:color w:val="auto"/>
          <w:lang w:val="en-US" w:eastAsia="zh-CN"/>
        </w:rPr>
        <w:t>。</w:t>
      </w:r>
    </w:p>
    <w:p w14:paraId="073D454F">
      <w:pPr>
        <w:numPr>
          <w:ilvl w:val="0"/>
          <w:numId w:val="0"/>
        </w:numPr>
        <w:ind w:firstLine="560" w:firstLineChars="200"/>
        <w:rPr>
          <w:rFonts w:hint="default"/>
          <w:color w:val="auto"/>
          <w:lang w:val="en-US" w:eastAsia="zh-CN"/>
        </w:rPr>
      </w:pPr>
      <w:bookmarkStart w:id="440" w:name="_Toc10541"/>
      <w:bookmarkStart w:id="441" w:name="_Toc7647"/>
      <w:bookmarkStart w:id="442" w:name="_Toc20256"/>
      <w:r>
        <w:rPr>
          <w:rFonts w:hint="eastAsia"/>
          <w:color w:val="auto"/>
          <w:lang w:val="en-US" w:eastAsia="zh-CN"/>
        </w:rPr>
        <w:t>一、</w:t>
      </w:r>
      <w:r>
        <w:rPr>
          <w:rFonts w:hint="default"/>
          <w:color w:val="auto"/>
          <w:lang w:val="en-US" w:eastAsia="zh-CN"/>
        </w:rPr>
        <w:t>防洪标准</w:t>
      </w:r>
    </w:p>
    <w:p w14:paraId="4F4A3813">
      <w:pPr>
        <w:bidi w:val="0"/>
        <w:rPr>
          <w:rFonts w:hint="default"/>
          <w:color w:val="auto"/>
          <w:lang w:val="en-US" w:eastAsia="zh-CN"/>
        </w:rPr>
      </w:pPr>
      <w:r>
        <w:rPr>
          <w:rFonts w:hint="default"/>
          <w:color w:val="auto"/>
          <w:lang w:val="en-US" w:eastAsia="zh-CN"/>
        </w:rPr>
        <w:t>根据《尾矿设施尾设计规范》（GB50863-2013）（以下简称《尾矿规范》）第6.1.1条的规定：尾矿库各使用期的防洪标准应根据各使用期库的等别、库容、坝高、使用年限及对下游可能造成的危害等因素，分别按表5.3-</w:t>
      </w:r>
      <w:r>
        <w:rPr>
          <w:rFonts w:hint="eastAsia"/>
          <w:color w:val="auto"/>
          <w:lang w:val="en-US" w:eastAsia="zh-CN"/>
        </w:rPr>
        <w:t>2</w:t>
      </w:r>
      <w:r>
        <w:rPr>
          <w:rFonts w:hint="default"/>
          <w:color w:val="auto"/>
          <w:lang w:val="en-US" w:eastAsia="zh-CN"/>
        </w:rPr>
        <w:t>确定。</w:t>
      </w:r>
    </w:p>
    <w:p w14:paraId="3E4CE2FC">
      <w:pPr>
        <w:bidi w:val="0"/>
        <w:ind w:left="0" w:leftChars="0" w:firstLine="0" w:firstLineChars="0"/>
        <w:jc w:val="center"/>
        <w:rPr>
          <w:rFonts w:hint="default"/>
          <w:color w:val="auto"/>
          <w:lang w:val="en-US" w:eastAsia="zh-CN"/>
        </w:rPr>
      </w:pPr>
    </w:p>
    <w:p w14:paraId="6D0DE551">
      <w:pPr>
        <w:bidi w:val="0"/>
        <w:ind w:left="0" w:leftChars="0" w:firstLine="0" w:firstLineChars="0"/>
        <w:jc w:val="center"/>
        <w:rPr>
          <w:rFonts w:hint="eastAsia"/>
          <w:color w:val="auto"/>
          <w:lang w:val="en-US" w:eastAsia="zh-CN"/>
        </w:rPr>
      </w:pPr>
      <w:r>
        <w:rPr>
          <w:rFonts w:hint="default"/>
          <w:color w:val="auto"/>
          <w:lang w:val="en-US" w:eastAsia="zh-CN"/>
        </w:rPr>
        <w:t>表5.3-</w:t>
      </w:r>
      <w:r>
        <w:rPr>
          <w:rFonts w:hint="eastAsia"/>
          <w:color w:val="auto"/>
          <w:lang w:val="en-US" w:eastAsia="zh-CN"/>
        </w:rPr>
        <w:t>2 尾矿库防洪标准</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90"/>
        <w:gridCol w:w="1389"/>
        <w:gridCol w:w="1294"/>
        <w:gridCol w:w="1295"/>
        <w:gridCol w:w="1295"/>
        <w:gridCol w:w="1295"/>
      </w:tblGrid>
      <w:tr w14:paraId="692190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4" w:hRule="atLeast"/>
          <w:jc w:val="center"/>
        </w:trPr>
        <w:tc>
          <w:tcPr>
            <w:tcW w:w="1990" w:type="dxa"/>
            <w:noWrap w:val="0"/>
            <w:vAlign w:val="center"/>
          </w:tcPr>
          <w:p w14:paraId="46CAC4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尾矿库</w:t>
            </w:r>
          </w:p>
          <w:p w14:paraId="507EDE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各使用期等别</w:t>
            </w:r>
          </w:p>
        </w:tc>
        <w:tc>
          <w:tcPr>
            <w:tcW w:w="1389" w:type="dxa"/>
            <w:noWrap w:val="0"/>
            <w:vAlign w:val="center"/>
          </w:tcPr>
          <w:p w14:paraId="1B20B8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一</w:t>
            </w:r>
          </w:p>
        </w:tc>
        <w:tc>
          <w:tcPr>
            <w:tcW w:w="1294" w:type="dxa"/>
            <w:noWrap w:val="0"/>
            <w:vAlign w:val="center"/>
          </w:tcPr>
          <w:p w14:paraId="4FDBB4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二</w:t>
            </w:r>
          </w:p>
        </w:tc>
        <w:tc>
          <w:tcPr>
            <w:tcW w:w="1295" w:type="dxa"/>
            <w:noWrap w:val="0"/>
            <w:vAlign w:val="center"/>
          </w:tcPr>
          <w:p w14:paraId="56D743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三</w:t>
            </w:r>
          </w:p>
        </w:tc>
        <w:tc>
          <w:tcPr>
            <w:tcW w:w="1295" w:type="dxa"/>
            <w:noWrap w:val="0"/>
            <w:vAlign w:val="center"/>
          </w:tcPr>
          <w:p w14:paraId="40F0FE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四</w:t>
            </w:r>
          </w:p>
        </w:tc>
        <w:tc>
          <w:tcPr>
            <w:tcW w:w="1295" w:type="dxa"/>
            <w:noWrap w:val="0"/>
            <w:vAlign w:val="center"/>
          </w:tcPr>
          <w:p w14:paraId="34A559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五</w:t>
            </w:r>
          </w:p>
        </w:tc>
      </w:tr>
      <w:tr w14:paraId="698DD1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jc w:val="center"/>
        </w:trPr>
        <w:tc>
          <w:tcPr>
            <w:tcW w:w="1990" w:type="dxa"/>
            <w:noWrap w:val="0"/>
            <w:vAlign w:val="center"/>
          </w:tcPr>
          <w:p w14:paraId="453BD1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洪水重现期（年）</w:t>
            </w:r>
          </w:p>
        </w:tc>
        <w:tc>
          <w:tcPr>
            <w:tcW w:w="1389" w:type="dxa"/>
            <w:noWrap w:val="0"/>
            <w:vAlign w:val="center"/>
          </w:tcPr>
          <w:p w14:paraId="5C9B79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1000~5000或PMF</w:t>
            </w:r>
          </w:p>
        </w:tc>
        <w:tc>
          <w:tcPr>
            <w:tcW w:w="1294" w:type="dxa"/>
            <w:noWrap w:val="0"/>
            <w:vAlign w:val="center"/>
          </w:tcPr>
          <w:p w14:paraId="294ABB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500~1000</w:t>
            </w:r>
          </w:p>
        </w:tc>
        <w:tc>
          <w:tcPr>
            <w:tcW w:w="1295" w:type="dxa"/>
            <w:noWrap w:val="0"/>
            <w:vAlign w:val="center"/>
          </w:tcPr>
          <w:p w14:paraId="2FC00C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200~500</w:t>
            </w:r>
          </w:p>
        </w:tc>
        <w:tc>
          <w:tcPr>
            <w:tcW w:w="1295" w:type="dxa"/>
            <w:noWrap w:val="0"/>
            <w:vAlign w:val="center"/>
          </w:tcPr>
          <w:p w14:paraId="48800A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100~200</w:t>
            </w:r>
          </w:p>
        </w:tc>
        <w:tc>
          <w:tcPr>
            <w:tcW w:w="1295" w:type="dxa"/>
            <w:noWrap w:val="0"/>
            <w:vAlign w:val="center"/>
          </w:tcPr>
          <w:p w14:paraId="229E6B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100</w:t>
            </w:r>
          </w:p>
        </w:tc>
      </w:tr>
    </w:tbl>
    <w:p w14:paraId="3FEB7E85">
      <w:pPr>
        <w:bidi w:val="0"/>
        <w:rPr>
          <w:rFonts w:hint="default"/>
          <w:b/>
          <w:bCs/>
          <w:color w:val="auto"/>
          <w:sz w:val="21"/>
          <w:szCs w:val="21"/>
          <w:lang w:val="en-US" w:eastAsia="zh-CN"/>
        </w:rPr>
      </w:pPr>
      <w:r>
        <w:rPr>
          <w:rFonts w:hint="default"/>
          <w:b/>
          <w:bCs/>
          <w:color w:val="auto"/>
          <w:sz w:val="21"/>
          <w:szCs w:val="21"/>
          <w:lang w:val="en-US" w:eastAsia="zh-CN"/>
        </w:rPr>
        <w:t>注：PMF为可能最大洪水。</w:t>
      </w:r>
    </w:p>
    <w:p w14:paraId="0219A721">
      <w:pPr>
        <w:bidi w:val="0"/>
        <w:rPr>
          <w:rFonts w:hint="default"/>
          <w:color w:val="auto"/>
          <w:lang w:val="en-US" w:eastAsia="zh-CN"/>
        </w:rPr>
      </w:pPr>
      <w:r>
        <w:rPr>
          <w:rFonts w:hint="default"/>
          <w:color w:val="auto"/>
          <w:lang w:val="en-US" w:eastAsia="zh-CN"/>
        </w:rPr>
        <w:t>湿改干工艺改造加高扩容后，尾矿库等别由原来的五等上升至四等。洪水重现期按100年一遇考虑（根据设计）。</w:t>
      </w:r>
    </w:p>
    <w:p w14:paraId="0A9D03AD">
      <w:pPr>
        <w:bidi w:val="0"/>
        <w:rPr>
          <w:rFonts w:hint="default"/>
          <w:color w:val="auto"/>
          <w:lang w:val="en-US" w:eastAsia="zh-CN"/>
        </w:rPr>
      </w:pPr>
      <w:r>
        <w:rPr>
          <w:rFonts w:hint="eastAsia"/>
          <w:color w:val="auto"/>
          <w:lang w:val="en-US" w:eastAsia="zh-CN"/>
        </w:rPr>
        <w:t>二、水文计算</w:t>
      </w:r>
    </w:p>
    <w:p w14:paraId="1244DF57">
      <w:pPr>
        <w:bidi w:val="0"/>
        <w:rPr>
          <w:rFonts w:hint="default"/>
          <w:color w:val="auto"/>
          <w:lang w:val="en-US" w:eastAsia="zh-CN"/>
        </w:rPr>
      </w:pPr>
      <w:r>
        <w:rPr>
          <w:rFonts w:hint="default"/>
          <w:color w:val="auto"/>
          <w:lang w:val="en-US" w:eastAsia="zh-CN"/>
        </w:rPr>
        <w:t>根据尾矿库1</w:t>
      </w:r>
      <w:r>
        <w:rPr>
          <w:rFonts w:hint="eastAsia" w:ascii="宋体" w:hAnsi="宋体"/>
          <w:color w:val="auto"/>
          <w:szCs w:val="28"/>
        </w:rPr>
        <w:t>∶</w:t>
      </w:r>
      <w:r>
        <w:rPr>
          <w:rFonts w:hint="default"/>
          <w:color w:val="auto"/>
          <w:lang w:val="en-US" w:eastAsia="zh-CN"/>
        </w:rPr>
        <w:t>1000实测现状图，按《江西省暴雨洪水查算手册》（江西省水文总站，2010年）中推荐的计算公式及参数进行计算。</w:t>
      </w:r>
    </w:p>
    <w:p w14:paraId="52B48A44">
      <w:pPr>
        <w:bidi w:val="0"/>
        <w:rPr>
          <w:rFonts w:hint="default"/>
          <w:color w:val="auto"/>
          <w:lang w:val="en-US" w:eastAsia="zh-CN"/>
        </w:rPr>
      </w:pPr>
      <w:r>
        <w:rPr>
          <w:rFonts w:hint="default"/>
          <w:color w:val="auto"/>
          <w:lang w:val="en-US" w:eastAsia="zh-CN"/>
        </w:rPr>
        <w:t>（1）计算参数：</w:t>
      </w:r>
    </w:p>
    <w:p w14:paraId="57FE5A71">
      <w:pPr>
        <w:bidi w:val="0"/>
        <w:rPr>
          <w:rFonts w:hint="default"/>
          <w:color w:val="auto"/>
          <w:lang w:val="en-US" w:eastAsia="zh-CN"/>
        </w:rPr>
      </w:pPr>
      <w:r>
        <w:rPr>
          <w:rFonts w:hint="default"/>
          <w:color w:val="auto"/>
          <w:lang w:val="en-US" w:eastAsia="zh-CN"/>
        </w:rPr>
        <w:t>根据《江西省暴雨洪水查算手册》（江西省水文总站、2010年10月）及矿方提供的1</w:t>
      </w:r>
      <w:r>
        <w:rPr>
          <w:rFonts w:hint="eastAsia" w:ascii="宋体" w:hAnsi="宋体"/>
          <w:color w:val="auto"/>
          <w:szCs w:val="28"/>
        </w:rPr>
        <w:t>∶</w:t>
      </w:r>
      <w:r>
        <w:rPr>
          <w:rFonts w:hint="default"/>
          <w:color w:val="auto"/>
          <w:lang w:val="en-US" w:eastAsia="zh-CN"/>
        </w:rPr>
        <w:t>1000库区地形图可得：</w:t>
      </w:r>
    </w:p>
    <w:p w14:paraId="3BD9B2B3">
      <w:pPr>
        <w:bidi w:val="0"/>
        <w:rPr>
          <w:rFonts w:hint="default"/>
          <w:color w:val="auto"/>
          <w:lang w:val="en-US" w:eastAsia="zh-CN"/>
        </w:rPr>
      </w:pPr>
      <w:r>
        <w:rPr>
          <w:rFonts w:hint="default"/>
          <w:color w:val="auto"/>
          <w:lang w:val="en-US" w:eastAsia="zh-CN"/>
        </w:rPr>
        <w:t>年最大10min暴雨均值H</w:t>
      </w:r>
      <w:r>
        <w:rPr>
          <w:rFonts w:hint="default"/>
          <w:color w:val="auto"/>
          <w:vertAlign w:val="subscript"/>
          <w:lang w:val="en-US" w:eastAsia="zh-CN"/>
        </w:rPr>
        <w:t>10’</w:t>
      </w:r>
      <w:r>
        <w:rPr>
          <w:rFonts w:hint="default"/>
          <w:color w:val="auto"/>
          <w:lang w:val="en-US" w:eastAsia="zh-CN"/>
        </w:rPr>
        <w:t>＝17.5mm；</w:t>
      </w:r>
    </w:p>
    <w:p w14:paraId="054A28E3">
      <w:pPr>
        <w:bidi w:val="0"/>
        <w:rPr>
          <w:rFonts w:hint="default"/>
          <w:color w:val="auto"/>
          <w:lang w:val="en-US" w:eastAsia="zh-CN"/>
        </w:rPr>
      </w:pPr>
      <w:r>
        <w:rPr>
          <w:rFonts w:hint="default"/>
          <w:color w:val="auto"/>
          <w:lang w:val="en-US" w:eastAsia="zh-CN"/>
        </w:rPr>
        <w:t>年最大60min暴雨均值H</w:t>
      </w:r>
      <w:r>
        <w:rPr>
          <w:rFonts w:hint="default"/>
          <w:color w:val="auto"/>
          <w:vertAlign w:val="subscript"/>
          <w:lang w:val="en-US" w:eastAsia="zh-CN"/>
        </w:rPr>
        <w:t>60’</w:t>
      </w:r>
      <w:r>
        <w:rPr>
          <w:rFonts w:hint="default"/>
          <w:color w:val="auto"/>
          <w:lang w:val="en-US" w:eastAsia="zh-CN"/>
        </w:rPr>
        <w:t>＝44.9mm；</w:t>
      </w:r>
    </w:p>
    <w:p w14:paraId="136339DD">
      <w:pPr>
        <w:bidi w:val="0"/>
        <w:rPr>
          <w:rFonts w:hint="default"/>
          <w:color w:val="auto"/>
          <w:lang w:val="en-US" w:eastAsia="zh-CN"/>
        </w:rPr>
      </w:pPr>
      <w:r>
        <w:rPr>
          <w:rFonts w:hint="default"/>
          <w:color w:val="auto"/>
          <w:lang w:val="en-US" w:eastAsia="zh-CN"/>
        </w:rPr>
        <w:t>年最大6h暴雨均值H</w:t>
      </w:r>
      <w:r>
        <w:rPr>
          <w:rFonts w:hint="default"/>
          <w:color w:val="auto"/>
          <w:vertAlign w:val="subscript"/>
          <w:lang w:val="en-US" w:eastAsia="zh-CN"/>
        </w:rPr>
        <w:t>6</w:t>
      </w:r>
      <w:r>
        <w:rPr>
          <w:rFonts w:hint="default"/>
          <w:color w:val="auto"/>
          <w:lang w:val="en-US" w:eastAsia="zh-CN"/>
        </w:rPr>
        <w:t>＝79.9mm；</w:t>
      </w:r>
    </w:p>
    <w:p w14:paraId="0420E140">
      <w:pPr>
        <w:bidi w:val="0"/>
        <w:rPr>
          <w:rFonts w:hint="default"/>
          <w:color w:val="auto"/>
          <w:lang w:val="en-US" w:eastAsia="zh-CN"/>
        </w:rPr>
      </w:pPr>
      <w:r>
        <w:rPr>
          <w:rFonts w:hint="default"/>
          <w:color w:val="auto"/>
          <w:lang w:val="en-US" w:eastAsia="zh-CN"/>
        </w:rPr>
        <w:t>最大24小时暴雨均值H</w:t>
      </w:r>
      <w:r>
        <w:rPr>
          <w:rFonts w:hint="default"/>
          <w:color w:val="auto"/>
          <w:vertAlign w:val="subscript"/>
          <w:lang w:val="en-US" w:eastAsia="zh-CN"/>
        </w:rPr>
        <w:t>24</w:t>
      </w:r>
      <w:r>
        <w:rPr>
          <w:rFonts w:hint="default"/>
          <w:color w:val="auto"/>
          <w:lang w:val="en-US" w:eastAsia="zh-CN"/>
        </w:rPr>
        <w:t>＝129.6mm；</w:t>
      </w:r>
    </w:p>
    <w:p w14:paraId="64E13E38">
      <w:pPr>
        <w:bidi w:val="0"/>
        <w:rPr>
          <w:rFonts w:hint="default"/>
          <w:color w:val="auto"/>
          <w:lang w:val="en-US" w:eastAsia="zh-CN"/>
        </w:rPr>
      </w:pPr>
      <w:r>
        <w:rPr>
          <w:rFonts w:hint="default"/>
          <w:color w:val="auto"/>
          <w:lang w:val="en-US" w:eastAsia="zh-CN"/>
        </w:rPr>
        <w:t>最大24小时暴雨变差系数C</w:t>
      </w:r>
      <w:r>
        <w:rPr>
          <w:rFonts w:hint="default"/>
          <w:color w:val="auto"/>
          <w:vertAlign w:val="subscript"/>
          <w:lang w:val="en-US" w:eastAsia="zh-CN"/>
        </w:rPr>
        <w:t>V</w:t>
      </w:r>
      <w:r>
        <w:rPr>
          <w:rFonts w:hint="default"/>
          <w:color w:val="auto"/>
          <w:lang w:val="en-US" w:eastAsia="zh-CN"/>
        </w:rPr>
        <w:t>＝0.59；</w:t>
      </w:r>
    </w:p>
    <w:p w14:paraId="7B90C551">
      <w:pPr>
        <w:bidi w:val="0"/>
        <w:rPr>
          <w:rFonts w:hint="default"/>
          <w:color w:val="auto"/>
          <w:lang w:val="en-US" w:eastAsia="zh-CN"/>
        </w:rPr>
      </w:pPr>
      <w:r>
        <w:rPr>
          <w:rFonts w:hint="default"/>
          <w:color w:val="auto"/>
          <w:lang w:val="en-US" w:eastAsia="zh-CN"/>
        </w:rPr>
        <w:t>最大24小时暴雨偏差系数C</w:t>
      </w:r>
      <w:r>
        <w:rPr>
          <w:rFonts w:hint="default"/>
          <w:color w:val="auto"/>
          <w:vertAlign w:val="subscript"/>
          <w:lang w:val="en-US" w:eastAsia="zh-CN"/>
        </w:rPr>
        <w:t>S</w:t>
      </w:r>
      <w:r>
        <w:rPr>
          <w:rFonts w:hint="default"/>
          <w:color w:val="auto"/>
          <w:lang w:val="en-US" w:eastAsia="zh-CN"/>
        </w:rPr>
        <w:t>＝3.5CV；</w:t>
      </w:r>
    </w:p>
    <w:p w14:paraId="1E8D048D">
      <w:pPr>
        <w:bidi w:val="0"/>
        <w:rPr>
          <w:rFonts w:hint="default"/>
          <w:color w:val="auto"/>
          <w:lang w:val="en-US" w:eastAsia="zh-CN"/>
        </w:rPr>
      </w:pPr>
      <w:r>
        <w:rPr>
          <w:rFonts w:hint="default"/>
          <w:color w:val="auto"/>
          <w:lang w:val="en-US" w:eastAsia="zh-CN"/>
        </w:rPr>
        <w:t>暴雨强度衰减指数n</w:t>
      </w:r>
      <w:r>
        <w:rPr>
          <w:rFonts w:hint="default"/>
          <w:color w:val="auto"/>
          <w:vertAlign w:val="subscript"/>
          <w:lang w:val="en-US" w:eastAsia="zh-CN"/>
        </w:rPr>
        <w:t>1</w:t>
      </w:r>
      <w:r>
        <w:rPr>
          <w:rFonts w:hint="default"/>
          <w:color w:val="auto"/>
          <w:lang w:val="en-US" w:eastAsia="zh-CN"/>
        </w:rPr>
        <w:t>＝0.596，n</w:t>
      </w:r>
      <w:r>
        <w:rPr>
          <w:rFonts w:hint="default"/>
          <w:color w:val="auto"/>
          <w:vertAlign w:val="subscript"/>
          <w:lang w:val="en-US" w:eastAsia="zh-CN"/>
        </w:rPr>
        <w:t>2</w:t>
      </w:r>
      <w:r>
        <w:rPr>
          <w:rFonts w:hint="default"/>
          <w:color w:val="auto"/>
          <w:lang w:val="en-US" w:eastAsia="zh-CN"/>
        </w:rPr>
        <w:t>＝0.323；</w:t>
      </w:r>
    </w:p>
    <w:p w14:paraId="7083EE38">
      <w:pPr>
        <w:bidi w:val="0"/>
        <w:rPr>
          <w:rFonts w:hint="default"/>
          <w:color w:val="auto"/>
          <w:lang w:val="en-US" w:eastAsia="zh-CN"/>
        </w:rPr>
      </w:pPr>
      <w:r>
        <w:rPr>
          <w:rFonts w:hint="default"/>
          <w:color w:val="auto"/>
          <w:lang w:val="en-US" w:eastAsia="zh-CN"/>
        </w:rPr>
        <w:t>平均入渗强度f＝2.381mm/hr；</w:t>
      </w:r>
    </w:p>
    <w:p w14:paraId="4C547EB2">
      <w:pPr>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尾矿库汇水面积F</w:t>
      </w:r>
      <w:r>
        <w:rPr>
          <w:rFonts w:hint="eastAsia" w:ascii="Times New Roman" w:hAnsi="Times New Roman" w:eastAsia="宋体" w:cs="Times New Roman"/>
          <w:color w:val="auto"/>
          <w:vertAlign w:val="subscript"/>
          <w:lang w:val="en-US" w:eastAsia="zh-CN"/>
        </w:rPr>
        <w:t>1</w:t>
      </w:r>
      <w:r>
        <w:rPr>
          <w:rFonts w:hint="eastAsia" w:ascii="Times New Roman" w:hAnsi="Times New Roman" w:eastAsia="宋体" w:cs="Times New Roman"/>
          <w:color w:val="auto"/>
          <w:lang w:val="en-US" w:eastAsia="zh-CN"/>
        </w:rPr>
        <w:t>=0.138km</w:t>
      </w:r>
      <w:r>
        <w:rPr>
          <w:rFonts w:hint="eastAsia"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w:t>
      </w:r>
    </w:p>
    <w:p w14:paraId="1B59376A">
      <w:pPr>
        <w:adjustRightInd w:val="0"/>
        <w:snapToGrid w:val="0"/>
        <w:spacing w:line="360" w:lineRule="auto"/>
        <w:ind w:firstLine="560" w:firstLineChars="200"/>
        <w:textAlignment w:val="baseline"/>
        <w:rPr>
          <w:rFonts w:hint="eastAsia" w:ascii="宋体" w:hAnsi="宋体" w:cs="宋体"/>
          <w:color w:val="auto"/>
          <w:sz w:val="28"/>
          <w:szCs w:val="28"/>
        </w:rPr>
      </w:pPr>
      <w:r>
        <w:rPr>
          <w:rFonts w:hint="default"/>
          <w:color w:val="auto"/>
          <w:lang w:val="en-US" w:eastAsia="zh-CN"/>
        </w:rPr>
        <w:t>（</w:t>
      </w:r>
      <w:r>
        <w:rPr>
          <w:rFonts w:hint="eastAsia"/>
          <w:color w:val="auto"/>
          <w:lang w:val="en-US" w:eastAsia="zh-CN"/>
        </w:rPr>
        <w:t>2</w:t>
      </w:r>
      <w:r>
        <w:rPr>
          <w:rFonts w:hint="default"/>
          <w:color w:val="auto"/>
          <w:lang w:val="en-US" w:eastAsia="zh-CN"/>
        </w:rPr>
        <w:t>）</w:t>
      </w:r>
      <w:r>
        <w:rPr>
          <w:rFonts w:hint="eastAsia" w:ascii="宋体" w:hAnsi="宋体" w:cs="宋体"/>
          <w:color w:val="auto"/>
          <w:sz w:val="28"/>
          <w:szCs w:val="28"/>
        </w:rPr>
        <w:t>洪水计算结果</w:t>
      </w:r>
    </w:p>
    <w:p w14:paraId="76EA15F2">
      <w:pPr>
        <w:bidi w:val="0"/>
        <w:rPr>
          <w:rFonts w:hint="default"/>
          <w:color w:val="auto"/>
          <w:lang w:val="en-US" w:eastAsia="zh-CN"/>
        </w:rPr>
      </w:pPr>
      <w:r>
        <w:rPr>
          <w:rFonts w:hint="default"/>
          <w:color w:val="auto"/>
          <w:lang w:val="en-US" w:eastAsia="zh-CN"/>
        </w:rPr>
        <w:t>利用《江西省暴雨洪水查算手册》中推理公式及相关参数对其进行洪水计算。计算成果见</w:t>
      </w:r>
      <w:r>
        <w:rPr>
          <w:rFonts w:hint="default"/>
          <w:color w:val="auto"/>
          <w:lang w:val="en-US" w:eastAsia="zh-CN"/>
        </w:rPr>
        <w:t>表5.3-</w:t>
      </w:r>
      <w:r>
        <w:rPr>
          <w:rFonts w:hint="eastAsia"/>
          <w:color w:val="auto"/>
          <w:lang w:val="en-US" w:eastAsia="zh-CN"/>
        </w:rPr>
        <w:t>3</w:t>
      </w:r>
      <w:r>
        <w:rPr>
          <w:rFonts w:hint="default"/>
          <w:color w:val="auto"/>
          <w:lang w:val="en-US" w:eastAsia="zh-CN"/>
        </w:rPr>
        <w:t>：</w:t>
      </w:r>
    </w:p>
    <w:p w14:paraId="625450B4">
      <w:pPr>
        <w:bidi w:val="0"/>
        <w:rPr>
          <w:rFonts w:hint="default"/>
          <w:color w:val="auto"/>
          <w:lang w:val="en-US" w:eastAsia="zh-CN"/>
        </w:rPr>
      </w:pPr>
    </w:p>
    <w:p w14:paraId="34CD5DC5">
      <w:pPr>
        <w:bidi w:val="0"/>
        <w:ind w:left="0" w:leftChars="0" w:firstLine="0" w:firstLineChars="0"/>
        <w:jc w:val="center"/>
        <w:rPr>
          <w:rFonts w:hint="default"/>
          <w:color w:val="auto"/>
          <w:lang w:val="en-US" w:eastAsia="zh-CN"/>
        </w:rPr>
      </w:pPr>
      <w:r>
        <w:rPr>
          <w:rFonts w:hint="default"/>
          <w:color w:val="auto"/>
          <w:lang w:val="en-US" w:eastAsia="zh-CN"/>
        </w:rPr>
        <w:t>表5.3-</w:t>
      </w:r>
      <w:r>
        <w:rPr>
          <w:rFonts w:hint="eastAsia"/>
          <w:color w:val="auto"/>
          <w:lang w:val="en-US" w:eastAsia="zh-CN"/>
        </w:rPr>
        <w:t xml:space="preserve">3 </w:t>
      </w:r>
      <w:r>
        <w:rPr>
          <w:rFonts w:hint="default"/>
          <w:color w:val="auto"/>
          <w:lang w:val="en-US" w:eastAsia="zh-CN"/>
        </w:rPr>
        <w:t>洪水计算成果表</w:t>
      </w:r>
    </w:p>
    <w:tbl>
      <w:tblPr>
        <w:tblStyle w:val="20"/>
        <w:tblW w:w="891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890"/>
        <w:gridCol w:w="2127"/>
        <w:gridCol w:w="2232"/>
        <w:gridCol w:w="2669"/>
      </w:tblGrid>
      <w:tr w14:paraId="595C4B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22" w:hRule="atLeast"/>
          <w:jc w:val="center"/>
        </w:trPr>
        <w:tc>
          <w:tcPr>
            <w:tcW w:w="1890" w:type="dxa"/>
            <w:noWrap w:val="0"/>
            <w:vAlign w:val="center"/>
          </w:tcPr>
          <w:p w14:paraId="23EF39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设计频率</w:t>
            </w:r>
          </w:p>
        </w:tc>
        <w:tc>
          <w:tcPr>
            <w:tcW w:w="2127" w:type="dxa"/>
            <w:noWrap w:val="0"/>
            <w:vAlign w:val="center"/>
          </w:tcPr>
          <w:p w14:paraId="4152E5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设计频率雨量</w:t>
            </w:r>
          </w:p>
          <w:p w14:paraId="7E0B29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w:t>
            </w:r>
            <w:r>
              <w:rPr>
                <w:rFonts w:ascii="Times New Roman" w:hAnsi="Times New Roman" w:eastAsia="宋体" w:cs="Times New Roman"/>
                <w:color w:val="auto"/>
                <w:sz w:val="21"/>
                <w:szCs w:val="21"/>
                <w:vertAlign w:val="subscript"/>
              </w:rPr>
              <w:t>24P</w:t>
            </w:r>
            <w:r>
              <w:rPr>
                <w:rFonts w:ascii="Times New Roman" w:hAnsi="Times New Roman" w:eastAsia="宋体" w:cs="Times New Roman"/>
                <w:color w:val="auto"/>
                <w:sz w:val="21"/>
                <w:szCs w:val="21"/>
              </w:rPr>
              <w:t>（mm）</w:t>
            </w:r>
          </w:p>
        </w:tc>
        <w:tc>
          <w:tcPr>
            <w:tcW w:w="2232" w:type="dxa"/>
            <w:noWrap w:val="0"/>
            <w:vAlign w:val="center"/>
          </w:tcPr>
          <w:p w14:paraId="5337C9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洪峰流量</w:t>
            </w:r>
          </w:p>
          <w:p w14:paraId="266822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Qm（m</w:t>
            </w:r>
            <w:r>
              <w:rPr>
                <w:rFonts w:ascii="Times New Roman" w:hAnsi="Times New Roman" w:eastAsia="宋体" w:cs="Times New Roman"/>
                <w:color w:val="auto"/>
                <w:sz w:val="21"/>
                <w:szCs w:val="21"/>
                <w:vertAlign w:val="superscript"/>
              </w:rPr>
              <w:t>3</w:t>
            </w:r>
            <w:r>
              <w:rPr>
                <w:rFonts w:ascii="Times New Roman" w:hAnsi="Times New Roman" w:eastAsia="宋体" w:cs="Times New Roman"/>
                <w:color w:val="auto"/>
                <w:sz w:val="21"/>
                <w:szCs w:val="21"/>
              </w:rPr>
              <w:t>/s）</w:t>
            </w:r>
          </w:p>
        </w:tc>
        <w:tc>
          <w:tcPr>
            <w:tcW w:w="2669" w:type="dxa"/>
            <w:noWrap w:val="0"/>
            <w:vAlign w:val="center"/>
          </w:tcPr>
          <w:p w14:paraId="2C76C0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一次洪水总量</w:t>
            </w:r>
          </w:p>
          <w:p w14:paraId="4A6934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r>
              <w:rPr>
                <w:rFonts w:ascii="Times New Roman" w:hAnsi="Times New Roman" w:eastAsia="宋体" w:cs="Times New Roman"/>
                <w:color w:val="auto"/>
                <w:sz w:val="21"/>
                <w:szCs w:val="21"/>
                <w:vertAlign w:val="superscript"/>
              </w:rPr>
              <w:t>4</w:t>
            </w:r>
            <w:r>
              <w:rPr>
                <w:rFonts w:ascii="Times New Roman" w:hAnsi="Times New Roman" w:eastAsia="宋体" w:cs="Times New Roman"/>
                <w:color w:val="auto"/>
                <w:sz w:val="21"/>
                <w:szCs w:val="21"/>
              </w:rPr>
              <w:t>m</w:t>
            </w:r>
            <w:r>
              <w:rPr>
                <w:rFonts w:ascii="Times New Roman" w:hAnsi="Times New Roman" w:eastAsia="宋体" w:cs="Times New Roman"/>
                <w:color w:val="auto"/>
                <w:sz w:val="21"/>
                <w:szCs w:val="21"/>
                <w:vertAlign w:val="superscript"/>
              </w:rPr>
              <w:t>3</w:t>
            </w:r>
            <w:r>
              <w:rPr>
                <w:rFonts w:ascii="Times New Roman" w:hAnsi="Times New Roman" w:eastAsia="宋体" w:cs="Times New Roman"/>
                <w:color w:val="auto"/>
                <w:sz w:val="21"/>
                <w:szCs w:val="21"/>
              </w:rPr>
              <w:t>）</w:t>
            </w:r>
          </w:p>
        </w:tc>
      </w:tr>
      <w:tr w14:paraId="2D422B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2" w:hRule="atLeast"/>
          <w:jc w:val="center"/>
        </w:trPr>
        <w:tc>
          <w:tcPr>
            <w:tcW w:w="1890" w:type="dxa"/>
            <w:noWrap w:val="0"/>
            <w:vAlign w:val="center"/>
          </w:tcPr>
          <w:p w14:paraId="526E8F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100年</w:t>
            </w:r>
          </w:p>
        </w:tc>
        <w:tc>
          <w:tcPr>
            <w:tcW w:w="2127" w:type="dxa"/>
            <w:noWrap w:val="0"/>
            <w:vAlign w:val="center"/>
          </w:tcPr>
          <w:p w14:paraId="799FAB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408.24</w:t>
            </w:r>
          </w:p>
        </w:tc>
        <w:tc>
          <w:tcPr>
            <w:tcW w:w="2232" w:type="dxa"/>
            <w:noWrap w:val="0"/>
            <w:vAlign w:val="center"/>
          </w:tcPr>
          <w:p w14:paraId="6A4616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1.73</w:t>
            </w:r>
          </w:p>
        </w:tc>
        <w:tc>
          <w:tcPr>
            <w:tcW w:w="2669" w:type="dxa"/>
            <w:noWrap w:val="0"/>
            <w:vAlign w:val="center"/>
          </w:tcPr>
          <w:p w14:paraId="7BE9C5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4.25</w:t>
            </w:r>
          </w:p>
        </w:tc>
      </w:tr>
    </w:tbl>
    <w:p w14:paraId="69B1BDAF">
      <w:pPr>
        <w:bidi w:val="0"/>
        <w:rPr>
          <w:rFonts w:hint="default"/>
          <w:color w:val="auto"/>
          <w:lang w:val="en-US" w:eastAsia="zh-CN"/>
        </w:rPr>
      </w:pPr>
      <w:r>
        <w:rPr>
          <w:rFonts w:hint="eastAsia"/>
          <w:color w:val="auto"/>
          <w:lang w:val="en-US" w:eastAsia="zh-CN"/>
        </w:rPr>
        <w:t>三、</w:t>
      </w:r>
      <w:r>
        <w:rPr>
          <w:rFonts w:hint="default"/>
          <w:color w:val="auto"/>
          <w:lang w:val="en-US" w:eastAsia="zh-CN"/>
        </w:rPr>
        <w:t>排洪系统泄流能力计算</w:t>
      </w:r>
    </w:p>
    <w:p w14:paraId="20479DAC">
      <w:pPr>
        <w:bidi w:val="0"/>
        <w:rPr>
          <w:rFonts w:hint="default"/>
          <w:color w:val="auto"/>
          <w:lang w:val="en-US" w:eastAsia="zh-CN"/>
        </w:rPr>
      </w:pPr>
      <w:r>
        <w:rPr>
          <w:rFonts w:hint="default"/>
          <w:color w:val="auto"/>
          <w:lang w:val="en-US" w:eastAsia="zh-CN"/>
        </w:rPr>
        <w:t>根据《尾矿设施设计参考资料》（冶金工业出版社，1980年版），</w:t>
      </w:r>
      <w:r>
        <w:rPr>
          <w:rFonts w:hint="default"/>
          <w:color w:val="auto"/>
          <w:lang w:val="en-US" w:eastAsia="zh-CN"/>
        </w:rPr>
        <w:t>宜丰新庄铜铅锌矿</w:t>
      </w:r>
      <w:r>
        <w:rPr>
          <w:rFonts w:hint="default"/>
          <w:color w:val="auto"/>
          <w:lang w:val="en-US" w:eastAsia="zh-CN"/>
        </w:rPr>
        <w:t>尾矿库排洪系统泄流能力按斜槽</w:t>
      </w:r>
      <w:r>
        <w:rPr>
          <w:rFonts w:hint="default" w:ascii="Times New Roman" w:hAnsi="Times New Roman" w:eastAsia="宋体" w:cs="Times New Roman"/>
          <w:color w:val="auto"/>
          <w:sz w:val="28"/>
          <w:szCs w:val="28"/>
        </w:rPr>
        <w:t>～</w:t>
      </w:r>
      <w:r>
        <w:rPr>
          <w:rFonts w:hint="default"/>
          <w:color w:val="auto"/>
          <w:lang w:val="en-US" w:eastAsia="zh-CN"/>
        </w:rPr>
        <w:t>管（或隧洞）式排水系统泄流量计算公式进行计算，计算结果如下：</w:t>
      </w:r>
    </w:p>
    <w:p w14:paraId="719BBAA5">
      <w:pPr>
        <w:bidi w:val="0"/>
        <w:ind w:left="0" w:leftChars="0" w:firstLine="0" w:firstLineChars="0"/>
        <w:jc w:val="center"/>
        <w:rPr>
          <w:rFonts w:hint="default"/>
          <w:color w:val="auto"/>
          <w:lang w:val="en-US" w:eastAsia="zh-CN"/>
        </w:rPr>
      </w:pPr>
      <w:r>
        <w:rPr>
          <w:rFonts w:hint="default"/>
          <w:color w:val="auto"/>
          <w:lang w:val="en-US" w:eastAsia="zh-CN"/>
        </w:rPr>
        <w:t>表5.3-</w:t>
      </w:r>
      <w:r>
        <w:rPr>
          <w:rFonts w:hint="eastAsia"/>
          <w:color w:val="auto"/>
          <w:lang w:val="en-US" w:eastAsia="zh-CN"/>
        </w:rPr>
        <w:t xml:space="preserve">4 </w:t>
      </w:r>
      <w:r>
        <w:rPr>
          <w:rFonts w:hint="default"/>
          <w:color w:val="auto"/>
          <w:lang w:val="en-US" w:eastAsia="zh-CN"/>
        </w:rPr>
        <w:t>排洪系统泄流能力计算表</w:t>
      </w:r>
    </w:p>
    <w:tbl>
      <w:tblPr>
        <w:tblStyle w:val="20"/>
        <w:tblW w:w="867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009"/>
        <w:gridCol w:w="4670"/>
      </w:tblGrid>
      <w:tr w14:paraId="686011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7" w:hRule="atLeast"/>
          <w:jc w:val="center"/>
        </w:trPr>
        <w:tc>
          <w:tcPr>
            <w:tcW w:w="4009" w:type="dxa"/>
            <w:noWrap w:val="0"/>
            <w:vAlign w:val="center"/>
          </w:tcPr>
          <w:p w14:paraId="3326B6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水头（m）</w:t>
            </w:r>
          </w:p>
        </w:tc>
        <w:tc>
          <w:tcPr>
            <w:tcW w:w="4670" w:type="dxa"/>
            <w:noWrap w:val="0"/>
            <w:vAlign w:val="center"/>
          </w:tcPr>
          <w:p w14:paraId="61E534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斜槽泄流能力（m</w:t>
            </w:r>
            <w:r>
              <w:rPr>
                <w:rFonts w:hint="eastAsia" w:ascii="Times New Roman" w:hAnsi="Times New Roman" w:eastAsia="宋体" w:cs="Times New Roman"/>
                <w:b/>
                <w:bCs/>
                <w:color w:val="auto"/>
                <w:sz w:val="21"/>
                <w:szCs w:val="21"/>
                <w:vertAlign w:val="superscript"/>
                <w:lang w:val="en-US" w:eastAsia="zh-CN"/>
              </w:rPr>
              <w:t>3</w:t>
            </w:r>
            <w:r>
              <w:rPr>
                <w:rFonts w:ascii="Times New Roman" w:hAnsi="Times New Roman" w:eastAsia="宋体" w:cs="Times New Roman"/>
                <w:b/>
                <w:bCs/>
                <w:color w:val="auto"/>
                <w:sz w:val="21"/>
                <w:szCs w:val="21"/>
              </w:rPr>
              <w:t>/s）</w:t>
            </w:r>
          </w:p>
        </w:tc>
      </w:tr>
      <w:tr w14:paraId="2C43C0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7F8B74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0.0</w:t>
            </w:r>
          </w:p>
        </w:tc>
        <w:tc>
          <w:tcPr>
            <w:tcW w:w="4670" w:type="dxa"/>
            <w:noWrap w:val="0"/>
            <w:vAlign w:val="center"/>
          </w:tcPr>
          <w:p w14:paraId="595FA6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0.00</w:t>
            </w:r>
          </w:p>
        </w:tc>
      </w:tr>
      <w:tr w14:paraId="015ECB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4009" w:type="dxa"/>
            <w:noWrap w:val="0"/>
            <w:vAlign w:val="center"/>
          </w:tcPr>
          <w:p w14:paraId="356437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0.1</w:t>
            </w:r>
          </w:p>
        </w:tc>
        <w:tc>
          <w:tcPr>
            <w:tcW w:w="4670" w:type="dxa"/>
            <w:noWrap w:val="0"/>
            <w:vAlign w:val="center"/>
          </w:tcPr>
          <w:p w14:paraId="594664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0.01</w:t>
            </w:r>
          </w:p>
        </w:tc>
      </w:tr>
      <w:tr w14:paraId="5600B4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1BE763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0.2</w:t>
            </w:r>
          </w:p>
        </w:tc>
        <w:tc>
          <w:tcPr>
            <w:tcW w:w="4670" w:type="dxa"/>
            <w:noWrap w:val="0"/>
            <w:vAlign w:val="center"/>
          </w:tcPr>
          <w:p w14:paraId="07A308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0.10</w:t>
            </w:r>
          </w:p>
        </w:tc>
      </w:tr>
      <w:tr w14:paraId="4E5A8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791227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0.3</w:t>
            </w:r>
          </w:p>
        </w:tc>
        <w:tc>
          <w:tcPr>
            <w:tcW w:w="4670" w:type="dxa"/>
            <w:noWrap w:val="0"/>
            <w:vAlign w:val="center"/>
          </w:tcPr>
          <w:p w14:paraId="46FB02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0.34</w:t>
            </w:r>
          </w:p>
        </w:tc>
      </w:tr>
      <w:tr w14:paraId="3D8A17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4009" w:type="dxa"/>
            <w:noWrap w:val="0"/>
            <w:vAlign w:val="center"/>
          </w:tcPr>
          <w:p w14:paraId="380E29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0.4</w:t>
            </w:r>
          </w:p>
        </w:tc>
        <w:tc>
          <w:tcPr>
            <w:tcW w:w="4670" w:type="dxa"/>
            <w:noWrap w:val="0"/>
            <w:vAlign w:val="center"/>
          </w:tcPr>
          <w:p w14:paraId="72B99C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0.67</w:t>
            </w:r>
          </w:p>
        </w:tc>
      </w:tr>
      <w:tr w14:paraId="0E0F19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3FC55D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w:t>
            </w:r>
          </w:p>
        </w:tc>
        <w:tc>
          <w:tcPr>
            <w:tcW w:w="4670" w:type="dxa"/>
            <w:noWrap w:val="0"/>
            <w:vAlign w:val="center"/>
          </w:tcPr>
          <w:p w14:paraId="23081D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1.13</w:t>
            </w:r>
          </w:p>
        </w:tc>
      </w:tr>
      <w:tr w14:paraId="66EFDE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3F3206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0.6</w:t>
            </w:r>
          </w:p>
        </w:tc>
        <w:tc>
          <w:tcPr>
            <w:tcW w:w="4670" w:type="dxa"/>
            <w:noWrap w:val="0"/>
            <w:vAlign w:val="center"/>
          </w:tcPr>
          <w:p w14:paraId="049B2B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1.69</w:t>
            </w:r>
          </w:p>
        </w:tc>
      </w:tr>
      <w:tr w14:paraId="147D5B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4009" w:type="dxa"/>
            <w:noWrap w:val="0"/>
            <w:vAlign w:val="center"/>
          </w:tcPr>
          <w:p w14:paraId="32BC14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0.7</w:t>
            </w:r>
          </w:p>
        </w:tc>
        <w:tc>
          <w:tcPr>
            <w:tcW w:w="4670" w:type="dxa"/>
            <w:noWrap w:val="0"/>
            <w:vAlign w:val="center"/>
          </w:tcPr>
          <w:p w14:paraId="655AE0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2.09</w:t>
            </w:r>
          </w:p>
        </w:tc>
      </w:tr>
      <w:tr w14:paraId="03A638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56CAA5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0.8</w:t>
            </w:r>
          </w:p>
        </w:tc>
        <w:tc>
          <w:tcPr>
            <w:tcW w:w="4670" w:type="dxa"/>
            <w:noWrap w:val="0"/>
            <w:vAlign w:val="center"/>
          </w:tcPr>
          <w:p w14:paraId="407FAE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2.20</w:t>
            </w:r>
          </w:p>
        </w:tc>
      </w:tr>
      <w:tr w14:paraId="53BBB2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4009" w:type="dxa"/>
            <w:noWrap w:val="0"/>
            <w:vAlign w:val="center"/>
          </w:tcPr>
          <w:p w14:paraId="18ED6D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0.9</w:t>
            </w:r>
          </w:p>
        </w:tc>
        <w:tc>
          <w:tcPr>
            <w:tcW w:w="4670" w:type="dxa"/>
            <w:noWrap w:val="0"/>
            <w:vAlign w:val="center"/>
          </w:tcPr>
          <w:p w14:paraId="028EDB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2.31</w:t>
            </w:r>
          </w:p>
        </w:tc>
      </w:tr>
      <w:tr w14:paraId="600B0C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22" w:hRule="atLeast"/>
          <w:jc w:val="center"/>
        </w:trPr>
        <w:tc>
          <w:tcPr>
            <w:tcW w:w="4009" w:type="dxa"/>
            <w:noWrap w:val="0"/>
            <w:vAlign w:val="center"/>
          </w:tcPr>
          <w:p w14:paraId="306CEA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4670" w:type="dxa"/>
            <w:noWrap w:val="0"/>
            <w:vAlign w:val="center"/>
          </w:tcPr>
          <w:p w14:paraId="45911D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2.41</w:t>
            </w:r>
          </w:p>
        </w:tc>
      </w:tr>
    </w:tbl>
    <w:p w14:paraId="4A41F7DD">
      <w:pPr>
        <w:bidi w:val="0"/>
        <w:rPr>
          <w:rFonts w:hint="default"/>
          <w:color w:val="auto"/>
          <w:lang w:val="en-US" w:eastAsia="zh-CN"/>
        </w:rPr>
      </w:pPr>
      <w:r>
        <w:rPr>
          <w:rFonts w:hint="default"/>
          <w:color w:val="auto"/>
          <w:lang w:val="en-US" w:eastAsia="zh-CN"/>
        </w:rPr>
        <w:t>根据上表可知，结合今后生产运行，在不考虑尾矿库调洪库容的情况下，</w:t>
      </w:r>
      <w:r>
        <w:rPr>
          <w:rFonts w:hint="default"/>
          <w:color w:val="auto"/>
          <w:lang w:val="en-US" w:eastAsia="zh-CN"/>
        </w:rPr>
        <w:t>宜丰新庄铜铅锌矿</w:t>
      </w:r>
      <w:r>
        <w:rPr>
          <w:rFonts w:hint="default"/>
          <w:color w:val="auto"/>
          <w:lang w:val="en-US" w:eastAsia="zh-CN"/>
        </w:rPr>
        <w:t>尾矿库排洪系统在0.7m水头情况下，泄流能力为2.09m</w:t>
      </w:r>
      <w:r>
        <w:rPr>
          <w:rFonts w:hint="eastAsia"/>
          <w:color w:val="auto"/>
          <w:vertAlign w:val="superscript"/>
          <w:lang w:val="en-US" w:eastAsia="zh-CN"/>
        </w:rPr>
        <w:t>3</w:t>
      </w:r>
      <w:r>
        <w:rPr>
          <w:rFonts w:hint="default"/>
          <w:color w:val="auto"/>
          <w:lang w:val="en-US" w:eastAsia="zh-CN"/>
        </w:rPr>
        <w:t>/s，能够满足宣泄100年一遇洪峰流量1.73m</w:t>
      </w:r>
      <w:r>
        <w:rPr>
          <w:rFonts w:hint="eastAsia"/>
          <w:color w:val="auto"/>
          <w:vertAlign w:val="superscript"/>
          <w:lang w:val="en-US" w:eastAsia="zh-CN"/>
        </w:rPr>
        <w:t>3</w:t>
      </w:r>
      <w:r>
        <w:rPr>
          <w:rFonts w:hint="default"/>
          <w:color w:val="auto"/>
          <w:lang w:val="en-US" w:eastAsia="zh-CN"/>
        </w:rPr>
        <w:t>/s的要求。</w:t>
      </w:r>
    </w:p>
    <w:p w14:paraId="154A1413">
      <w:pPr>
        <w:bidi w:val="0"/>
        <w:rPr>
          <w:rFonts w:hint="default"/>
          <w:color w:val="auto"/>
          <w:lang w:val="en-US" w:eastAsia="zh-CN"/>
        </w:rPr>
      </w:pPr>
      <w:r>
        <w:rPr>
          <w:rFonts w:hint="eastAsia"/>
          <w:color w:val="auto"/>
          <w:lang w:val="en-US" w:eastAsia="zh-CN"/>
        </w:rPr>
        <w:t>四、调洪演算</w:t>
      </w:r>
    </w:p>
    <w:p w14:paraId="76348C29">
      <w:pPr>
        <w:bidi w:val="0"/>
        <w:rPr>
          <w:rFonts w:hint="default"/>
          <w:color w:val="auto"/>
          <w:lang w:val="en-US" w:eastAsia="zh-CN"/>
        </w:rPr>
      </w:pPr>
      <w:r>
        <w:rPr>
          <w:rFonts w:hint="default"/>
          <w:color w:val="auto"/>
          <w:lang w:val="en-US" w:eastAsia="zh-CN"/>
        </w:rPr>
        <w:t>考虑到尾矿库干堆作业时，库内一般不蓄水，排洪计算时几乎不考虑尾矿库的调洪库容，故尾矿库排洪系统泄流能力应满足洪水重现期洪峰流量的要求。</w:t>
      </w:r>
    </w:p>
    <w:p w14:paraId="34E275AB">
      <w:pPr>
        <w:bidi w:val="0"/>
        <w:rPr>
          <w:rFonts w:hint="default"/>
          <w:color w:val="auto"/>
          <w:lang w:val="en-US" w:eastAsia="zh-CN"/>
        </w:rPr>
      </w:pPr>
      <w:r>
        <w:rPr>
          <w:rFonts w:hint="default"/>
          <w:color w:val="auto"/>
          <w:lang w:val="en-US" w:eastAsia="zh-CN"/>
        </w:rPr>
        <w:t>宜丰新庄铜铅锌矿</w:t>
      </w:r>
      <w:r>
        <w:rPr>
          <w:rFonts w:hint="default"/>
          <w:color w:val="auto"/>
          <w:lang w:val="en-US" w:eastAsia="zh-CN"/>
        </w:rPr>
        <w:t>尾矿库排洪系统在0.7m水头情况下，泄流能力为2.09m</w:t>
      </w:r>
      <w:r>
        <w:rPr>
          <w:rFonts w:hint="eastAsia"/>
          <w:color w:val="auto"/>
          <w:vertAlign w:val="superscript"/>
          <w:lang w:val="en-US" w:eastAsia="zh-CN"/>
        </w:rPr>
        <w:t>3</w:t>
      </w:r>
      <w:r>
        <w:rPr>
          <w:rFonts w:hint="default"/>
          <w:color w:val="auto"/>
          <w:lang w:val="en-US" w:eastAsia="zh-CN"/>
        </w:rPr>
        <w:t>/s，能够满足宣泄100年一遇洪峰流量1.73m</w:t>
      </w:r>
      <w:r>
        <w:rPr>
          <w:rFonts w:hint="eastAsia"/>
          <w:color w:val="auto"/>
          <w:vertAlign w:val="superscript"/>
          <w:lang w:val="en-US" w:eastAsia="zh-CN"/>
        </w:rPr>
        <w:t>3</w:t>
      </w:r>
      <w:r>
        <w:rPr>
          <w:rFonts w:hint="default"/>
          <w:color w:val="auto"/>
          <w:lang w:val="en-US" w:eastAsia="zh-CN"/>
        </w:rPr>
        <w:t>/s的要求。</w:t>
      </w:r>
    </w:p>
    <w:p w14:paraId="794C4514">
      <w:pPr>
        <w:bidi w:val="0"/>
        <w:ind w:left="0" w:leftChars="0" w:firstLine="0" w:firstLineChars="0"/>
        <w:jc w:val="center"/>
        <w:rPr>
          <w:rFonts w:hint="default"/>
          <w:color w:val="auto"/>
          <w:lang w:val="en-US" w:eastAsia="zh-CN"/>
        </w:rPr>
      </w:pPr>
      <w:r>
        <w:rPr>
          <w:rFonts w:hint="default"/>
          <w:color w:val="auto"/>
          <w:lang w:val="en-US" w:eastAsia="zh-CN"/>
        </w:rPr>
        <w:t>表5.3-</w:t>
      </w:r>
      <w:r>
        <w:rPr>
          <w:rFonts w:hint="eastAsia"/>
          <w:color w:val="auto"/>
          <w:lang w:val="en-US" w:eastAsia="zh-CN"/>
        </w:rPr>
        <w:t xml:space="preserve">5 </w:t>
      </w:r>
      <w:r>
        <w:rPr>
          <w:rFonts w:hint="default"/>
          <w:color w:val="auto"/>
          <w:lang w:val="en-US" w:eastAsia="zh-CN"/>
        </w:rPr>
        <w:t>调洪演算结果表</w:t>
      </w:r>
    </w:p>
    <w:tbl>
      <w:tblPr>
        <w:tblStyle w:val="20"/>
        <w:tblW w:w="47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075"/>
        <w:gridCol w:w="931"/>
        <w:gridCol w:w="1109"/>
        <w:gridCol w:w="1109"/>
        <w:gridCol w:w="932"/>
        <w:gridCol w:w="932"/>
        <w:gridCol w:w="934"/>
        <w:gridCol w:w="808"/>
      </w:tblGrid>
      <w:tr w14:paraId="03ECF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603" w:type="pct"/>
            <w:tcBorders>
              <w:tl2br w:val="nil"/>
              <w:tr2bl w:val="nil"/>
            </w:tcBorders>
            <w:noWrap w:val="0"/>
            <w:vAlign w:val="center"/>
          </w:tcPr>
          <w:p w14:paraId="52DF16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区域</w:t>
            </w:r>
          </w:p>
        </w:tc>
        <w:tc>
          <w:tcPr>
            <w:tcW w:w="603" w:type="pct"/>
            <w:tcBorders>
              <w:tl2br w:val="nil"/>
              <w:tr2bl w:val="nil"/>
            </w:tcBorders>
            <w:noWrap w:val="0"/>
            <w:vAlign w:val="center"/>
          </w:tcPr>
          <w:p w14:paraId="2E41D5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坝顶</w:t>
            </w:r>
          </w:p>
          <w:p w14:paraId="523DA4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标高</w:t>
            </w:r>
          </w:p>
          <w:p w14:paraId="0195D4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（m）</w:t>
            </w:r>
          </w:p>
        </w:tc>
        <w:tc>
          <w:tcPr>
            <w:tcW w:w="522" w:type="pct"/>
            <w:tcBorders>
              <w:tl2br w:val="nil"/>
              <w:tr2bl w:val="nil"/>
            </w:tcBorders>
            <w:noWrap w:val="0"/>
            <w:vAlign w:val="center"/>
          </w:tcPr>
          <w:p w14:paraId="47E00F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死水位（m）</w:t>
            </w:r>
          </w:p>
        </w:tc>
        <w:tc>
          <w:tcPr>
            <w:tcW w:w="622" w:type="pct"/>
            <w:tcBorders>
              <w:tl2br w:val="nil"/>
              <w:tr2bl w:val="nil"/>
            </w:tcBorders>
            <w:noWrap w:val="0"/>
            <w:vAlign w:val="center"/>
          </w:tcPr>
          <w:p w14:paraId="35AA78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洪峰</w:t>
            </w:r>
          </w:p>
          <w:p w14:paraId="7838A2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流量</w:t>
            </w:r>
          </w:p>
          <w:p w14:paraId="1B2EAD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（m</w:t>
            </w:r>
            <w:r>
              <w:rPr>
                <w:rFonts w:hint="eastAsia" w:ascii="Times New Roman" w:hAnsi="Times New Roman" w:eastAsia="宋体" w:cs="Times New Roman"/>
                <w:b/>
                <w:bCs/>
                <w:color w:val="auto"/>
                <w:sz w:val="21"/>
                <w:szCs w:val="21"/>
                <w:vertAlign w:val="superscript"/>
              </w:rPr>
              <w:t>3</w:t>
            </w:r>
            <w:r>
              <w:rPr>
                <w:rFonts w:hint="eastAsia" w:ascii="Times New Roman" w:hAnsi="Times New Roman" w:eastAsia="宋体" w:cs="Times New Roman"/>
                <w:b/>
                <w:bCs/>
                <w:color w:val="auto"/>
                <w:sz w:val="21"/>
                <w:szCs w:val="21"/>
              </w:rPr>
              <w:t>/s）</w:t>
            </w:r>
          </w:p>
        </w:tc>
        <w:tc>
          <w:tcPr>
            <w:tcW w:w="622" w:type="pct"/>
            <w:tcBorders>
              <w:tl2br w:val="nil"/>
              <w:tr2bl w:val="nil"/>
            </w:tcBorders>
            <w:noWrap w:val="0"/>
            <w:vAlign w:val="center"/>
          </w:tcPr>
          <w:p w14:paraId="2C7D22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最大下泄流量（m</w:t>
            </w:r>
            <w:r>
              <w:rPr>
                <w:rFonts w:hint="eastAsia" w:ascii="Times New Roman" w:hAnsi="Times New Roman" w:eastAsia="宋体" w:cs="Times New Roman"/>
                <w:b/>
                <w:bCs/>
                <w:color w:val="auto"/>
                <w:sz w:val="21"/>
                <w:szCs w:val="21"/>
                <w:vertAlign w:val="superscript"/>
              </w:rPr>
              <w:t>3</w:t>
            </w:r>
            <w:r>
              <w:rPr>
                <w:rFonts w:hint="eastAsia" w:ascii="Times New Roman" w:hAnsi="Times New Roman" w:eastAsia="宋体" w:cs="Times New Roman"/>
                <w:b/>
                <w:bCs/>
                <w:color w:val="auto"/>
                <w:sz w:val="21"/>
                <w:szCs w:val="21"/>
              </w:rPr>
              <w:t>/s）</w:t>
            </w:r>
          </w:p>
        </w:tc>
        <w:tc>
          <w:tcPr>
            <w:tcW w:w="523" w:type="pct"/>
            <w:tcBorders>
              <w:tl2br w:val="nil"/>
              <w:tr2bl w:val="nil"/>
            </w:tcBorders>
            <w:noWrap w:val="0"/>
            <w:vAlign w:val="center"/>
          </w:tcPr>
          <w:p w14:paraId="183A1A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最高</w:t>
            </w:r>
          </w:p>
          <w:p w14:paraId="5CE58C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洪水位（m）</w:t>
            </w:r>
          </w:p>
        </w:tc>
        <w:tc>
          <w:tcPr>
            <w:tcW w:w="523" w:type="pct"/>
            <w:tcBorders>
              <w:tl2br w:val="nil"/>
              <w:tr2bl w:val="nil"/>
            </w:tcBorders>
            <w:noWrap w:val="0"/>
            <w:vAlign w:val="center"/>
          </w:tcPr>
          <w:p w14:paraId="2CC6E1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安全</w:t>
            </w:r>
          </w:p>
          <w:p w14:paraId="04F010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超高</w:t>
            </w:r>
          </w:p>
          <w:p w14:paraId="221505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（m）</w:t>
            </w:r>
          </w:p>
        </w:tc>
        <w:tc>
          <w:tcPr>
            <w:tcW w:w="524" w:type="pct"/>
            <w:tcBorders>
              <w:tl2br w:val="nil"/>
              <w:tr2bl w:val="nil"/>
            </w:tcBorders>
            <w:noWrap w:val="0"/>
            <w:vAlign w:val="center"/>
          </w:tcPr>
          <w:p w14:paraId="605839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干滩</w:t>
            </w:r>
          </w:p>
          <w:p w14:paraId="42E013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长度</w:t>
            </w:r>
          </w:p>
          <w:p w14:paraId="4F008B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（m）</w:t>
            </w:r>
          </w:p>
        </w:tc>
        <w:tc>
          <w:tcPr>
            <w:tcW w:w="453" w:type="pct"/>
            <w:tcBorders>
              <w:tl2br w:val="nil"/>
              <w:tr2bl w:val="nil"/>
            </w:tcBorders>
            <w:noWrap w:val="0"/>
            <w:vAlign w:val="center"/>
          </w:tcPr>
          <w:p w14:paraId="56A0A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流态</w:t>
            </w:r>
          </w:p>
        </w:tc>
      </w:tr>
      <w:tr w14:paraId="34445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603" w:type="pct"/>
            <w:tcBorders>
              <w:tl2br w:val="nil"/>
              <w:tr2bl w:val="nil"/>
            </w:tcBorders>
            <w:noWrap w:val="0"/>
            <w:vAlign w:val="center"/>
          </w:tcPr>
          <w:p w14:paraId="3AAED8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主坝</w:t>
            </w:r>
          </w:p>
        </w:tc>
        <w:tc>
          <w:tcPr>
            <w:tcW w:w="603" w:type="pct"/>
            <w:tcBorders>
              <w:tl2br w:val="nil"/>
              <w:tr2bl w:val="nil"/>
            </w:tcBorders>
            <w:noWrap w:val="0"/>
            <w:vAlign w:val="center"/>
          </w:tcPr>
          <w:p w14:paraId="047C68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84.5</w:t>
            </w:r>
          </w:p>
        </w:tc>
        <w:tc>
          <w:tcPr>
            <w:tcW w:w="522" w:type="pct"/>
            <w:vMerge w:val="restart"/>
            <w:tcBorders>
              <w:tl2br w:val="nil"/>
              <w:tr2bl w:val="nil"/>
            </w:tcBorders>
            <w:noWrap w:val="0"/>
            <w:vAlign w:val="center"/>
          </w:tcPr>
          <w:p w14:paraId="228898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77.3</w:t>
            </w:r>
          </w:p>
        </w:tc>
        <w:tc>
          <w:tcPr>
            <w:tcW w:w="622" w:type="pct"/>
            <w:vMerge w:val="restart"/>
            <w:tcBorders>
              <w:tl2br w:val="nil"/>
              <w:tr2bl w:val="nil"/>
            </w:tcBorders>
            <w:noWrap w:val="0"/>
            <w:vAlign w:val="center"/>
          </w:tcPr>
          <w:p w14:paraId="28FCE4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1.73</w:t>
            </w:r>
          </w:p>
        </w:tc>
        <w:tc>
          <w:tcPr>
            <w:tcW w:w="622" w:type="pct"/>
            <w:vMerge w:val="restart"/>
            <w:tcBorders>
              <w:tl2br w:val="nil"/>
              <w:tr2bl w:val="nil"/>
            </w:tcBorders>
            <w:noWrap w:val="0"/>
            <w:vAlign w:val="center"/>
          </w:tcPr>
          <w:p w14:paraId="25604E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2.09</w:t>
            </w:r>
          </w:p>
        </w:tc>
        <w:tc>
          <w:tcPr>
            <w:tcW w:w="523" w:type="pct"/>
            <w:vMerge w:val="restart"/>
            <w:tcBorders>
              <w:tl2br w:val="nil"/>
              <w:tr2bl w:val="nil"/>
            </w:tcBorders>
            <w:noWrap w:val="0"/>
            <w:vAlign w:val="center"/>
          </w:tcPr>
          <w:p w14:paraId="715CCC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rPr>
              <w:t>7</w:t>
            </w:r>
            <w:r>
              <w:rPr>
                <w:rFonts w:hint="eastAsia" w:ascii="Times New Roman" w:hAnsi="Times New Roman" w:eastAsia="宋体" w:cs="Times New Roman"/>
                <w:b w:val="0"/>
                <w:bCs w:val="0"/>
                <w:color w:val="auto"/>
                <w:sz w:val="21"/>
                <w:szCs w:val="21"/>
                <w:lang w:val="en-US" w:eastAsia="zh-CN"/>
              </w:rPr>
              <w:t>8</w:t>
            </w:r>
          </w:p>
        </w:tc>
        <w:tc>
          <w:tcPr>
            <w:tcW w:w="523" w:type="pct"/>
            <w:tcBorders>
              <w:tl2br w:val="nil"/>
              <w:tr2bl w:val="nil"/>
            </w:tcBorders>
            <w:noWrap w:val="0"/>
            <w:vAlign w:val="center"/>
          </w:tcPr>
          <w:p w14:paraId="0CEBDE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rPr>
              <w:t>6.</w:t>
            </w:r>
            <w:r>
              <w:rPr>
                <w:rFonts w:hint="eastAsia" w:ascii="Times New Roman" w:hAnsi="Times New Roman" w:eastAsia="宋体" w:cs="Times New Roman"/>
                <w:b w:val="0"/>
                <w:bCs w:val="0"/>
                <w:color w:val="auto"/>
                <w:sz w:val="21"/>
                <w:szCs w:val="21"/>
                <w:lang w:val="en-US" w:eastAsia="zh-CN"/>
              </w:rPr>
              <w:t>5</w:t>
            </w:r>
          </w:p>
        </w:tc>
        <w:tc>
          <w:tcPr>
            <w:tcW w:w="524" w:type="pct"/>
            <w:tcBorders>
              <w:tl2br w:val="nil"/>
              <w:tr2bl w:val="nil"/>
            </w:tcBorders>
            <w:noWrap w:val="0"/>
            <w:vAlign w:val="center"/>
          </w:tcPr>
          <w:p w14:paraId="3DE32F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290</w:t>
            </w:r>
          </w:p>
        </w:tc>
        <w:tc>
          <w:tcPr>
            <w:tcW w:w="453" w:type="pct"/>
            <w:vMerge w:val="restart"/>
            <w:tcBorders>
              <w:tl2br w:val="nil"/>
              <w:tr2bl w:val="nil"/>
            </w:tcBorders>
            <w:noWrap w:val="0"/>
            <w:vAlign w:val="center"/>
          </w:tcPr>
          <w:p w14:paraId="5E8F0C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堰流</w:t>
            </w:r>
          </w:p>
        </w:tc>
      </w:tr>
      <w:tr w14:paraId="22D20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603" w:type="pct"/>
            <w:tcBorders>
              <w:tl2br w:val="nil"/>
              <w:tr2bl w:val="nil"/>
            </w:tcBorders>
            <w:noWrap w:val="0"/>
            <w:vAlign w:val="center"/>
          </w:tcPr>
          <w:p w14:paraId="57B5A5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1#副坝</w:t>
            </w:r>
          </w:p>
        </w:tc>
        <w:tc>
          <w:tcPr>
            <w:tcW w:w="603" w:type="pct"/>
            <w:tcBorders>
              <w:tl2br w:val="nil"/>
              <w:tr2bl w:val="nil"/>
            </w:tcBorders>
            <w:noWrap w:val="0"/>
            <w:vAlign w:val="center"/>
          </w:tcPr>
          <w:p w14:paraId="638E1A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80.7</w:t>
            </w:r>
          </w:p>
        </w:tc>
        <w:tc>
          <w:tcPr>
            <w:tcW w:w="522" w:type="pct"/>
            <w:vMerge w:val="continue"/>
            <w:tcBorders>
              <w:tl2br w:val="nil"/>
              <w:tr2bl w:val="nil"/>
            </w:tcBorders>
            <w:noWrap w:val="0"/>
            <w:vAlign w:val="center"/>
          </w:tcPr>
          <w:p w14:paraId="293C41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622" w:type="pct"/>
            <w:vMerge w:val="continue"/>
            <w:tcBorders>
              <w:tl2br w:val="nil"/>
              <w:tr2bl w:val="nil"/>
            </w:tcBorders>
            <w:noWrap w:val="0"/>
            <w:vAlign w:val="center"/>
          </w:tcPr>
          <w:p w14:paraId="2181AA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622" w:type="pct"/>
            <w:vMerge w:val="continue"/>
            <w:tcBorders>
              <w:tl2br w:val="nil"/>
              <w:tr2bl w:val="nil"/>
            </w:tcBorders>
            <w:noWrap w:val="0"/>
            <w:vAlign w:val="center"/>
          </w:tcPr>
          <w:p w14:paraId="1CBA18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523" w:type="pct"/>
            <w:vMerge w:val="continue"/>
            <w:tcBorders>
              <w:tl2br w:val="nil"/>
              <w:tr2bl w:val="nil"/>
            </w:tcBorders>
            <w:noWrap w:val="0"/>
            <w:vAlign w:val="center"/>
          </w:tcPr>
          <w:p w14:paraId="32C04B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523" w:type="pct"/>
            <w:tcBorders>
              <w:tl2br w:val="nil"/>
              <w:tr2bl w:val="nil"/>
            </w:tcBorders>
            <w:noWrap w:val="0"/>
            <w:vAlign w:val="center"/>
          </w:tcPr>
          <w:p w14:paraId="0AEDB1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2.5</w:t>
            </w:r>
          </w:p>
        </w:tc>
        <w:tc>
          <w:tcPr>
            <w:tcW w:w="524" w:type="pct"/>
            <w:tcBorders>
              <w:tl2br w:val="nil"/>
              <w:tr2bl w:val="nil"/>
            </w:tcBorders>
            <w:noWrap w:val="0"/>
            <w:vAlign w:val="center"/>
          </w:tcPr>
          <w:p w14:paraId="2F0BEF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60</w:t>
            </w:r>
          </w:p>
        </w:tc>
        <w:tc>
          <w:tcPr>
            <w:tcW w:w="453" w:type="pct"/>
            <w:vMerge w:val="continue"/>
            <w:tcBorders>
              <w:tl2br w:val="nil"/>
              <w:tr2bl w:val="nil"/>
            </w:tcBorders>
            <w:noWrap w:val="0"/>
            <w:vAlign w:val="top"/>
          </w:tcPr>
          <w:p w14:paraId="47447A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r>
      <w:tr w14:paraId="1F3E57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603" w:type="pct"/>
            <w:tcBorders>
              <w:tl2br w:val="nil"/>
              <w:tr2bl w:val="nil"/>
            </w:tcBorders>
            <w:noWrap w:val="0"/>
            <w:vAlign w:val="center"/>
          </w:tcPr>
          <w:p w14:paraId="3474A6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2#副坝</w:t>
            </w:r>
          </w:p>
        </w:tc>
        <w:tc>
          <w:tcPr>
            <w:tcW w:w="603" w:type="pct"/>
            <w:tcBorders>
              <w:tl2br w:val="nil"/>
              <w:tr2bl w:val="nil"/>
            </w:tcBorders>
            <w:noWrap w:val="0"/>
            <w:vAlign w:val="center"/>
          </w:tcPr>
          <w:p w14:paraId="3C8720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85.5</w:t>
            </w:r>
          </w:p>
        </w:tc>
        <w:tc>
          <w:tcPr>
            <w:tcW w:w="522" w:type="pct"/>
            <w:vMerge w:val="continue"/>
            <w:tcBorders>
              <w:tl2br w:val="nil"/>
              <w:tr2bl w:val="nil"/>
            </w:tcBorders>
            <w:noWrap w:val="0"/>
            <w:vAlign w:val="center"/>
          </w:tcPr>
          <w:p w14:paraId="46E0E5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622" w:type="pct"/>
            <w:vMerge w:val="continue"/>
            <w:tcBorders>
              <w:tl2br w:val="nil"/>
              <w:tr2bl w:val="nil"/>
            </w:tcBorders>
            <w:noWrap w:val="0"/>
            <w:vAlign w:val="center"/>
          </w:tcPr>
          <w:p w14:paraId="6116D4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622" w:type="pct"/>
            <w:vMerge w:val="continue"/>
            <w:tcBorders>
              <w:tl2br w:val="nil"/>
              <w:tr2bl w:val="nil"/>
            </w:tcBorders>
            <w:noWrap w:val="0"/>
            <w:vAlign w:val="center"/>
          </w:tcPr>
          <w:p w14:paraId="27FFBD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523" w:type="pct"/>
            <w:vMerge w:val="continue"/>
            <w:tcBorders>
              <w:tl2br w:val="nil"/>
              <w:tr2bl w:val="nil"/>
            </w:tcBorders>
            <w:noWrap w:val="0"/>
            <w:vAlign w:val="center"/>
          </w:tcPr>
          <w:p w14:paraId="1EFC62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c>
          <w:tcPr>
            <w:tcW w:w="523" w:type="pct"/>
            <w:tcBorders>
              <w:tl2br w:val="nil"/>
              <w:tr2bl w:val="nil"/>
            </w:tcBorders>
            <w:noWrap w:val="0"/>
            <w:vAlign w:val="center"/>
          </w:tcPr>
          <w:p w14:paraId="560631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rPr>
              <w:t>7.</w:t>
            </w:r>
            <w:r>
              <w:rPr>
                <w:rFonts w:hint="eastAsia" w:ascii="Times New Roman" w:hAnsi="Times New Roman" w:eastAsia="宋体" w:cs="Times New Roman"/>
                <w:b w:val="0"/>
                <w:bCs w:val="0"/>
                <w:color w:val="auto"/>
                <w:sz w:val="21"/>
                <w:szCs w:val="21"/>
                <w:lang w:val="en-US" w:eastAsia="zh-CN"/>
              </w:rPr>
              <w:t>5</w:t>
            </w:r>
          </w:p>
        </w:tc>
        <w:tc>
          <w:tcPr>
            <w:tcW w:w="524" w:type="pct"/>
            <w:tcBorders>
              <w:tl2br w:val="nil"/>
              <w:tr2bl w:val="nil"/>
            </w:tcBorders>
            <w:noWrap w:val="0"/>
            <w:vAlign w:val="center"/>
          </w:tcPr>
          <w:p w14:paraId="2D9CF3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226</w:t>
            </w:r>
          </w:p>
        </w:tc>
        <w:tc>
          <w:tcPr>
            <w:tcW w:w="453" w:type="pct"/>
            <w:vMerge w:val="continue"/>
            <w:tcBorders>
              <w:tl2br w:val="nil"/>
              <w:tr2bl w:val="nil"/>
            </w:tcBorders>
            <w:noWrap w:val="0"/>
            <w:vAlign w:val="top"/>
          </w:tcPr>
          <w:p w14:paraId="0D3F8D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p>
        </w:tc>
      </w:tr>
    </w:tbl>
    <w:p w14:paraId="7F332AF7">
      <w:pPr>
        <w:bidi w:val="0"/>
        <w:rPr>
          <w:rFonts w:hint="default"/>
          <w:color w:val="auto"/>
          <w:lang w:val="en-US" w:eastAsia="zh-CN"/>
        </w:rPr>
      </w:pPr>
      <w:r>
        <w:rPr>
          <w:rFonts w:hint="default"/>
          <w:color w:val="auto"/>
          <w:lang w:val="en-US" w:eastAsia="zh-CN"/>
        </w:rPr>
        <w:t>从上表可见，库区采用现有排水斜槽+排水涵洞排洪时，安全超高和干滩长度均能满足四等库防洪规范要求。</w:t>
      </w:r>
    </w:p>
    <w:p w14:paraId="51E5BFBA">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443" w:name="_Toc30108"/>
      <w:bookmarkStart w:id="444" w:name="_Toc6568"/>
      <w:bookmarkStart w:id="445" w:name="_Toc22749"/>
      <w:r>
        <w:rPr>
          <w:rFonts w:hint="eastAsia" w:ascii="Times New Roman" w:hAnsi="Times New Roman" w:eastAsia="黑体" w:cs="Times New Roman"/>
          <w:b/>
          <w:color w:val="auto"/>
          <w:kern w:val="2"/>
          <w:sz w:val="28"/>
          <w:szCs w:val="24"/>
          <w:lang w:val="en-US" w:eastAsia="zh-CN" w:bidi="ar-SA"/>
        </w:rPr>
        <w:t>5.3.3 评价单元小结</w:t>
      </w:r>
      <w:bookmarkEnd w:id="440"/>
      <w:bookmarkEnd w:id="441"/>
      <w:bookmarkEnd w:id="442"/>
      <w:bookmarkEnd w:id="443"/>
      <w:bookmarkEnd w:id="444"/>
      <w:bookmarkEnd w:id="445"/>
    </w:p>
    <w:p w14:paraId="4DE6B8A0">
      <w:pPr>
        <w:bidi w:val="0"/>
        <w:rPr>
          <w:rFonts w:hint="default"/>
          <w:color w:val="auto"/>
          <w:lang w:val="en-US" w:eastAsia="zh-CN"/>
        </w:rPr>
      </w:pPr>
      <w:r>
        <w:rPr>
          <w:rFonts w:hint="default"/>
          <w:color w:val="auto"/>
          <w:lang w:val="en-US" w:eastAsia="zh-CN"/>
        </w:rPr>
        <w:t>（1）经现场检查，</w:t>
      </w:r>
      <w:r>
        <w:rPr>
          <w:rFonts w:hint="eastAsia"/>
          <w:color w:val="auto"/>
          <w:lang w:val="en-US" w:eastAsia="zh-CN"/>
        </w:rPr>
        <w:t>宜丰新庄铜铅锌矿尾矿库</w:t>
      </w:r>
      <w:r>
        <w:rPr>
          <w:rFonts w:hint="default"/>
          <w:color w:val="auto"/>
          <w:lang w:val="en-US" w:eastAsia="zh-CN"/>
        </w:rPr>
        <w:t>排</w:t>
      </w:r>
      <w:r>
        <w:rPr>
          <w:rFonts w:hint="eastAsia"/>
          <w:color w:val="auto"/>
          <w:lang w:val="en-US" w:eastAsia="zh-CN"/>
        </w:rPr>
        <w:t>洪</w:t>
      </w:r>
      <w:r>
        <w:rPr>
          <w:rFonts w:hint="default"/>
          <w:color w:val="auto"/>
          <w:lang w:val="en-US" w:eastAsia="zh-CN"/>
        </w:rPr>
        <w:t>构筑物的结构强度、断面尺寸均符合设计要求，且运行状况良好，</w:t>
      </w:r>
      <w:r>
        <w:rPr>
          <w:rFonts w:hint="eastAsia"/>
          <w:color w:val="auto"/>
          <w:lang w:val="en-US" w:eastAsia="zh-CN"/>
        </w:rPr>
        <w:t>排洪构筑物</w:t>
      </w:r>
      <w:r>
        <w:rPr>
          <w:rFonts w:hint="default"/>
          <w:color w:val="auto"/>
          <w:lang w:val="en-US" w:eastAsia="zh-CN"/>
        </w:rPr>
        <w:t>无变形、裂缝、脱落、倾斜、坍塌等现象。</w:t>
      </w:r>
    </w:p>
    <w:p w14:paraId="0C74C852">
      <w:pPr>
        <w:bidi w:val="0"/>
        <w:rPr>
          <w:rFonts w:hint="default"/>
          <w:color w:val="auto"/>
          <w:lang w:val="en-US" w:eastAsia="zh-CN"/>
        </w:rPr>
      </w:pPr>
      <w:r>
        <w:rPr>
          <w:rFonts w:hint="default"/>
          <w:color w:val="auto"/>
          <w:lang w:val="en-US" w:eastAsia="zh-CN"/>
        </w:rPr>
        <w:t>（2）经洪水复核，</w:t>
      </w:r>
      <w:r>
        <w:rPr>
          <w:rFonts w:hint="eastAsia"/>
          <w:color w:val="auto"/>
          <w:lang w:val="en-US" w:eastAsia="zh-CN"/>
        </w:rPr>
        <w:t>宜丰新庄铜铅锌矿尾矿库</w:t>
      </w:r>
      <w:r>
        <w:rPr>
          <w:rFonts w:hint="default"/>
          <w:color w:val="auto"/>
          <w:lang w:val="en-US" w:eastAsia="zh-CN"/>
        </w:rPr>
        <w:t>防排洪系统能满足</w:t>
      </w:r>
      <w:r>
        <w:rPr>
          <w:rFonts w:hint="eastAsia"/>
          <w:color w:val="auto"/>
          <w:lang w:val="en-US" w:eastAsia="zh-CN"/>
        </w:rPr>
        <w:t>100</w:t>
      </w:r>
      <w:r>
        <w:rPr>
          <w:rFonts w:hint="default"/>
          <w:color w:val="auto"/>
          <w:lang w:val="en-US" w:eastAsia="zh-CN"/>
        </w:rPr>
        <w:t>年一遇的洪水泄流要求。</w:t>
      </w:r>
    </w:p>
    <w:p w14:paraId="71BD84E8">
      <w:pPr>
        <w:bidi w:val="0"/>
        <w:rPr>
          <w:rFonts w:hint="default"/>
          <w:color w:val="auto"/>
          <w:lang w:val="en-US" w:eastAsia="zh-CN"/>
        </w:rPr>
      </w:pPr>
      <w:r>
        <w:rPr>
          <w:rFonts w:hint="default"/>
          <w:color w:val="auto"/>
          <w:lang w:val="en-US" w:eastAsia="zh-CN"/>
        </w:rPr>
        <w:t>（3）经采用安全检查表法评判，防洪排水单元应得分</w:t>
      </w:r>
      <w:r>
        <w:rPr>
          <w:rFonts w:hint="eastAsia"/>
          <w:color w:val="auto"/>
          <w:lang w:val="en-US" w:eastAsia="zh-CN"/>
        </w:rPr>
        <w:t>41</w:t>
      </w:r>
      <w:r>
        <w:rPr>
          <w:rFonts w:hint="default"/>
          <w:color w:val="auto"/>
          <w:lang w:val="en-US" w:eastAsia="zh-CN"/>
        </w:rPr>
        <w:t>分，实际得分</w:t>
      </w:r>
      <w:r>
        <w:rPr>
          <w:rFonts w:hint="eastAsia"/>
          <w:color w:val="auto"/>
          <w:lang w:val="en-US" w:eastAsia="zh-CN"/>
        </w:rPr>
        <w:t>36</w:t>
      </w:r>
      <w:r>
        <w:rPr>
          <w:rFonts w:hint="default"/>
          <w:color w:val="auto"/>
          <w:lang w:val="en-US" w:eastAsia="zh-CN"/>
        </w:rPr>
        <w:t>分，得分率</w:t>
      </w:r>
      <w:r>
        <w:rPr>
          <w:rFonts w:hint="eastAsia"/>
          <w:color w:val="auto"/>
          <w:lang w:val="en-US" w:eastAsia="zh-CN"/>
        </w:rPr>
        <w:t>87.80</w:t>
      </w:r>
      <w:r>
        <w:rPr>
          <w:rFonts w:hint="default"/>
          <w:color w:val="auto"/>
          <w:lang w:val="en-US" w:eastAsia="zh-CN"/>
        </w:rPr>
        <w:t>%，防排洪系统单元符合安全要求。</w:t>
      </w:r>
    </w:p>
    <w:p w14:paraId="2FAD5769">
      <w:pPr>
        <w:bidi w:val="0"/>
        <w:rPr>
          <w:rFonts w:hint="default"/>
          <w:color w:val="auto"/>
          <w:lang w:val="en-US" w:eastAsia="zh-CN"/>
        </w:rPr>
      </w:pPr>
      <w:r>
        <w:rPr>
          <w:rFonts w:hint="default"/>
          <w:color w:val="auto"/>
          <w:lang w:val="en-US" w:eastAsia="zh-CN"/>
        </w:rPr>
        <w:t>（4）</w:t>
      </w:r>
      <w:r>
        <w:rPr>
          <w:rFonts w:hint="eastAsia"/>
          <w:color w:val="auto"/>
          <w:lang w:val="en-US" w:eastAsia="zh-CN"/>
        </w:rPr>
        <w:t>江西省宜丰万国矿业有限公司应加强尾矿库管理，在库内水位标尺上标示正常水位和警戒水位，还</w:t>
      </w:r>
      <w:r>
        <w:rPr>
          <w:rFonts w:hint="default"/>
          <w:color w:val="auto"/>
          <w:lang w:val="en-US" w:eastAsia="zh-CN"/>
        </w:rPr>
        <w:t>应配足备齐应急抢险所需的应急物资、及时了解和掌握汛期水情和气象预报情况。</w:t>
      </w:r>
    </w:p>
    <w:p w14:paraId="2B4A5772">
      <w:pPr>
        <w:bidi w:val="0"/>
        <w:rPr>
          <w:rFonts w:hint="default"/>
          <w:color w:val="auto"/>
          <w:lang w:val="en-US" w:eastAsia="zh-CN"/>
        </w:rPr>
      </w:pPr>
      <w:r>
        <w:rPr>
          <w:rFonts w:hint="default"/>
          <w:color w:val="auto"/>
          <w:lang w:val="en-US" w:eastAsia="zh-CN"/>
        </w:rPr>
        <w:t>（5）督促尾矿工及时清除</w:t>
      </w:r>
      <w:r>
        <w:rPr>
          <w:rFonts w:hint="eastAsia"/>
          <w:color w:val="auto"/>
          <w:lang w:val="en-US" w:eastAsia="zh-CN"/>
        </w:rPr>
        <w:t>排水斜槽</w:t>
      </w:r>
      <w:r>
        <w:rPr>
          <w:rFonts w:hint="default"/>
          <w:color w:val="auto"/>
          <w:lang w:val="en-US" w:eastAsia="zh-CN"/>
        </w:rPr>
        <w:t>周边的杂物，防止</w:t>
      </w:r>
      <w:r>
        <w:rPr>
          <w:rFonts w:hint="eastAsia"/>
          <w:color w:val="auto"/>
          <w:lang w:val="en-US" w:eastAsia="zh-CN"/>
        </w:rPr>
        <w:t>排水斜槽</w:t>
      </w:r>
      <w:r>
        <w:rPr>
          <w:rFonts w:hint="default"/>
          <w:color w:val="auto"/>
          <w:lang w:val="en-US" w:eastAsia="zh-CN"/>
        </w:rPr>
        <w:t>堵塞，甚至洪水漫顶。</w:t>
      </w:r>
    </w:p>
    <w:p w14:paraId="1D20DF2D">
      <w:pPr>
        <w:bidi w:val="0"/>
        <w:rPr>
          <w:rFonts w:hint="default"/>
          <w:color w:val="auto"/>
          <w:lang w:val="en-US" w:eastAsia="zh-CN"/>
        </w:rPr>
      </w:pPr>
      <w:r>
        <w:rPr>
          <w:rFonts w:hint="default"/>
          <w:color w:val="auto"/>
          <w:lang w:val="en-US" w:eastAsia="zh-CN"/>
        </w:rPr>
        <w:t>（</w:t>
      </w:r>
      <w:r>
        <w:rPr>
          <w:rFonts w:hint="eastAsia"/>
          <w:color w:val="auto"/>
          <w:lang w:val="en-US" w:eastAsia="zh-CN"/>
        </w:rPr>
        <w:t>6</w:t>
      </w:r>
      <w:r>
        <w:rPr>
          <w:rFonts w:hint="default"/>
          <w:color w:val="auto"/>
          <w:lang w:val="en-US" w:eastAsia="zh-CN"/>
        </w:rPr>
        <w:t>）对出现蜂窝、麻面、露筋、缺角等状况的</w:t>
      </w:r>
      <w:r>
        <w:rPr>
          <w:rFonts w:hint="eastAsia"/>
          <w:color w:val="auto"/>
          <w:lang w:val="en-US" w:eastAsia="zh-CN"/>
        </w:rPr>
        <w:t>排水斜槽盖板</w:t>
      </w:r>
      <w:r>
        <w:rPr>
          <w:rFonts w:hint="default"/>
          <w:color w:val="auto"/>
          <w:lang w:val="en-US" w:eastAsia="zh-CN"/>
        </w:rPr>
        <w:t>，应予以报废、损毁，并加强现场检查，督促操作人员不得将有上述状况的</w:t>
      </w:r>
      <w:r>
        <w:rPr>
          <w:rFonts w:hint="eastAsia"/>
          <w:color w:val="auto"/>
          <w:lang w:val="en-US" w:eastAsia="zh-CN"/>
        </w:rPr>
        <w:t>盖板</w:t>
      </w:r>
      <w:r>
        <w:rPr>
          <w:rFonts w:hint="default"/>
          <w:color w:val="auto"/>
          <w:lang w:val="en-US" w:eastAsia="zh-CN"/>
        </w:rPr>
        <w:t>上</w:t>
      </w:r>
      <w:r>
        <w:rPr>
          <w:rFonts w:hint="eastAsia"/>
          <w:color w:val="auto"/>
          <w:lang w:val="en-US" w:eastAsia="zh-CN"/>
        </w:rPr>
        <w:t>斜槽</w:t>
      </w:r>
      <w:r>
        <w:rPr>
          <w:rFonts w:hint="default"/>
          <w:color w:val="auto"/>
          <w:lang w:val="en-US" w:eastAsia="zh-CN"/>
        </w:rPr>
        <w:t>。</w:t>
      </w:r>
    </w:p>
    <w:p w14:paraId="0759B383">
      <w:pPr>
        <w:keepNext/>
        <w:keepLines/>
        <w:widowControl w:val="0"/>
        <w:bidi w:val="0"/>
        <w:spacing w:beforeLines="0" w:beforeAutospacing="0" w:afterLines="0" w:afterAutospacing="0" w:line="360" w:lineRule="auto"/>
        <w:ind w:left="280" w:leftChars="100" w:firstLine="0" w:firstLineChars="0"/>
        <w:jc w:val="both"/>
        <w:outlineLvl w:val="1"/>
        <w:rPr>
          <w:rFonts w:hint="eastAsia" w:ascii="Times New Roman" w:hAnsi="Times New Roman" w:eastAsia="黑体" w:cs="Times New Roman"/>
          <w:b/>
          <w:color w:val="auto"/>
          <w:kern w:val="2"/>
          <w:sz w:val="30"/>
          <w:szCs w:val="24"/>
          <w:lang w:val="en-US" w:eastAsia="zh-CN" w:bidi="ar-SA"/>
        </w:rPr>
      </w:pPr>
      <w:bookmarkStart w:id="446" w:name="_Toc22250"/>
      <w:bookmarkStart w:id="447" w:name="_Toc25235"/>
      <w:bookmarkStart w:id="448" w:name="_Toc3795"/>
      <w:bookmarkStart w:id="449" w:name="_Toc16886"/>
      <w:bookmarkStart w:id="450" w:name="_Toc1312"/>
      <w:bookmarkStart w:id="451" w:name="_Toc31711"/>
      <w:r>
        <w:rPr>
          <w:rFonts w:hint="eastAsia" w:ascii="Times New Roman" w:hAnsi="Times New Roman" w:eastAsia="黑体" w:cs="Times New Roman"/>
          <w:b/>
          <w:color w:val="auto"/>
          <w:kern w:val="2"/>
          <w:sz w:val="30"/>
          <w:szCs w:val="24"/>
          <w:lang w:val="en-US" w:eastAsia="zh-CN" w:bidi="ar-SA"/>
        </w:rPr>
        <w:t>5.4 安全监测设施单元</w:t>
      </w:r>
      <w:bookmarkEnd w:id="446"/>
      <w:bookmarkEnd w:id="447"/>
      <w:bookmarkEnd w:id="448"/>
      <w:bookmarkEnd w:id="449"/>
      <w:bookmarkEnd w:id="450"/>
      <w:bookmarkEnd w:id="451"/>
    </w:p>
    <w:p w14:paraId="2FE32AC4">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452" w:name="_Toc1148"/>
      <w:bookmarkStart w:id="453" w:name="_Toc24983"/>
      <w:bookmarkStart w:id="454" w:name="_Toc2234"/>
      <w:bookmarkStart w:id="455" w:name="_Toc4557"/>
      <w:bookmarkStart w:id="456" w:name="_Toc23328"/>
      <w:bookmarkStart w:id="457" w:name="_Toc20546"/>
      <w:r>
        <w:rPr>
          <w:rFonts w:hint="eastAsia" w:ascii="Times New Roman" w:hAnsi="Times New Roman" w:eastAsia="黑体" w:cs="Times New Roman"/>
          <w:b/>
          <w:color w:val="auto"/>
          <w:kern w:val="2"/>
          <w:sz w:val="28"/>
          <w:szCs w:val="24"/>
          <w:lang w:val="en-US" w:eastAsia="zh-CN" w:bidi="ar-SA"/>
        </w:rPr>
        <w:t>5.4.1 安全检查法评价</w:t>
      </w:r>
      <w:bookmarkEnd w:id="452"/>
      <w:bookmarkEnd w:id="453"/>
      <w:bookmarkEnd w:id="454"/>
      <w:bookmarkEnd w:id="455"/>
      <w:bookmarkEnd w:id="456"/>
      <w:bookmarkEnd w:id="457"/>
    </w:p>
    <w:p w14:paraId="501AF6A4">
      <w:pPr>
        <w:bidi w:val="0"/>
        <w:rPr>
          <w:rFonts w:hint="default"/>
          <w:strike w:val="0"/>
          <w:dstrike w:val="0"/>
          <w:color w:val="auto"/>
          <w:lang w:val="en-US" w:eastAsia="zh-CN"/>
        </w:rPr>
      </w:pPr>
      <w:r>
        <w:rPr>
          <w:rFonts w:hint="default"/>
          <w:color w:val="auto"/>
          <w:lang w:val="en-US" w:eastAsia="zh-CN"/>
        </w:rPr>
        <w:t>经评价组评价人员现场安全检查，</w:t>
      </w:r>
      <w:r>
        <w:rPr>
          <w:rFonts w:hint="eastAsia"/>
          <w:color w:val="auto"/>
          <w:lang w:val="en-US" w:eastAsia="zh-CN"/>
        </w:rPr>
        <w:t>宜丰新庄铜铅锌矿尾矿库</w:t>
      </w:r>
      <w:r>
        <w:rPr>
          <w:rFonts w:hint="default"/>
          <w:color w:val="auto"/>
          <w:lang w:val="en-US" w:eastAsia="zh-CN"/>
        </w:rPr>
        <w:t>安全监测设施既有传统的人工安全监测设施，也有自动的在线监测设施，且设置位置、数量与设计相符，观测频率和精度符合规定要求。</w:t>
      </w:r>
      <w:r>
        <w:rPr>
          <w:rFonts w:hint="eastAsia"/>
          <w:color w:val="auto"/>
          <w:lang w:val="en-US" w:eastAsia="zh-CN"/>
        </w:rPr>
        <w:t>宜丰新庄铜铅锌矿尾矿库</w:t>
      </w:r>
      <w:r>
        <w:rPr>
          <w:rFonts w:hint="default"/>
          <w:color w:val="auto"/>
          <w:lang w:val="en-US" w:eastAsia="zh-CN"/>
        </w:rPr>
        <w:t>在线安全</w:t>
      </w:r>
      <w:r>
        <w:rPr>
          <w:rFonts w:hint="default"/>
          <w:color w:val="auto"/>
          <w:lang w:val="en-US" w:eastAsia="zh-CN"/>
        </w:rPr>
        <w:t>监测预警系统接入了省级尾矿库安全生产风险监测预警平台，实现了数据共享、互联互通。坝体人工安全监测设施以及在线监测设施运行状况均正常，</w:t>
      </w:r>
      <w:r>
        <w:rPr>
          <w:rFonts w:hint="default"/>
          <w:strike w:val="0"/>
          <w:dstrike w:val="0"/>
          <w:color w:val="auto"/>
          <w:lang w:val="en-US" w:eastAsia="zh-CN"/>
        </w:rPr>
        <w:t>江西省宜丰万国矿业有限公司已按要求进行了坝体位移沉降、浸润线、库水位观测，保留有坝体位移沉降、浸润线、库水位观测记录，从坝体位移沉降、浸润线观测记录来看，坝体已固结、稳定，观测值变化、波动偏小，浸润线水位随暴雨、枯水季节有所波动，变化很小，浸润线埋深在2.19m～10.42m之间，符合规范值要求。</w:t>
      </w:r>
    </w:p>
    <w:p w14:paraId="7113E62C">
      <w:pPr>
        <w:keepNext/>
        <w:keepLines/>
        <w:widowControl w:val="0"/>
        <w:bidi w:val="0"/>
        <w:spacing w:beforeLines="0" w:beforeAutospacing="0" w:afterLines="0" w:afterAutospacing="0" w:line="360" w:lineRule="auto"/>
        <w:ind w:left="280" w:leftChars="100" w:firstLine="0" w:firstLineChars="0"/>
        <w:jc w:val="both"/>
        <w:outlineLvl w:val="1"/>
        <w:rPr>
          <w:rFonts w:hint="eastAsia" w:ascii="Times New Roman" w:hAnsi="Times New Roman" w:eastAsia="黑体" w:cs="Times New Roman"/>
          <w:b/>
          <w:color w:val="auto"/>
          <w:kern w:val="2"/>
          <w:sz w:val="30"/>
          <w:szCs w:val="24"/>
          <w:lang w:val="en-US" w:eastAsia="zh-CN" w:bidi="ar-SA"/>
        </w:rPr>
      </w:pPr>
      <w:bookmarkStart w:id="458" w:name="_Toc3626"/>
      <w:bookmarkStart w:id="459" w:name="_Toc29968"/>
      <w:bookmarkStart w:id="460" w:name="_Toc2771"/>
      <w:bookmarkStart w:id="461" w:name="_Toc22212"/>
      <w:bookmarkStart w:id="462" w:name="_Toc9883"/>
      <w:bookmarkStart w:id="463" w:name="_Toc11011"/>
      <w:r>
        <w:rPr>
          <w:rFonts w:hint="eastAsia" w:ascii="Times New Roman" w:hAnsi="Times New Roman" w:eastAsia="黑体" w:cs="Times New Roman"/>
          <w:b/>
          <w:color w:val="auto"/>
          <w:kern w:val="2"/>
          <w:sz w:val="30"/>
          <w:szCs w:val="24"/>
          <w:lang w:val="en-US" w:eastAsia="zh-CN" w:bidi="ar-SA"/>
        </w:rPr>
        <w:t>5.5 库区环境单元</w:t>
      </w:r>
      <w:bookmarkEnd w:id="458"/>
      <w:bookmarkEnd w:id="459"/>
      <w:bookmarkEnd w:id="460"/>
      <w:bookmarkEnd w:id="461"/>
      <w:bookmarkEnd w:id="462"/>
      <w:bookmarkEnd w:id="463"/>
    </w:p>
    <w:p w14:paraId="1D7B2120">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464" w:name="_Toc21200"/>
      <w:bookmarkStart w:id="465" w:name="_Toc29385"/>
      <w:bookmarkStart w:id="466" w:name="_Toc18464"/>
      <w:bookmarkStart w:id="467" w:name="_Toc32638"/>
      <w:bookmarkStart w:id="468" w:name="_Toc23871"/>
      <w:bookmarkStart w:id="469" w:name="_Toc32183"/>
      <w:r>
        <w:rPr>
          <w:rFonts w:hint="eastAsia" w:ascii="Times New Roman" w:hAnsi="Times New Roman" w:eastAsia="黑体" w:cs="Times New Roman"/>
          <w:b/>
          <w:color w:val="auto"/>
          <w:kern w:val="2"/>
          <w:sz w:val="28"/>
          <w:szCs w:val="24"/>
          <w:lang w:val="en-US" w:eastAsia="zh-CN" w:bidi="ar-SA"/>
        </w:rPr>
        <w:t>5.5.1 安全检查表评价</w:t>
      </w:r>
      <w:bookmarkEnd w:id="464"/>
      <w:bookmarkEnd w:id="465"/>
      <w:bookmarkEnd w:id="466"/>
      <w:bookmarkEnd w:id="467"/>
      <w:bookmarkEnd w:id="468"/>
      <w:bookmarkEnd w:id="469"/>
    </w:p>
    <w:p w14:paraId="15D15A1C">
      <w:pPr>
        <w:bidi w:val="0"/>
        <w:rPr>
          <w:rFonts w:hint="default"/>
          <w:color w:val="auto"/>
          <w:lang w:val="en-US" w:eastAsia="zh-CN"/>
        </w:rPr>
      </w:pPr>
      <w:r>
        <w:rPr>
          <w:rFonts w:hint="default"/>
          <w:color w:val="auto"/>
          <w:lang w:val="en-US" w:eastAsia="zh-CN"/>
        </w:rPr>
        <w:t>运用《江西省尾矿库安全检查表》，对</w:t>
      </w:r>
      <w:r>
        <w:rPr>
          <w:rFonts w:hint="eastAsia"/>
          <w:color w:val="auto"/>
          <w:lang w:val="en-US" w:eastAsia="zh-CN"/>
        </w:rPr>
        <w:t>宜丰新庄铜铅锌矿尾矿库</w:t>
      </w:r>
      <w:r>
        <w:rPr>
          <w:rFonts w:hint="default"/>
          <w:color w:val="auto"/>
          <w:lang w:val="en-US" w:eastAsia="zh-CN"/>
        </w:rPr>
        <w:t>库区环境单元进行评判，具体见表5</w:t>
      </w:r>
      <w:r>
        <w:rPr>
          <w:rFonts w:hint="eastAsia"/>
          <w:color w:val="auto"/>
          <w:lang w:val="en-US" w:eastAsia="zh-CN"/>
        </w:rPr>
        <w:t>.5</w:t>
      </w:r>
      <w:r>
        <w:rPr>
          <w:rFonts w:hint="default"/>
          <w:color w:val="auto"/>
          <w:lang w:val="en-US" w:eastAsia="zh-CN"/>
        </w:rPr>
        <w:t>-1。</w:t>
      </w:r>
    </w:p>
    <w:p w14:paraId="60E3FE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表</w:t>
      </w:r>
      <w:r>
        <w:rPr>
          <w:rFonts w:hint="default"/>
          <w:color w:val="auto"/>
          <w:lang w:val="en-US" w:eastAsia="zh-CN"/>
        </w:rPr>
        <w:t>5</w:t>
      </w:r>
      <w:r>
        <w:rPr>
          <w:rFonts w:hint="eastAsia"/>
          <w:color w:val="auto"/>
          <w:lang w:val="en-US" w:eastAsia="zh-CN"/>
        </w:rPr>
        <w:t>.5</w:t>
      </w:r>
      <w:r>
        <w:rPr>
          <w:rFonts w:hint="default"/>
          <w:color w:val="auto"/>
          <w:lang w:val="en-US" w:eastAsia="zh-CN"/>
        </w:rPr>
        <w:t>-1</w:t>
      </w:r>
      <w:r>
        <w:rPr>
          <w:rFonts w:hint="eastAsia"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lang w:eastAsia="zh-CN"/>
        </w:rPr>
        <w:t>库区环境单元安全检查表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33"/>
        <w:gridCol w:w="2458"/>
        <w:gridCol w:w="1177"/>
        <w:gridCol w:w="948"/>
        <w:gridCol w:w="1075"/>
        <w:gridCol w:w="902"/>
        <w:gridCol w:w="705"/>
        <w:gridCol w:w="994"/>
      </w:tblGrid>
      <w:tr w14:paraId="01AD8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458" w:type="pct"/>
            <w:noWrap w:val="0"/>
            <w:vAlign w:val="center"/>
          </w:tcPr>
          <w:p w14:paraId="03C6A312">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项目</w:t>
            </w:r>
          </w:p>
        </w:tc>
        <w:tc>
          <w:tcPr>
            <w:tcW w:w="1351" w:type="pct"/>
            <w:noWrap w:val="0"/>
            <w:vAlign w:val="center"/>
          </w:tcPr>
          <w:p w14:paraId="44BA9D5D">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pacing w:val="4"/>
                <w:kern w:val="0"/>
                <w:sz w:val="21"/>
                <w:szCs w:val="21"/>
              </w:rPr>
              <w:t>检查内容</w:t>
            </w:r>
          </w:p>
        </w:tc>
        <w:tc>
          <w:tcPr>
            <w:tcW w:w="647" w:type="pct"/>
            <w:noWrap w:val="0"/>
            <w:vAlign w:val="center"/>
          </w:tcPr>
          <w:p w14:paraId="33E50ED5">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z w:val="21"/>
                <w:szCs w:val="21"/>
              </w:rPr>
              <w:t>检查依据</w:t>
            </w:r>
          </w:p>
        </w:tc>
        <w:tc>
          <w:tcPr>
            <w:tcW w:w="521" w:type="pct"/>
            <w:noWrap w:val="0"/>
            <w:vAlign w:val="center"/>
          </w:tcPr>
          <w:p w14:paraId="7AC47836">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z w:val="21"/>
                <w:szCs w:val="21"/>
              </w:rPr>
              <w:t>检查方法及地点</w:t>
            </w:r>
          </w:p>
        </w:tc>
        <w:tc>
          <w:tcPr>
            <w:tcW w:w="591" w:type="pct"/>
            <w:noWrap w:val="0"/>
            <w:vAlign w:val="center"/>
          </w:tcPr>
          <w:p w14:paraId="0D20CED9">
            <w:pPr>
              <w:autoSpaceDE w:val="0"/>
              <w:autoSpaceDN w:val="0"/>
              <w:adjustRightInd w:val="0"/>
              <w:spacing w:line="220" w:lineRule="exac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检查</w:t>
            </w:r>
          </w:p>
          <w:p w14:paraId="08F6DA9F">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z w:val="21"/>
                <w:szCs w:val="21"/>
              </w:rPr>
              <w:t>记录</w:t>
            </w:r>
          </w:p>
        </w:tc>
        <w:tc>
          <w:tcPr>
            <w:tcW w:w="496" w:type="pct"/>
            <w:noWrap w:val="0"/>
            <w:vAlign w:val="center"/>
          </w:tcPr>
          <w:p w14:paraId="79157FF0">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标准</w:t>
            </w:r>
          </w:p>
          <w:p w14:paraId="7DDFF7DA">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分值</w:t>
            </w:r>
          </w:p>
        </w:tc>
        <w:tc>
          <w:tcPr>
            <w:tcW w:w="387" w:type="pct"/>
            <w:noWrap w:val="0"/>
            <w:vAlign w:val="center"/>
          </w:tcPr>
          <w:p w14:paraId="13284907">
            <w:pPr>
              <w:autoSpaceDE w:val="0"/>
              <w:autoSpaceDN w:val="0"/>
              <w:adjustRightInd w:val="0"/>
              <w:spacing w:line="220" w:lineRule="exact"/>
              <w:ind w:firstLine="0" w:firstLineChars="0"/>
              <w:jc w:val="center"/>
              <w:rPr>
                <w:rFonts w:hint="eastAsia"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评分</w:t>
            </w:r>
          </w:p>
          <w:p w14:paraId="7B3DB353">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标准</w:t>
            </w:r>
          </w:p>
        </w:tc>
        <w:tc>
          <w:tcPr>
            <w:tcW w:w="546" w:type="pct"/>
            <w:noWrap w:val="0"/>
            <w:vAlign w:val="center"/>
          </w:tcPr>
          <w:p w14:paraId="2E30035A">
            <w:pPr>
              <w:autoSpaceDE w:val="0"/>
              <w:autoSpaceDN w:val="0"/>
              <w:adjustRightInd w:val="0"/>
              <w:spacing w:line="220" w:lineRule="exact"/>
              <w:ind w:firstLine="0" w:firstLineChars="0"/>
              <w:jc w:val="center"/>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得分</w:t>
            </w:r>
          </w:p>
        </w:tc>
      </w:tr>
      <w:tr w14:paraId="7801A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2" w:hRule="atLeast"/>
          <w:jc w:val="center"/>
        </w:trPr>
        <w:tc>
          <w:tcPr>
            <w:tcW w:w="458" w:type="pct"/>
            <w:vMerge w:val="restart"/>
            <w:noWrap w:val="0"/>
            <w:vAlign w:val="center"/>
          </w:tcPr>
          <w:p w14:paraId="3BBF87BF">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库区</w:t>
            </w:r>
          </w:p>
          <w:p w14:paraId="3780381D">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安全</w:t>
            </w:r>
          </w:p>
        </w:tc>
        <w:tc>
          <w:tcPr>
            <w:tcW w:w="1351" w:type="pct"/>
            <w:noWrap w:val="0"/>
            <w:vAlign w:val="top"/>
          </w:tcPr>
          <w:p w14:paraId="5392AFA1">
            <w:pPr>
              <w:autoSpaceDE w:val="0"/>
              <w:autoSpaceDN w:val="0"/>
              <w:adjustRightInd w:val="0"/>
              <w:spacing w:line="240" w:lineRule="exact"/>
              <w:ind w:firstLine="0" w:firstLineChars="0"/>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1.1周边山体失稳，随时有可能滑动、坍塌影响尾矿库安全。</w:t>
            </w:r>
          </w:p>
        </w:tc>
        <w:tc>
          <w:tcPr>
            <w:tcW w:w="647" w:type="pct"/>
            <w:noWrap w:val="0"/>
            <w:vAlign w:val="center"/>
          </w:tcPr>
          <w:p w14:paraId="14D3DDD7">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sz w:val="21"/>
                <w:szCs w:val="21"/>
              </w:rPr>
              <w:t>《尾矿库安全规程》第9.5.2条</w:t>
            </w:r>
          </w:p>
        </w:tc>
        <w:tc>
          <w:tcPr>
            <w:tcW w:w="521" w:type="pct"/>
            <w:vMerge w:val="restart"/>
            <w:noWrap w:val="0"/>
            <w:vAlign w:val="center"/>
          </w:tcPr>
          <w:p w14:paraId="6CD82220">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查现场</w:t>
            </w:r>
          </w:p>
        </w:tc>
        <w:tc>
          <w:tcPr>
            <w:tcW w:w="591" w:type="pct"/>
            <w:noWrap w:val="0"/>
            <w:vAlign w:val="center"/>
          </w:tcPr>
          <w:p w14:paraId="218609DA">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周边山体较稳定</w:t>
            </w:r>
          </w:p>
        </w:tc>
        <w:tc>
          <w:tcPr>
            <w:tcW w:w="496" w:type="pct"/>
            <w:noWrap w:val="0"/>
            <w:vAlign w:val="center"/>
          </w:tcPr>
          <w:p w14:paraId="692E527F">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病库</w:t>
            </w:r>
          </w:p>
        </w:tc>
        <w:tc>
          <w:tcPr>
            <w:tcW w:w="387" w:type="pct"/>
            <w:noWrap w:val="0"/>
            <w:vAlign w:val="center"/>
          </w:tcPr>
          <w:p w14:paraId="4F5F84F9">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546" w:type="pct"/>
            <w:noWrap w:val="0"/>
            <w:vAlign w:val="center"/>
          </w:tcPr>
          <w:p w14:paraId="665BCEFB">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满足</w:t>
            </w:r>
          </w:p>
          <w:p w14:paraId="55B317E2">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要求</w:t>
            </w:r>
          </w:p>
        </w:tc>
      </w:tr>
      <w:tr w14:paraId="7164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6" w:hRule="atLeast"/>
          <w:jc w:val="center"/>
        </w:trPr>
        <w:tc>
          <w:tcPr>
            <w:tcW w:w="458" w:type="pct"/>
            <w:vMerge w:val="continue"/>
            <w:noWrap w:val="0"/>
            <w:vAlign w:val="center"/>
          </w:tcPr>
          <w:p w14:paraId="3663A18A">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1351" w:type="pct"/>
            <w:noWrap w:val="0"/>
            <w:vAlign w:val="top"/>
          </w:tcPr>
          <w:p w14:paraId="3CEEAC14">
            <w:pPr>
              <w:autoSpaceDE w:val="0"/>
              <w:autoSpaceDN w:val="0"/>
              <w:adjustRightInd w:val="0"/>
              <w:spacing w:line="240" w:lineRule="exact"/>
              <w:ind w:firstLine="0" w:firstLineChars="0"/>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1.2库区是否存在违章爆破、采石和建筑；违章进行尾矿回采、取水；外来尾矿、废石、废水和废弃物排入、放牧和开垦和炸鱼等危害尾矿库安全的活动。</w:t>
            </w:r>
          </w:p>
        </w:tc>
        <w:tc>
          <w:tcPr>
            <w:tcW w:w="647" w:type="pct"/>
            <w:noWrap w:val="0"/>
            <w:vAlign w:val="center"/>
          </w:tcPr>
          <w:p w14:paraId="6F260A04">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sz w:val="21"/>
                <w:szCs w:val="21"/>
              </w:rPr>
              <w:t>《尾矿库安全规程》第9.5.3条</w:t>
            </w:r>
          </w:p>
        </w:tc>
        <w:tc>
          <w:tcPr>
            <w:tcW w:w="521" w:type="pct"/>
            <w:vMerge w:val="continue"/>
            <w:noWrap w:val="0"/>
            <w:vAlign w:val="center"/>
          </w:tcPr>
          <w:p w14:paraId="10552035">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591" w:type="pct"/>
            <w:noWrap w:val="0"/>
            <w:vAlign w:val="center"/>
          </w:tcPr>
          <w:p w14:paraId="71A8D5F6">
            <w:pPr>
              <w:autoSpaceDE w:val="0"/>
              <w:autoSpaceDN w:val="0"/>
              <w:adjustRightInd w:val="0"/>
              <w:spacing w:line="240" w:lineRule="exact"/>
              <w:ind w:firstLine="0" w:firstLineChars="0"/>
              <w:jc w:val="center"/>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c>
          <w:tcPr>
            <w:tcW w:w="496" w:type="pct"/>
            <w:noWrap w:val="0"/>
            <w:vAlign w:val="center"/>
          </w:tcPr>
          <w:p w14:paraId="5A7139E2">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7</w:t>
            </w:r>
          </w:p>
        </w:tc>
        <w:tc>
          <w:tcPr>
            <w:tcW w:w="387" w:type="pct"/>
            <w:noWrap w:val="0"/>
            <w:vAlign w:val="center"/>
          </w:tcPr>
          <w:p w14:paraId="43E93505">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不符合不得分</w:t>
            </w:r>
          </w:p>
        </w:tc>
        <w:tc>
          <w:tcPr>
            <w:tcW w:w="546" w:type="pct"/>
            <w:noWrap w:val="0"/>
            <w:vAlign w:val="center"/>
          </w:tcPr>
          <w:p w14:paraId="68FA4736">
            <w:pPr>
              <w:autoSpaceDE w:val="0"/>
              <w:autoSpaceDN w:val="0"/>
              <w:adjustRightInd w:val="0"/>
              <w:spacing w:line="240" w:lineRule="exact"/>
              <w:ind w:firstLine="0" w:firstLineChars="0"/>
              <w:jc w:val="center"/>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7</w:t>
            </w:r>
          </w:p>
        </w:tc>
      </w:tr>
      <w:tr w14:paraId="22AA1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4" w:hRule="atLeast"/>
          <w:jc w:val="center"/>
        </w:trPr>
        <w:tc>
          <w:tcPr>
            <w:tcW w:w="458" w:type="pct"/>
            <w:noWrap w:val="0"/>
            <w:vAlign w:val="center"/>
          </w:tcPr>
          <w:p w14:paraId="4A325BED">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小计</w:t>
            </w:r>
          </w:p>
        </w:tc>
        <w:tc>
          <w:tcPr>
            <w:tcW w:w="1351" w:type="pct"/>
            <w:noWrap w:val="0"/>
            <w:vAlign w:val="top"/>
          </w:tcPr>
          <w:p w14:paraId="4E3A4DBC">
            <w:pPr>
              <w:autoSpaceDE w:val="0"/>
              <w:autoSpaceDN w:val="0"/>
              <w:adjustRightInd w:val="0"/>
              <w:spacing w:line="240" w:lineRule="exact"/>
              <w:ind w:firstLine="0" w:firstLineChars="0"/>
              <w:rPr>
                <w:rFonts w:ascii="Times New Roman" w:hAnsi="Times New Roman" w:eastAsia="宋体" w:cs="Times New Roman"/>
                <w:color w:val="auto"/>
                <w:kern w:val="0"/>
                <w:sz w:val="21"/>
                <w:szCs w:val="21"/>
                <w:lang w:val="zh-CN"/>
              </w:rPr>
            </w:pPr>
          </w:p>
        </w:tc>
        <w:tc>
          <w:tcPr>
            <w:tcW w:w="647" w:type="pct"/>
            <w:noWrap w:val="0"/>
            <w:vAlign w:val="center"/>
          </w:tcPr>
          <w:p w14:paraId="10448163">
            <w:pPr>
              <w:autoSpaceDE w:val="0"/>
              <w:autoSpaceDN w:val="0"/>
              <w:adjustRightInd w:val="0"/>
              <w:spacing w:line="240" w:lineRule="exact"/>
              <w:ind w:firstLine="0" w:firstLineChars="0"/>
              <w:jc w:val="center"/>
              <w:rPr>
                <w:rFonts w:ascii="Times New Roman" w:hAnsi="Times New Roman" w:eastAsia="宋体" w:cs="Times New Roman"/>
                <w:color w:val="auto"/>
                <w:sz w:val="21"/>
                <w:szCs w:val="21"/>
              </w:rPr>
            </w:pPr>
          </w:p>
        </w:tc>
        <w:tc>
          <w:tcPr>
            <w:tcW w:w="521" w:type="pct"/>
            <w:noWrap w:val="0"/>
            <w:vAlign w:val="center"/>
          </w:tcPr>
          <w:p w14:paraId="19A2C2A0">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591" w:type="pct"/>
            <w:noWrap w:val="0"/>
            <w:vAlign w:val="center"/>
          </w:tcPr>
          <w:p w14:paraId="35381F54">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496" w:type="pct"/>
            <w:noWrap w:val="0"/>
            <w:vAlign w:val="center"/>
          </w:tcPr>
          <w:p w14:paraId="6FB5098D">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7</w:t>
            </w:r>
          </w:p>
        </w:tc>
        <w:tc>
          <w:tcPr>
            <w:tcW w:w="387" w:type="pct"/>
            <w:noWrap w:val="0"/>
            <w:vAlign w:val="center"/>
          </w:tcPr>
          <w:p w14:paraId="79948EFC">
            <w:pPr>
              <w:autoSpaceDE w:val="0"/>
              <w:autoSpaceDN w:val="0"/>
              <w:adjustRightInd w:val="0"/>
              <w:spacing w:line="240" w:lineRule="exact"/>
              <w:ind w:firstLine="0" w:firstLineChars="0"/>
              <w:jc w:val="center"/>
              <w:rPr>
                <w:rFonts w:ascii="Times New Roman" w:hAnsi="Times New Roman" w:eastAsia="宋体" w:cs="Times New Roman"/>
                <w:color w:val="auto"/>
                <w:kern w:val="0"/>
                <w:sz w:val="21"/>
                <w:szCs w:val="21"/>
                <w:lang w:val="zh-CN"/>
              </w:rPr>
            </w:pPr>
          </w:p>
        </w:tc>
        <w:tc>
          <w:tcPr>
            <w:tcW w:w="546" w:type="pct"/>
            <w:noWrap w:val="0"/>
            <w:vAlign w:val="center"/>
          </w:tcPr>
          <w:p w14:paraId="17296ABC">
            <w:pPr>
              <w:autoSpaceDE w:val="0"/>
              <w:autoSpaceDN w:val="0"/>
              <w:adjustRightInd w:val="0"/>
              <w:spacing w:line="240" w:lineRule="exact"/>
              <w:ind w:firstLine="0" w:firstLineChars="0"/>
              <w:jc w:val="center"/>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7</w:t>
            </w:r>
          </w:p>
        </w:tc>
      </w:tr>
    </w:tbl>
    <w:p w14:paraId="41A8386B">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470" w:name="_Toc14300"/>
      <w:bookmarkStart w:id="471" w:name="_Toc30902"/>
      <w:bookmarkStart w:id="472" w:name="_Toc26516"/>
      <w:bookmarkStart w:id="473" w:name="_Toc2311"/>
      <w:bookmarkStart w:id="474" w:name="_Toc8121"/>
      <w:bookmarkStart w:id="475" w:name="_Toc23077"/>
      <w:r>
        <w:rPr>
          <w:rFonts w:hint="eastAsia" w:ascii="Times New Roman" w:hAnsi="Times New Roman" w:eastAsia="黑体" w:cs="Times New Roman"/>
          <w:b/>
          <w:color w:val="auto"/>
          <w:kern w:val="2"/>
          <w:sz w:val="28"/>
          <w:szCs w:val="24"/>
          <w:lang w:val="en-US" w:eastAsia="zh-CN" w:bidi="ar-SA"/>
        </w:rPr>
        <w:t>5.5.2 评价单元小结</w:t>
      </w:r>
      <w:bookmarkEnd w:id="470"/>
      <w:bookmarkEnd w:id="471"/>
      <w:bookmarkEnd w:id="472"/>
      <w:bookmarkEnd w:id="473"/>
      <w:bookmarkEnd w:id="474"/>
      <w:bookmarkEnd w:id="475"/>
    </w:p>
    <w:p w14:paraId="1D7001D3">
      <w:pPr>
        <w:bidi w:val="0"/>
        <w:rPr>
          <w:rFonts w:hint="eastAsia"/>
          <w:color w:val="auto"/>
          <w:lang w:eastAsia="zh-CN"/>
        </w:rPr>
      </w:pPr>
      <w:r>
        <w:rPr>
          <w:rFonts w:hint="eastAsia"/>
          <w:color w:val="auto"/>
          <w:lang w:eastAsia="zh-CN"/>
        </w:rPr>
        <w:t>（1）经现场检查，</w:t>
      </w:r>
      <w:r>
        <w:rPr>
          <w:rFonts w:hint="eastAsia"/>
          <w:color w:val="auto"/>
          <w:lang w:val="en-US" w:eastAsia="zh-CN"/>
        </w:rPr>
        <w:t>宜丰新庄铜铅锌矿尾矿库</w:t>
      </w:r>
      <w:r>
        <w:rPr>
          <w:rFonts w:hint="eastAsia"/>
          <w:color w:val="auto"/>
          <w:lang w:eastAsia="zh-CN"/>
        </w:rPr>
        <w:t>周边山体稳定，无滑动、坍塌等影响尾矿库安全情况，不存在违章爆破、采石、取水以及外来尾矿、废石、废水和废弃物排入、放牧和开垦和炸鱼等危害尾矿库安全的活动，尾矿库周边环境、安全状况良好。</w:t>
      </w:r>
    </w:p>
    <w:p w14:paraId="58C7D8DC">
      <w:pPr>
        <w:bidi w:val="0"/>
        <w:rPr>
          <w:rFonts w:hint="eastAsia"/>
          <w:color w:val="auto"/>
          <w:lang w:eastAsia="zh-CN"/>
        </w:rPr>
      </w:pPr>
      <w:r>
        <w:rPr>
          <w:rFonts w:hint="eastAsia"/>
          <w:color w:val="auto"/>
          <w:lang w:eastAsia="zh-CN"/>
        </w:rPr>
        <w:t>（2）经采用安全检查表法评判，宜丰新庄铜铅锌矿尾矿库库区环境单元应得分7分，实际得分7分，得分率为100%，库区环境单元符合安全要求。</w:t>
      </w:r>
    </w:p>
    <w:p w14:paraId="5B464384">
      <w:pPr>
        <w:keepNext/>
        <w:keepLines/>
        <w:widowControl w:val="0"/>
        <w:bidi w:val="0"/>
        <w:spacing w:beforeLines="0" w:beforeAutospacing="0" w:afterLines="0" w:afterAutospacing="0" w:line="360" w:lineRule="auto"/>
        <w:ind w:left="280" w:leftChars="100" w:firstLine="0" w:firstLineChars="0"/>
        <w:jc w:val="both"/>
        <w:outlineLvl w:val="1"/>
        <w:rPr>
          <w:rFonts w:hint="default" w:ascii="Times New Roman" w:hAnsi="Times New Roman" w:eastAsia="黑体" w:cs="Times New Roman"/>
          <w:b/>
          <w:color w:val="auto"/>
          <w:kern w:val="2"/>
          <w:sz w:val="30"/>
          <w:szCs w:val="24"/>
          <w:lang w:val="en-US" w:eastAsia="zh-CN" w:bidi="ar-SA"/>
        </w:rPr>
      </w:pPr>
      <w:bookmarkStart w:id="476" w:name="_Toc12428"/>
      <w:bookmarkStart w:id="477" w:name="_Toc27355"/>
      <w:bookmarkStart w:id="478" w:name="_Toc25175"/>
      <w:bookmarkStart w:id="479" w:name="_Toc30974"/>
      <w:bookmarkStart w:id="480" w:name="_Toc4929"/>
      <w:bookmarkStart w:id="481" w:name="_Toc28165"/>
      <w:r>
        <w:rPr>
          <w:rFonts w:hint="eastAsia" w:ascii="Times New Roman" w:hAnsi="Times New Roman" w:eastAsia="黑体" w:cs="Times New Roman"/>
          <w:b/>
          <w:color w:val="auto"/>
          <w:kern w:val="2"/>
          <w:sz w:val="30"/>
          <w:szCs w:val="24"/>
          <w:lang w:val="en-US" w:eastAsia="zh-CN" w:bidi="ar-SA"/>
        </w:rPr>
        <w:t xml:space="preserve">5.6 </w:t>
      </w:r>
      <w:r>
        <w:rPr>
          <w:rFonts w:hint="default" w:ascii="Times New Roman" w:hAnsi="Times New Roman" w:eastAsia="黑体" w:cs="Times New Roman"/>
          <w:b/>
          <w:color w:val="auto"/>
          <w:kern w:val="2"/>
          <w:sz w:val="30"/>
          <w:szCs w:val="24"/>
          <w:lang w:val="en-US" w:eastAsia="zh-CN" w:bidi="ar-SA"/>
        </w:rPr>
        <w:t>辅助设施单元</w:t>
      </w:r>
      <w:bookmarkEnd w:id="476"/>
      <w:bookmarkEnd w:id="477"/>
      <w:bookmarkEnd w:id="478"/>
      <w:bookmarkEnd w:id="479"/>
      <w:bookmarkEnd w:id="480"/>
      <w:bookmarkEnd w:id="481"/>
    </w:p>
    <w:p w14:paraId="3A0274B3">
      <w:pPr>
        <w:keepNext/>
        <w:keepLines/>
        <w:widowControl w:val="0"/>
        <w:bidi w:val="0"/>
        <w:spacing w:beforeLines="0" w:beforeAutospacing="0" w:afterLines="0" w:afterAutospacing="0" w:line="360" w:lineRule="auto"/>
        <w:ind w:left="560" w:leftChars="200" w:firstLine="0" w:firstLineChars="0"/>
        <w:jc w:val="both"/>
        <w:outlineLvl w:val="2"/>
        <w:rPr>
          <w:rFonts w:hint="default" w:ascii="Times New Roman" w:hAnsi="Times New Roman" w:eastAsia="黑体" w:cs="Times New Roman"/>
          <w:b/>
          <w:color w:val="auto"/>
          <w:kern w:val="2"/>
          <w:sz w:val="28"/>
          <w:szCs w:val="24"/>
          <w:lang w:val="en-US" w:eastAsia="zh-CN" w:bidi="ar-SA"/>
        </w:rPr>
      </w:pPr>
      <w:bookmarkStart w:id="482" w:name="_Toc475"/>
      <w:bookmarkStart w:id="483" w:name="_Toc8815"/>
      <w:bookmarkStart w:id="484" w:name="_Toc5757"/>
      <w:bookmarkStart w:id="485" w:name="_Toc1490"/>
      <w:bookmarkStart w:id="486" w:name="_Toc18475"/>
      <w:bookmarkStart w:id="487" w:name="_Toc3586"/>
      <w:r>
        <w:rPr>
          <w:rFonts w:hint="default" w:ascii="Times New Roman" w:hAnsi="Times New Roman" w:eastAsia="黑体" w:cs="Times New Roman"/>
          <w:b/>
          <w:color w:val="auto"/>
          <w:kern w:val="2"/>
          <w:sz w:val="28"/>
          <w:szCs w:val="24"/>
          <w:lang w:val="en-US" w:eastAsia="zh-CN" w:bidi="ar-SA"/>
        </w:rPr>
        <w:t>5.</w:t>
      </w:r>
      <w:r>
        <w:rPr>
          <w:rFonts w:hint="eastAsia" w:ascii="Times New Roman" w:hAnsi="Times New Roman" w:eastAsia="黑体" w:cs="Times New Roman"/>
          <w:b/>
          <w:color w:val="auto"/>
          <w:kern w:val="2"/>
          <w:sz w:val="28"/>
          <w:szCs w:val="24"/>
          <w:lang w:val="en-US" w:eastAsia="zh-CN" w:bidi="ar-SA"/>
        </w:rPr>
        <w:t>6</w:t>
      </w:r>
      <w:r>
        <w:rPr>
          <w:rFonts w:hint="default" w:ascii="Times New Roman" w:hAnsi="Times New Roman" w:eastAsia="黑体" w:cs="Times New Roman"/>
          <w:b/>
          <w:color w:val="auto"/>
          <w:kern w:val="2"/>
          <w:sz w:val="28"/>
          <w:szCs w:val="24"/>
          <w:lang w:val="en-US" w:eastAsia="zh-CN" w:bidi="ar-SA"/>
        </w:rPr>
        <w:t>.1 安全检查法评价</w:t>
      </w:r>
      <w:bookmarkEnd w:id="482"/>
      <w:bookmarkEnd w:id="483"/>
      <w:bookmarkEnd w:id="484"/>
      <w:bookmarkEnd w:id="485"/>
      <w:bookmarkEnd w:id="486"/>
      <w:bookmarkEnd w:id="487"/>
    </w:p>
    <w:p w14:paraId="3A7BBFF2">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（1）经现场踏勘，目前尾矿库有一上坝道路通往主坝、1#副坝及2#副坝。</w:t>
      </w:r>
    </w:p>
    <w:p w14:paraId="26A22777">
      <w:pPr>
        <w:bidi w:val="0"/>
        <w:rPr>
          <w:rFonts w:hint="default"/>
          <w:color w:val="auto"/>
          <w:lang w:val="en-US" w:eastAsia="zh-CN"/>
        </w:rPr>
      </w:pPr>
      <w:r>
        <w:rPr>
          <w:rFonts w:hint="default"/>
          <w:color w:val="auto"/>
          <w:lang w:val="en-US" w:eastAsia="zh-CN"/>
        </w:rPr>
        <w:t>（2）经现场踏勘，尾矿库的信号较为良好，尾矿管理人员和操作人员已配备手机进行通讯。</w:t>
      </w:r>
    </w:p>
    <w:p w14:paraId="33F746E2">
      <w:pPr>
        <w:bidi w:val="0"/>
        <w:rPr>
          <w:rFonts w:hint="default"/>
          <w:color w:val="auto"/>
          <w:lang w:val="en-US" w:eastAsia="zh-CN"/>
        </w:rPr>
      </w:pPr>
      <w:r>
        <w:rPr>
          <w:rFonts w:hint="eastAsia" w:ascii="Times New Roman" w:eastAsia="宋体"/>
          <w:color w:val="auto"/>
          <w:lang w:val="en-US" w:eastAsia="zh-CN"/>
        </w:rPr>
        <w:t>（3）经现场踏勘，</w:t>
      </w:r>
      <w:r>
        <w:rPr>
          <w:rFonts w:hint="default"/>
          <w:color w:val="auto"/>
          <w:lang w:val="en-US" w:eastAsia="zh-CN"/>
        </w:rPr>
        <w:t>在尾矿库主坝处已设有照明设施。</w:t>
      </w:r>
    </w:p>
    <w:p w14:paraId="0D96ADEE">
      <w:pPr>
        <w:rPr>
          <w:rFonts w:hint="default" w:ascii="Times New Roman" w:hAnsi="Times New Roman" w:eastAsia="宋体" w:cs="Times New Roman"/>
          <w:color w:val="auto"/>
          <w:lang w:val="en-US" w:eastAsia="zh-CN"/>
        </w:rPr>
      </w:pPr>
      <w:r>
        <w:rPr>
          <w:rFonts w:hint="eastAsia" w:ascii="Times New Roman" w:eastAsia="宋体"/>
          <w:color w:val="auto"/>
          <w:lang w:val="en-US" w:eastAsia="zh-CN"/>
        </w:rPr>
        <w:t>（4）经现场踏勘，</w:t>
      </w:r>
      <w:r>
        <w:rPr>
          <w:rFonts w:hint="default" w:ascii="Times New Roman" w:hAnsi="Times New Roman" w:eastAsia="宋体" w:cs="Times New Roman"/>
          <w:color w:val="auto"/>
          <w:lang w:val="en-US" w:eastAsia="zh-CN"/>
        </w:rPr>
        <w:t>在宜丰新庄铜铅锌矿尾矿库、阴坑尾矿库之间山坡上设置了统一的尾矿值班观测室和应急物资库。并安排尾矿工24小时值班，尾矿工采用手机与安环部联系。应急物资库配备了相应数量的编织袋、铁锹、锄头等应急物资。</w:t>
      </w:r>
    </w:p>
    <w:p w14:paraId="357FBC09">
      <w:pPr>
        <w:bidi w:val="0"/>
        <w:rPr>
          <w:rFonts w:hint="default"/>
          <w:color w:val="auto"/>
          <w:lang w:val="en-US" w:eastAsia="zh-CN"/>
        </w:rPr>
      </w:pPr>
      <w:r>
        <w:rPr>
          <w:rFonts w:hint="eastAsia" w:ascii="Times New Roman" w:eastAsia="宋体"/>
          <w:color w:val="auto"/>
          <w:lang w:val="en-US" w:eastAsia="zh-CN"/>
        </w:rPr>
        <w:t>（5）经现场踏勘，</w:t>
      </w:r>
      <w:r>
        <w:rPr>
          <w:rFonts w:hint="eastAsia"/>
          <w:color w:val="auto"/>
          <w:lang w:eastAsia="zh-CN"/>
        </w:rPr>
        <w:t>宜丰新庄铜铅锌矿尾矿库</w:t>
      </w:r>
      <w:r>
        <w:rPr>
          <w:rFonts w:hint="default" w:ascii="Times New Roman" w:hAnsi="Times New Roman" w:eastAsia="宋体" w:cs="Times New Roman"/>
          <w:color w:val="auto"/>
          <w:lang w:val="en-US" w:eastAsia="zh-CN"/>
        </w:rPr>
        <w:t>安全标志</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①在入库口设置</w:t>
      </w:r>
      <w:r>
        <w:rPr>
          <w:rFonts w:hint="eastAsia" w:cs="Times New Roman"/>
          <w:color w:val="auto"/>
          <w:lang w:val="en-US" w:eastAsia="zh-CN"/>
        </w:rPr>
        <w:t>了</w:t>
      </w:r>
      <w:r>
        <w:rPr>
          <w:rFonts w:hint="default" w:ascii="Times New Roman" w:hAnsi="Times New Roman" w:eastAsia="宋体" w:cs="Times New Roman"/>
          <w:color w:val="auto"/>
          <w:lang w:val="en-US" w:eastAsia="zh-CN"/>
        </w:rPr>
        <w:t>醒目、清晰的尾矿库安全运行标识牌，在适当地点树立有安全警示牌；②在尾矿库排水斜槽位置设置</w:t>
      </w:r>
      <w:r>
        <w:rPr>
          <w:rFonts w:hint="eastAsia" w:cs="Times New Roman"/>
          <w:color w:val="auto"/>
          <w:lang w:val="en-US" w:eastAsia="zh-CN"/>
        </w:rPr>
        <w:t>了</w:t>
      </w:r>
      <w:r>
        <w:rPr>
          <w:rFonts w:hint="default" w:ascii="Times New Roman" w:hAnsi="Times New Roman" w:eastAsia="宋体" w:cs="Times New Roman"/>
          <w:color w:val="auto"/>
          <w:lang w:val="en-US" w:eastAsia="zh-CN"/>
        </w:rPr>
        <w:t>醒目、清晰和牢固的水位观测标尺；③运输尾矿入库道路设置</w:t>
      </w:r>
      <w:r>
        <w:rPr>
          <w:rFonts w:hint="eastAsia" w:cs="Times New Roman"/>
          <w:color w:val="auto"/>
          <w:lang w:val="en-US" w:eastAsia="zh-CN"/>
        </w:rPr>
        <w:t>了</w:t>
      </w:r>
      <w:r>
        <w:rPr>
          <w:rFonts w:hint="default" w:ascii="Times New Roman" w:hAnsi="Times New Roman" w:eastAsia="宋体" w:cs="Times New Roman"/>
          <w:color w:val="auto"/>
          <w:lang w:val="en-US" w:eastAsia="zh-CN"/>
        </w:rPr>
        <w:t>清晰的交通标志。</w:t>
      </w:r>
    </w:p>
    <w:p w14:paraId="2029C4E2">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综上所述，</w:t>
      </w:r>
      <w:r>
        <w:rPr>
          <w:rFonts w:hint="eastAsia"/>
          <w:color w:val="auto"/>
          <w:lang w:val="en-US" w:eastAsia="zh-CN"/>
        </w:rPr>
        <w:t>宜丰新庄铜铅锌矿尾矿库</w:t>
      </w:r>
      <w:r>
        <w:rPr>
          <w:rFonts w:hint="default" w:ascii="Times New Roman" w:hAnsi="Times New Roman" w:eastAsia="宋体" w:cs="Times New Roman"/>
          <w:color w:val="auto"/>
          <w:lang w:val="en-US" w:eastAsia="zh-CN"/>
        </w:rPr>
        <w:t>现场管理较为规范，辅助设施符合规程规范规定。</w:t>
      </w:r>
    </w:p>
    <w:p w14:paraId="55733C4A">
      <w:pPr>
        <w:rPr>
          <w:rFonts w:hint="default" w:ascii="Times New Roman" w:hAnsi="Times New Roman" w:eastAsia="宋体" w:cs="Times New Roman"/>
          <w:color w:val="auto"/>
          <w:lang w:val="en-US" w:eastAsia="zh-CN"/>
        </w:rPr>
      </w:pPr>
      <w:r>
        <w:rPr>
          <w:rFonts w:hint="eastAsia"/>
          <w:color w:val="auto"/>
          <w:lang w:eastAsia="zh-CN"/>
        </w:rPr>
        <w:t>江西省宜丰万国矿业有限公司</w:t>
      </w:r>
      <w:r>
        <w:rPr>
          <w:rFonts w:hint="default" w:ascii="Times New Roman" w:hAnsi="Times New Roman" w:eastAsia="宋体" w:cs="Times New Roman"/>
          <w:color w:val="auto"/>
          <w:lang w:val="en-US" w:eastAsia="zh-CN"/>
        </w:rPr>
        <w:t>应加大尾矿库检查道路、安全标志、照明设施以及通讯系统的日常维护管理，确保道路畅通无阻、安全标志显眼醒目、照明设施以及通讯系统正常有效。及时更新各类应急物资，确保数量种类齐全有效。</w:t>
      </w:r>
    </w:p>
    <w:p w14:paraId="4D9794CD">
      <w:pPr>
        <w:keepNext/>
        <w:keepLines/>
        <w:widowControl w:val="0"/>
        <w:bidi w:val="0"/>
        <w:spacing w:beforeLines="0" w:beforeAutospacing="0" w:afterLines="0" w:afterAutospacing="0" w:line="360" w:lineRule="auto"/>
        <w:ind w:left="280" w:leftChars="100" w:firstLine="0" w:firstLineChars="0"/>
        <w:jc w:val="both"/>
        <w:outlineLvl w:val="1"/>
        <w:rPr>
          <w:rFonts w:hint="eastAsia" w:ascii="Times New Roman" w:hAnsi="Times New Roman" w:eastAsia="黑体" w:cs="Times New Roman"/>
          <w:b/>
          <w:color w:val="auto"/>
          <w:kern w:val="2"/>
          <w:sz w:val="30"/>
          <w:szCs w:val="24"/>
          <w:lang w:val="en-US" w:eastAsia="zh-CN" w:bidi="ar-SA"/>
        </w:rPr>
      </w:pPr>
      <w:bookmarkStart w:id="488" w:name="_Toc4745"/>
      <w:bookmarkStart w:id="489" w:name="_Toc10941"/>
      <w:bookmarkStart w:id="490" w:name="_Toc6185"/>
      <w:bookmarkStart w:id="491" w:name="_Toc24038"/>
      <w:bookmarkStart w:id="492" w:name="_Toc25654"/>
      <w:bookmarkStart w:id="493" w:name="_Toc16082"/>
      <w:r>
        <w:rPr>
          <w:rFonts w:hint="eastAsia" w:ascii="Times New Roman" w:hAnsi="Times New Roman" w:eastAsia="黑体" w:cs="Times New Roman"/>
          <w:b/>
          <w:color w:val="auto"/>
          <w:kern w:val="2"/>
          <w:sz w:val="30"/>
          <w:szCs w:val="24"/>
          <w:lang w:val="en-US" w:eastAsia="zh-CN" w:bidi="ar-SA"/>
        </w:rPr>
        <w:t>5.7 综合安全评价</w:t>
      </w:r>
      <w:bookmarkEnd w:id="488"/>
      <w:bookmarkEnd w:id="489"/>
      <w:bookmarkEnd w:id="490"/>
      <w:bookmarkEnd w:id="491"/>
      <w:bookmarkEnd w:id="492"/>
      <w:bookmarkEnd w:id="493"/>
    </w:p>
    <w:p w14:paraId="4674ED53">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494" w:name="_Toc22735"/>
      <w:bookmarkStart w:id="495" w:name="_Toc12679"/>
      <w:bookmarkStart w:id="496" w:name="_Toc28152"/>
      <w:bookmarkStart w:id="497" w:name="_Toc17787"/>
      <w:bookmarkStart w:id="498" w:name="_Toc28045"/>
      <w:bookmarkStart w:id="499" w:name="_Toc25084"/>
      <w:r>
        <w:rPr>
          <w:rFonts w:hint="eastAsia" w:ascii="Times New Roman" w:hAnsi="Times New Roman" w:eastAsia="黑体" w:cs="Times New Roman"/>
          <w:b/>
          <w:color w:val="auto"/>
          <w:kern w:val="2"/>
          <w:sz w:val="28"/>
          <w:szCs w:val="24"/>
          <w:lang w:val="en-US" w:eastAsia="zh-CN" w:bidi="ar-SA"/>
        </w:rPr>
        <w:t>5.7.1 概述</w:t>
      </w:r>
      <w:bookmarkEnd w:id="494"/>
      <w:bookmarkEnd w:id="495"/>
      <w:bookmarkEnd w:id="496"/>
      <w:bookmarkEnd w:id="497"/>
      <w:bookmarkEnd w:id="498"/>
      <w:bookmarkEnd w:id="499"/>
    </w:p>
    <w:p w14:paraId="4BDECF4F">
      <w:pPr>
        <w:bidi w:val="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本节采用安全检查表分析法对尾矿库的综合安全状况进行评价，该检查表对尾矿库系统状况的安全综合情况进行检查，并对各项检查内容赋予了分值，依据尾矿库所得分值，将尾矿库分成四个安全等级，以此来确定尾矿库的安全生产现状。</w:t>
      </w:r>
    </w:p>
    <w:p w14:paraId="55F06D2A">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500" w:name="_Toc3630"/>
      <w:bookmarkStart w:id="501" w:name="_Toc906"/>
      <w:bookmarkStart w:id="502" w:name="_Toc20065"/>
      <w:bookmarkStart w:id="503" w:name="_Toc25469"/>
      <w:bookmarkStart w:id="504" w:name="_Toc32279"/>
      <w:bookmarkStart w:id="505" w:name="_Toc27008"/>
      <w:r>
        <w:rPr>
          <w:rFonts w:hint="eastAsia" w:ascii="Times New Roman" w:hAnsi="Times New Roman" w:eastAsia="黑体" w:cs="Times New Roman"/>
          <w:b/>
          <w:color w:val="auto"/>
          <w:kern w:val="2"/>
          <w:sz w:val="28"/>
          <w:szCs w:val="24"/>
          <w:lang w:val="en-US" w:eastAsia="zh-CN" w:bidi="ar-SA"/>
        </w:rPr>
        <w:t>5.7.2 评价标准说明</w:t>
      </w:r>
      <w:bookmarkEnd w:id="500"/>
      <w:bookmarkEnd w:id="501"/>
      <w:bookmarkEnd w:id="502"/>
      <w:bookmarkEnd w:id="503"/>
      <w:bookmarkEnd w:id="504"/>
      <w:bookmarkEnd w:id="505"/>
    </w:p>
    <w:p w14:paraId="4832B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表5</w:t>
      </w:r>
      <w:r>
        <w:rPr>
          <w:rFonts w:hint="eastAsia" w:cs="Times New Roman"/>
          <w:color w:val="auto"/>
          <w:lang w:val="en-US" w:eastAsia="zh-CN"/>
        </w:rPr>
        <w:t>.7</w:t>
      </w:r>
      <w:r>
        <w:rPr>
          <w:rFonts w:hint="eastAsia" w:ascii="Times New Roman" w:hAnsi="Times New Roman" w:eastAsia="宋体" w:cs="Times New Roman"/>
          <w:color w:val="auto"/>
          <w:lang w:eastAsia="zh-CN"/>
        </w:rPr>
        <w:t>-1</w:t>
      </w:r>
      <w:r>
        <w:rPr>
          <w:rFonts w:hint="eastAsia"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lang w:eastAsia="zh-CN"/>
        </w:rPr>
        <w:t>评价标准说明见表</w:t>
      </w:r>
    </w:p>
    <w:tbl>
      <w:tblPr>
        <w:tblStyle w:val="20"/>
        <w:tblW w:w="5345"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789"/>
        <w:gridCol w:w="6576"/>
        <w:gridCol w:w="2342"/>
      </w:tblGrid>
      <w:tr w14:paraId="66A902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406" w:type="pct"/>
            <w:tcBorders>
              <w:top w:val="single" w:color="000000" w:sz="2" w:space="0"/>
              <w:left w:val="single" w:color="auto" w:sz="4" w:space="0"/>
              <w:bottom w:val="single" w:color="000000" w:sz="2" w:space="0"/>
              <w:right w:val="single" w:color="000000" w:sz="2" w:space="0"/>
            </w:tcBorders>
            <w:noWrap w:val="0"/>
            <w:vAlign w:val="center"/>
          </w:tcPr>
          <w:p w14:paraId="0A02349E">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sz w:val="21"/>
                <w:szCs w:val="21"/>
              </w:rPr>
              <w:br w:type="page"/>
            </w:r>
            <w:r>
              <w:rPr>
                <w:rFonts w:ascii="Times New Roman" w:hAnsi="Times New Roman" w:eastAsia="宋体" w:cs="Times New Roman"/>
                <w:color w:val="auto"/>
                <w:sz w:val="21"/>
                <w:szCs w:val="21"/>
              </w:rPr>
              <w:br w:type="page"/>
            </w:r>
            <w:r>
              <w:rPr>
                <w:rFonts w:ascii="Times New Roman" w:hAnsi="Times New Roman" w:eastAsia="宋体" w:cs="Times New Roman"/>
                <w:color w:val="auto"/>
                <w:sz w:val="21"/>
                <w:szCs w:val="21"/>
              </w:rPr>
              <w:br w:type="page"/>
            </w:r>
            <w:r>
              <w:rPr>
                <w:rFonts w:ascii="Times New Roman" w:hAnsi="Times New Roman" w:eastAsia="宋体" w:cs="Times New Roman"/>
                <w:color w:val="auto"/>
                <w:kern w:val="0"/>
                <w:sz w:val="21"/>
                <w:szCs w:val="21"/>
              </w:rPr>
              <w:t>类型</w:t>
            </w:r>
          </w:p>
        </w:tc>
        <w:tc>
          <w:tcPr>
            <w:tcW w:w="3386" w:type="pct"/>
            <w:tcBorders>
              <w:top w:val="single" w:color="000000" w:sz="2" w:space="0"/>
              <w:left w:val="single" w:color="auto" w:sz="4" w:space="0"/>
              <w:bottom w:val="single" w:color="000000" w:sz="2" w:space="0"/>
              <w:right w:val="single" w:color="000000" w:sz="2" w:space="0"/>
            </w:tcBorders>
            <w:noWrap w:val="0"/>
            <w:vAlign w:val="center"/>
          </w:tcPr>
          <w:p w14:paraId="182CB9C5">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概念</w:t>
            </w:r>
          </w:p>
        </w:tc>
        <w:tc>
          <w:tcPr>
            <w:tcW w:w="1206" w:type="pct"/>
            <w:tcBorders>
              <w:top w:val="single" w:color="000000" w:sz="2" w:space="0"/>
              <w:left w:val="single" w:color="auto" w:sz="4" w:space="0"/>
              <w:bottom w:val="single" w:color="000000" w:sz="2" w:space="0"/>
              <w:right w:val="single" w:color="000000" w:sz="2" w:space="0"/>
            </w:tcBorders>
            <w:noWrap w:val="0"/>
            <w:vAlign w:val="center"/>
          </w:tcPr>
          <w:p w14:paraId="04A4F49F">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条件</w:t>
            </w:r>
          </w:p>
        </w:tc>
      </w:tr>
      <w:tr w14:paraId="7424E5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68" w:hRule="atLeast"/>
          <w:jc w:val="center"/>
        </w:trPr>
        <w:tc>
          <w:tcPr>
            <w:tcW w:w="406" w:type="pct"/>
            <w:tcBorders>
              <w:top w:val="single" w:color="auto" w:sz="4" w:space="0"/>
              <w:left w:val="single" w:color="auto" w:sz="4" w:space="0"/>
              <w:bottom w:val="single" w:color="000000" w:sz="2" w:space="0"/>
              <w:right w:val="single" w:color="000000" w:sz="2" w:space="0"/>
            </w:tcBorders>
            <w:noWrap w:val="0"/>
            <w:vAlign w:val="center"/>
          </w:tcPr>
          <w:p w14:paraId="7D1EF927">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A类库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4D63CEF9">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安全生产条件较好，生产活动有安全保障。</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3D007C47">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得分率在90%以上</w:t>
            </w:r>
          </w:p>
        </w:tc>
      </w:tr>
      <w:tr w14:paraId="6E867E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14" w:hRule="atLeast"/>
          <w:jc w:val="center"/>
        </w:trPr>
        <w:tc>
          <w:tcPr>
            <w:tcW w:w="406" w:type="pct"/>
            <w:tcBorders>
              <w:top w:val="single" w:color="auto" w:sz="4" w:space="0"/>
              <w:left w:val="single" w:color="auto" w:sz="4" w:space="0"/>
              <w:bottom w:val="single" w:color="000000" w:sz="2" w:space="0"/>
              <w:right w:val="single" w:color="000000" w:sz="2" w:space="0"/>
            </w:tcBorders>
            <w:noWrap w:val="0"/>
            <w:vAlign w:val="center"/>
          </w:tcPr>
          <w:p w14:paraId="1E4B948A">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B类库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12B4334D">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安全生产条件一般，能满足基本的安全生产活动。</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237A6B5F">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得分率在76%</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89%之间</w:t>
            </w:r>
          </w:p>
        </w:tc>
      </w:tr>
      <w:tr w14:paraId="7D0015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51"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56415D26">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rPr>
              <w:br w:type="page"/>
            </w:r>
            <w:r>
              <w:rPr>
                <w:rFonts w:ascii="Times New Roman" w:hAnsi="Times New Roman" w:eastAsia="宋体" w:cs="Times New Roman"/>
                <w:color w:val="auto"/>
                <w:kern w:val="0"/>
                <w:sz w:val="21"/>
                <w:szCs w:val="21"/>
              </w:rPr>
              <w:t>C类库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29AE9B75">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安全生产条件较差，不能完全保证安全生产活动，需要限期整改。</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2458950C">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得分率在60%</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75%之间</w:t>
            </w:r>
          </w:p>
        </w:tc>
      </w:tr>
      <w:tr w14:paraId="67E4A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436"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77648067">
            <w:pPr>
              <w:widowControl/>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D类库</w:t>
            </w:r>
          </w:p>
        </w:tc>
        <w:tc>
          <w:tcPr>
            <w:tcW w:w="3386" w:type="pct"/>
            <w:tcBorders>
              <w:top w:val="single" w:color="auto" w:sz="4" w:space="0"/>
              <w:left w:val="single" w:color="auto" w:sz="4" w:space="0"/>
              <w:bottom w:val="single" w:color="auto" w:sz="4" w:space="0"/>
              <w:right w:val="single" w:color="000000" w:sz="2" w:space="0"/>
            </w:tcBorders>
            <w:noWrap w:val="0"/>
            <w:vAlign w:val="center"/>
          </w:tcPr>
          <w:p w14:paraId="6DC41428">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不具备基本的安全生产条件，或未通过验收，需要责令停产整顿的尾矿库。</w:t>
            </w:r>
          </w:p>
        </w:tc>
        <w:tc>
          <w:tcPr>
            <w:tcW w:w="1206" w:type="pct"/>
            <w:tcBorders>
              <w:top w:val="single" w:color="auto" w:sz="4" w:space="0"/>
              <w:left w:val="single" w:color="auto" w:sz="4" w:space="0"/>
              <w:bottom w:val="single" w:color="auto" w:sz="4" w:space="0"/>
              <w:right w:val="single" w:color="000000" w:sz="2" w:space="0"/>
            </w:tcBorders>
            <w:noWrap w:val="0"/>
            <w:vAlign w:val="center"/>
          </w:tcPr>
          <w:p w14:paraId="76F1A267">
            <w:pPr>
              <w:widowControl/>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得分率在60%以下</w:t>
            </w:r>
          </w:p>
        </w:tc>
      </w:tr>
      <w:tr w14:paraId="2BB90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534"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06758AFF">
            <w:pPr>
              <w:spacing w:line="30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备注</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732094EE">
            <w:pPr>
              <w:spacing w:line="300" w:lineRule="exact"/>
              <w:ind w:firstLine="0" w:firstLineChars="0"/>
              <w:jc w:val="left"/>
              <w:rPr>
                <w:rFonts w:hint="eastAsia"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1</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表中带 “*” 号的项目为否决项：达不到“**”项目要求的，归为D类库；达不到“*” 号项目要求的，归为C类库。</w:t>
            </w:r>
          </w:p>
          <w:p w14:paraId="6311B30C">
            <w:pPr>
              <w:spacing w:line="300" w:lineRule="exact"/>
              <w:ind w:firstLine="0" w:firstLineChars="0"/>
              <w:jc w:val="left"/>
              <w:rPr>
                <w:rFonts w:hint="eastAsia"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2</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本表评价内容，采用百分制。</w:t>
            </w:r>
          </w:p>
          <w:p w14:paraId="120FD714">
            <w:pPr>
              <w:spacing w:line="300" w:lineRule="exact"/>
              <w:ind w:firstLine="0" w:firstLineChars="0"/>
              <w:jc w:val="left"/>
              <w:rPr>
                <w:rFonts w:hint="eastAsia"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3</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尾矿库分类，采用得分率。因尾矿库型式不同，没有涉及的项目，可不予评估，总分为实际评价项目的分值总和。最后得分采用得分率，即：实际评价得分÷实际评价项目的分值总和×100%</w:t>
            </w:r>
            <w:r>
              <w:rPr>
                <w:rFonts w:hint="eastAsia" w:ascii="Times New Roman" w:hAnsi="Times New Roman" w:eastAsia="宋体" w:cs="Times New Roman"/>
                <w:color w:val="auto"/>
                <w:kern w:val="0"/>
                <w:sz w:val="21"/>
                <w:szCs w:val="21"/>
              </w:rPr>
              <w:t>.</w:t>
            </w:r>
          </w:p>
          <w:p w14:paraId="2CF2057A">
            <w:pPr>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4</w:t>
            </w:r>
            <w:r>
              <w:rPr>
                <w:rFonts w:hint="eastAsia" w:ascii="Times New Roman" w:hAnsi="Times New Roman" w:eastAsia="宋体" w:cs="Times New Roman"/>
                <w:color w:val="auto"/>
                <w:kern w:val="0"/>
                <w:sz w:val="21"/>
                <w:szCs w:val="21"/>
              </w:rPr>
              <w:t>.</w:t>
            </w:r>
            <w:r>
              <w:rPr>
                <w:rFonts w:ascii="Times New Roman" w:hAnsi="Times New Roman" w:eastAsia="宋体" w:cs="Times New Roman"/>
                <w:color w:val="auto"/>
                <w:kern w:val="0"/>
                <w:sz w:val="21"/>
                <w:szCs w:val="21"/>
              </w:rPr>
              <w:t>评价方法及扣分尺度，评价人员根据实际情况具体掌握。</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18944CC5">
            <w:pPr>
              <w:spacing w:line="30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标准分120分</w:t>
            </w:r>
          </w:p>
        </w:tc>
      </w:tr>
    </w:tbl>
    <w:p w14:paraId="3021834B">
      <w:pPr>
        <w:keepNext/>
        <w:keepLines/>
        <w:widowControl w:val="0"/>
        <w:bidi w:val="0"/>
        <w:spacing w:beforeLines="0" w:beforeAutospacing="0" w:afterLines="0" w:afterAutospacing="0" w:line="360" w:lineRule="auto"/>
        <w:ind w:left="560" w:leftChars="200" w:firstLine="281" w:firstLineChars="100"/>
        <w:jc w:val="both"/>
        <w:outlineLvl w:val="2"/>
        <w:rPr>
          <w:rFonts w:hint="eastAsia" w:ascii="Times New Roman" w:hAnsi="Times New Roman" w:eastAsia="黑体" w:cs="Times New Roman"/>
          <w:b/>
          <w:color w:val="auto"/>
          <w:kern w:val="2"/>
          <w:sz w:val="28"/>
          <w:szCs w:val="24"/>
          <w:lang w:val="en-US" w:eastAsia="zh-CN" w:bidi="ar-SA"/>
        </w:rPr>
      </w:pPr>
      <w:bookmarkStart w:id="506" w:name="_Toc21933"/>
      <w:bookmarkStart w:id="507" w:name="_Toc3271"/>
      <w:bookmarkStart w:id="508" w:name="_Toc7986"/>
      <w:bookmarkStart w:id="509" w:name="_Toc19798"/>
      <w:bookmarkStart w:id="510" w:name="_Toc12899"/>
      <w:bookmarkStart w:id="511" w:name="_Toc7277"/>
      <w:r>
        <w:rPr>
          <w:rFonts w:hint="eastAsia" w:ascii="Times New Roman" w:hAnsi="Times New Roman" w:eastAsia="黑体" w:cs="Times New Roman"/>
          <w:b/>
          <w:color w:val="auto"/>
          <w:kern w:val="2"/>
          <w:sz w:val="28"/>
          <w:szCs w:val="24"/>
          <w:lang w:val="en-US" w:eastAsia="zh-CN" w:bidi="ar-SA"/>
        </w:rPr>
        <w:t>5.7.3 尾矿库综合评分表</w:t>
      </w:r>
      <w:bookmarkEnd w:id="506"/>
      <w:bookmarkEnd w:id="507"/>
      <w:bookmarkEnd w:id="508"/>
      <w:bookmarkEnd w:id="509"/>
      <w:bookmarkEnd w:id="510"/>
      <w:bookmarkEnd w:id="511"/>
    </w:p>
    <w:p w14:paraId="5E026C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表5</w:t>
      </w:r>
      <w:r>
        <w:rPr>
          <w:rFonts w:hint="eastAsia" w:cs="Times New Roman"/>
          <w:color w:val="auto"/>
          <w:lang w:val="en-US" w:eastAsia="zh-CN"/>
        </w:rPr>
        <w:t>.7</w:t>
      </w:r>
      <w:r>
        <w:rPr>
          <w:rFonts w:hint="eastAsia" w:ascii="Times New Roman" w:hAnsi="Times New Roman" w:eastAsia="宋体" w:cs="Times New Roman"/>
          <w:color w:val="auto"/>
          <w:lang w:eastAsia="zh-CN"/>
        </w:rPr>
        <w:t>-</w:t>
      </w:r>
      <w:r>
        <w:rPr>
          <w:rFonts w:hint="eastAsia" w:cs="Times New Roman"/>
          <w:color w:val="auto"/>
          <w:lang w:val="en-US" w:eastAsia="zh-CN"/>
        </w:rPr>
        <w:t>2</w:t>
      </w:r>
      <w:r>
        <w:rPr>
          <w:rFonts w:hint="eastAsia"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lang w:eastAsia="zh-CN"/>
        </w:rPr>
        <w:t>尾矿库综合评分表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3420"/>
        <w:gridCol w:w="1620"/>
        <w:gridCol w:w="1620"/>
        <w:gridCol w:w="1620"/>
      </w:tblGrid>
      <w:tr w14:paraId="78712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11AA14C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841" w:type="pct"/>
            <w:noWrap w:val="0"/>
            <w:vAlign w:val="center"/>
          </w:tcPr>
          <w:p w14:paraId="4CE541F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评价项目</w:t>
            </w:r>
          </w:p>
        </w:tc>
        <w:tc>
          <w:tcPr>
            <w:tcW w:w="872" w:type="pct"/>
            <w:noWrap w:val="0"/>
            <w:vAlign w:val="center"/>
          </w:tcPr>
          <w:p w14:paraId="50501E6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应得分</w:t>
            </w:r>
          </w:p>
        </w:tc>
        <w:tc>
          <w:tcPr>
            <w:tcW w:w="872" w:type="pct"/>
            <w:noWrap w:val="0"/>
            <w:vAlign w:val="center"/>
          </w:tcPr>
          <w:p w14:paraId="352C009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实得分</w:t>
            </w:r>
          </w:p>
        </w:tc>
        <w:tc>
          <w:tcPr>
            <w:tcW w:w="872" w:type="pct"/>
            <w:noWrap w:val="0"/>
            <w:vAlign w:val="center"/>
          </w:tcPr>
          <w:p w14:paraId="4B0BCA2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得分率</w:t>
            </w:r>
            <w:r>
              <w:rPr>
                <w:rFonts w:hint="eastAsia" w:ascii="Times New Roman" w:hAnsi="Times New Roman" w:eastAsia="宋体" w:cs="Times New Roman"/>
                <w:color w:val="auto"/>
                <w:sz w:val="21"/>
                <w:szCs w:val="21"/>
              </w:rPr>
              <w:t>（%）</w:t>
            </w:r>
          </w:p>
        </w:tc>
      </w:tr>
      <w:tr w14:paraId="1069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63A4F05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841" w:type="pct"/>
            <w:noWrap w:val="0"/>
            <w:vAlign w:val="center"/>
          </w:tcPr>
          <w:p w14:paraId="27EA1C5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综合安全管理单元</w:t>
            </w:r>
          </w:p>
        </w:tc>
        <w:tc>
          <w:tcPr>
            <w:tcW w:w="872" w:type="pct"/>
            <w:noWrap w:val="0"/>
            <w:vAlign w:val="center"/>
          </w:tcPr>
          <w:p w14:paraId="4F98723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51</w:t>
            </w:r>
          </w:p>
        </w:tc>
        <w:tc>
          <w:tcPr>
            <w:tcW w:w="872" w:type="pct"/>
            <w:noWrap w:val="0"/>
            <w:vAlign w:val="center"/>
          </w:tcPr>
          <w:p w14:paraId="405A498C">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4</w:t>
            </w:r>
            <w:r>
              <w:rPr>
                <w:rFonts w:hint="eastAsia" w:cs="Times New Roman"/>
                <w:color w:val="auto"/>
                <w:sz w:val="21"/>
                <w:szCs w:val="21"/>
                <w:lang w:val="en-US" w:eastAsia="zh-CN"/>
              </w:rPr>
              <w:t>3</w:t>
            </w:r>
          </w:p>
        </w:tc>
        <w:tc>
          <w:tcPr>
            <w:tcW w:w="872" w:type="pct"/>
            <w:noWrap w:val="0"/>
            <w:vAlign w:val="center"/>
          </w:tcPr>
          <w:p w14:paraId="2654D0B5">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84.31</w:t>
            </w:r>
          </w:p>
        </w:tc>
      </w:tr>
      <w:tr w14:paraId="7524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594E563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1841" w:type="pct"/>
            <w:noWrap w:val="0"/>
            <w:vAlign w:val="center"/>
          </w:tcPr>
          <w:p w14:paraId="5BB7055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尾矿坝体单元</w:t>
            </w:r>
          </w:p>
        </w:tc>
        <w:tc>
          <w:tcPr>
            <w:tcW w:w="1620" w:type="dxa"/>
            <w:noWrap w:val="0"/>
            <w:vAlign w:val="center"/>
          </w:tcPr>
          <w:p w14:paraId="0B55D91F">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1620" w:type="dxa"/>
            <w:noWrap w:val="0"/>
            <w:vAlign w:val="center"/>
          </w:tcPr>
          <w:p w14:paraId="2D201BCB">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56</w:t>
            </w:r>
          </w:p>
        </w:tc>
        <w:tc>
          <w:tcPr>
            <w:tcW w:w="1620" w:type="dxa"/>
            <w:noWrap w:val="0"/>
            <w:vAlign w:val="center"/>
          </w:tcPr>
          <w:p w14:paraId="276BC005">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93.33</w:t>
            </w:r>
          </w:p>
        </w:tc>
      </w:tr>
      <w:tr w14:paraId="45EFC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43A04BF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1841" w:type="pct"/>
            <w:noWrap w:val="0"/>
            <w:vAlign w:val="center"/>
          </w:tcPr>
          <w:p w14:paraId="780B841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防排洪系统单元</w:t>
            </w:r>
          </w:p>
        </w:tc>
        <w:tc>
          <w:tcPr>
            <w:tcW w:w="1620" w:type="dxa"/>
            <w:noWrap w:val="0"/>
            <w:vAlign w:val="center"/>
          </w:tcPr>
          <w:p w14:paraId="32153CB6">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w:t>
            </w:r>
          </w:p>
        </w:tc>
        <w:tc>
          <w:tcPr>
            <w:tcW w:w="1620" w:type="dxa"/>
            <w:noWrap w:val="0"/>
            <w:vAlign w:val="center"/>
          </w:tcPr>
          <w:p w14:paraId="14FB1225">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36</w:t>
            </w:r>
          </w:p>
        </w:tc>
        <w:tc>
          <w:tcPr>
            <w:tcW w:w="1620" w:type="dxa"/>
            <w:noWrap w:val="0"/>
            <w:vAlign w:val="center"/>
          </w:tcPr>
          <w:p w14:paraId="5471E950">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87.80</w:t>
            </w:r>
          </w:p>
        </w:tc>
      </w:tr>
      <w:tr w14:paraId="037A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5094FA3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1841" w:type="pct"/>
            <w:noWrap w:val="0"/>
            <w:vAlign w:val="center"/>
          </w:tcPr>
          <w:p w14:paraId="27E9457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库区环境单元</w:t>
            </w:r>
          </w:p>
        </w:tc>
        <w:tc>
          <w:tcPr>
            <w:tcW w:w="1620" w:type="dxa"/>
            <w:noWrap w:val="0"/>
            <w:vAlign w:val="center"/>
          </w:tcPr>
          <w:p w14:paraId="1E0572E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1620" w:type="dxa"/>
            <w:noWrap w:val="0"/>
            <w:vAlign w:val="center"/>
          </w:tcPr>
          <w:p w14:paraId="70732FA0">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7</w:t>
            </w:r>
          </w:p>
        </w:tc>
        <w:tc>
          <w:tcPr>
            <w:tcW w:w="1620" w:type="dxa"/>
            <w:noWrap w:val="0"/>
            <w:vAlign w:val="center"/>
          </w:tcPr>
          <w:p w14:paraId="1CF023AA">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r>
      <w:tr w14:paraId="22CD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3" w:type="pct"/>
            <w:noWrap w:val="0"/>
            <w:vAlign w:val="center"/>
          </w:tcPr>
          <w:p w14:paraId="1F4E33D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合计</w:t>
            </w:r>
          </w:p>
        </w:tc>
        <w:tc>
          <w:tcPr>
            <w:tcW w:w="1841" w:type="pct"/>
            <w:noWrap w:val="0"/>
            <w:vAlign w:val="center"/>
          </w:tcPr>
          <w:p w14:paraId="614EAD84">
            <w:pPr>
              <w:spacing w:line="300" w:lineRule="exact"/>
              <w:ind w:firstLine="0" w:firstLineChars="0"/>
              <w:jc w:val="center"/>
              <w:rPr>
                <w:rFonts w:ascii="Times New Roman" w:hAnsi="Times New Roman" w:eastAsia="宋体" w:cs="Times New Roman"/>
                <w:color w:val="auto"/>
                <w:sz w:val="21"/>
                <w:szCs w:val="21"/>
              </w:rPr>
            </w:pPr>
          </w:p>
        </w:tc>
        <w:tc>
          <w:tcPr>
            <w:tcW w:w="872" w:type="pct"/>
            <w:noWrap w:val="0"/>
            <w:vAlign w:val="center"/>
          </w:tcPr>
          <w:p w14:paraId="3F7E3D62">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159</w:t>
            </w:r>
          </w:p>
        </w:tc>
        <w:tc>
          <w:tcPr>
            <w:tcW w:w="872" w:type="pct"/>
            <w:noWrap w:val="0"/>
            <w:vAlign w:val="center"/>
          </w:tcPr>
          <w:p w14:paraId="61B6426A">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142</w:t>
            </w:r>
          </w:p>
        </w:tc>
        <w:tc>
          <w:tcPr>
            <w:tcW w:w="872" w:type="pct"/>
            <w:noWrap w:val="0"/>
            <w:vAlign w:val="center"/>
          </w:tcPr>
          <w:p w14:paraId="6AE370E8">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89.31</w:t>
            </w:r>
          </w:p>
        </w:tc>
      </w:tr>
    </w:tbl>
    <w:p w14:paraId="0B41362E">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512" w:name="_Toc13953"/>
      <w:bookmarkStart w:id="513" w:name="_Toc6262"/>
      <w:bookmarkStart w:id="514" w:name="_Toc10631"/>
      <w:bookmarkStart w:id="515" w:name="_Toc20027"/>
      <w:bookmarkStart w:id="516" w:name="_Toc30263"/>
      <w:bookmarkStart w:id="517" w:name="_Toc26440"/>
      <w:r>
        <w:rPr>
          <w:rFonts w:hint="eastAsia" w:ascii="Times New Roman" w:hAnsi="Times New Roman" w:eastAsia="黑体" w:cs="Times New Roman"/>
          <w:b/>
          <w:color w:val="auto"/>
          <w:kern w:val="2"/>
          <w:sz w:val="28"/>
          <w:szCs w:val="24"/>
          <w:lang w:val="en-US" w:eastAsia="zh-CN" w:bidi="ar-SA"/>
        </w:rPr>
        <w:t>5.7.4 评价结论</w:t>
      </w:r>
      <w:bookmarkEnd w:id="512"/>
      <w:bookmarkEnd w:id="513"/>
      <w:bookmarkEnd w:id="514"/>
      <w:bookmarkEnd w:id="515"/>
      <w:bookmarkEnd w:id="516"/>
      <w:bookmarkEnd w:id="517"/>
    </w:p>
    <w:p w14:paraId="5CE88949">
      <w:pPr>
        <w:rPr>
          <w:rFonts w:hint="eastAsia" w:ascii="Times New Roman" w:hAnsi="Times New Roman" w:eastAsia="宋体" w:cs="Times New Roman"/>
          <w:b w:val="0"/>
          <w:bCs w:val="0"/>
          <w:color w:val="auto"/>
          <w:lang w:eastAsia="zh-CN"/>
        </w:rPr>
      </w:pPr>
      <w:r>
        <w:rPr>
          <w:rFonts w:hint="eastAsia"/>
          <w:b w:val="0"/>
          <w:bCs w:val="0"/>
          <w:color w:val="auto"/>
          <w:lang w:val="en-US" w:eastAsia="zh-CN"/>
        </w:rPr>
        <w:t>宜丰新庄铜铅锌矿尾矿库</w:t>
      </w:r>
      <w:r>
        <w:rPr>
          <w:rFonts w:hint="eastAsia" w:ascii="Times New Roman" w:hAnsi="Times New Roman" w:eastAsia="宋体" w:cs="Times New Roman"/>
          <w:b w:val="0"/>
          <w:bCs w:val="0"/>
          <w:color w:val="auto"/>
          <w:lang w:eastAsia="zh-CN"/>
        </w:rPr>
        <w:t>用安全检查表法评价得分率为</w:t>
      </w:r>
      <w:r>
        <w:rPr>
          <w:rFonts w:hint="eastAsia" w:cs="Times New Roman"/>
          <w:b w:val="0"/>
          <w:bCs w:val="0"/>
          <w:color w:val="auto"/>
          <w:lang w:val="en-US" w:eastAsia="zh-CN"/>
        </w:rPr>
        <w:t>89.31</w:t>
      </w:r>
      <w:r>
        <w:rPr>
          <w:rFonts w:hint="eastAsia" w:ascii="Times New Roman" w:hAnsi="Times New Roman" w:eastAsia="宋体" w:cs="Times New Roman"/>
          <w:b w:val="0"/>
          <w:bCs w:val="0"/>
          <w:color w:val="auto"/>
          <w:lang w:eastAsia="zh-CN"/>
        </w:rPr>
        <w:t>%，安全生产条件一般，能满足基本的安全生产活动，为正常库。</w:t>
      </w:r>
    </w:p>
    <w:p w14:paraId="5B0906F9">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br w:type="page"/>
      </w:r>
    </w:p>
    <w:p w14:paraId="15A1EE5A">
      <w:pPr>
        <w:pStyle w:val="2"/>
        <w:numPr>
          <w:ilvl w:val="0"/>
          <w:numId w:val="5"/>
        </w:numPr>
        <w:bidi w:val="0"/>
        <w:ind w:left="0" w:leftChars="0" w:firstLine="0" w:firstLineChars="0"/>
        <w:rPr>
          <w:rFonts w:hint="default"/>
          <w:color w:val="auto"/>
          <w:lang w:val="en-US" w:eastAsia="zh-CN"/>
        </w:rPr>
      </w:pPr>
      <w:bookmarkStart w:id="518" w:name="_Toc24273"/>
      <w:bookmarkStart w:id="519" w:name="_Toc8295"/>
      <w:bookmarkStart w:id="520" w:name="_Toc1739"/>
      <w:bookmarkStart w:id="521" w:name="_Toc11665"/>
      <w:bookmarkStart w:id="522" w:name="_Toc22398"/>
      <w:r>
        <w:rPr>
          <w:rFonts w:hint="default"/>
          <w:color w:val="auto"/>
          <w:lang w:val="en-US" w:eastAsia="zh-CN"/>
        </w:rPr>
        <w:t>安全对策措施建议</w:t>
      </w:r>
      <w:bookmarkEnd w:id="518"/>
      <w:bookmarkEnd w:id="519"/>
      <w:bookmarkEnd w:id="520"/>
      <w:bookmarkEnd w:id="521"/>
      <w:bookmarkEnd w:id="522"/>
    </w:p>
    <w:p w14:paraId="7F058A7C">
      <w:pPr>
        <w:pStyle w:val="3"/>
        <w:bidi w:val="0"/>
        <w:rPr>
          <w:rFonts w:hint="default"/>
          <w:color w:val="auto"/>
          <w:lang w:val="en-US" w:eastAsia="zh-CN"/>
        </w:rPr>
      </w:pPr>
      <w:bookmarkStart w:id="523" w:name="_Toc13077"/>
      <w:bookmarkStart w:id="524" w:name="_Toc3717"/>
      <w:bookmarkStart w:id="525" w:name="_Toc16596"/>
      <w:bookmarkStart w:id="526" w:name="_Toc25609"/>
      <w:bookmarkStart w:id="527" w:name="_Toc16060"/>
      <w:r>
        <w:rPr>
          <w:rFonts w:hint="default"/>
          <w:color w:val="auto"/>
          <w:lang w:val="en-US" w:eastAsia="zh-CN"/>
        </w:rPr>
        <w:t>6.1</w:t>
      </w:r>
      <w:r>
        <w:rPr>
          <w:rFonts w:hint="eastAsia"/>
          <w:color w:val="auto"/>
          <w:lang w:val="en-US" w:eastAsia="zh-CN"/>
        </w:rPr>
        <w:t xml:space="preserve"> </w:t>
      </w:r>
      <w:r>
        <w:rPr>
          <w:rFonts w:hint="default"/>
          <w:color w:val="auto"/>
          <w:lang w:val="en-US" w:eastAsia="zh-CN"/>
        </w:rPr>
        <w:t>安全管理对策措施建议</w:t>
      </w:r>
      <w:bookmarkEnd w:id="523"/>
      <w:bookmarkEnd w:id="524"/>
      <w:bookmarkEnd w:id="525"/>
      <w:bookmarkEnd w:id="526"/>
      <w:bookmarkEnd w:id="527"/>
    </w:p>
    <w:p w14:paraId="3E8F9E94">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 根据尾矿库现状，制定切实可行的各种尾矿库事故应急预案，并及时对预案进行演练、进行分析、记录，不断完善，使具有针对性、有效性和及时性。</w:t>
      </w:r>
    </w:p>
    <w:p w14:paraId="3DE01962">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 当尾矿库遇到严重影响安全运行的情况、发生比较严重的破坏现象或出现其他危险迹象时，应进行库区全面特别检查，必要时应组织专人对可能出现险情的部位进行连续监视。</w:t>
      </w:r>
    </w:p>
    <w:p w14:paraId="4A3DA2A9">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 重视和加强尾矿库的建设和管理资料的归档和保管工作。</w:t>
      </w:r>
    </w:p>
    <w:p w14:paraId="6EB10ED4">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 全面推行、持续改进尾矿库安全生产标准化体系建设工作，深化隐患排查治理体系、风险管控体系建设和全面推进班组建设。</w:t>
      </w:r>
    </w:p>
    <w:p w14:paraId="3C97311B">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 严格按照《尾矿库安全规程》、《尾矿库安全监督管理规定》和设计文件的要求，做好尾矿库堆放、排水、防汛、抗震等安全生产管理。</w:t>
      </w:r>
    </w:p>
    <w:p w14:paraId="0E0F1C49">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 定期修订尾矿库应急救援预案，每年至少组织一次应急演练。</w:t>
      </w:r>
    </w:p>
    <w:p w14:paraId="1A057F1D">
      <w:pPr>
        <w:rPr>
          <w:rFonts w:hint="default" w:ascii="Times New Roman" w:hAnsi="Times New Roman" w:eastAsia="宋体" w:cs="Times New Roman"/>
          <w:color w:val="auto"/>
          <w:lang w:val="en-US" w:eastAsia="zh-CN"/>
        </w:rPr>
      </w:pPr>
      <w:r>
        <w:rPr>
          <w:rFonts w:hint="eastAsia" w:cs="Times New Roman"/>
          <w:color w:val="auto"/>
          <w:lang w:val="en-US" w:eastAsia="zh-CN"/>
        </w:rPr>
        <w:t>7. 完善</w:t>
      </w:r>
      <w:r>
        <w:rPr>
          <w:rFonts w:hint="default" w:ascii="Times New Roman" w:hAnsi="Times New Roman" w:eastAsia="宋体" w:cs="Times New Roman"/>
          <w:color w:val="auto"/>
          <w:lang w:val="en-US" w:eastAsia="zh-CN"/>
        </w:rPr>
        <w:t>各项安全生产管理规章制度</w:t>
      </w:r>
      <w:r>
        <w:rPr>
          <w:rFonts w:hint="eastAsia" w:cs="Times New Roman"/>
          <w:color w:val="auto"/>
          <w:lang w:val="en-US" w:eastAsia="zh-CN"/>
        </w:rPr>
        <w:t>，如</w:t>
      </w:r>
      <w:r>
        <w:rPr>
          <w:rFonts w:hint="default" w:ascii="Times New Roman" w:hAnsi="Times New Roman" w:eastAsia="宋体" w:cs="Times New Roman"/>
          <w:color w:val="auto"/>
          <w:lang w:val="en-US" w:eastAsia="zh-CN"/>
        </w:rPr>
        <w:t>特殊状况安全检查制度</w:t>
      </w:r>
      <w:r>
        <w:rPr>
          <w:rFonts w:hint="eastAsia" w:cs="Times New Roman"/>
          <w:color w:val="auto"/>
          <w:lang w:val="en-US" w:eastAsia="zh-CN"/>
        </w:rPr>
        <w:t>、</w:t>
      </w:r>
      <w:r>
        <w:rPr>
          <w:rFonts w:hint="default" w:ascii="Times New Roman" w:hAnsi="Times New Roman" w:eastAsia="宋体" w:cs="Times New Roman"/>
          <w:color w:val="auto"/>
          <w:lang w:val="en-US" w:eastAsia="zh-CN"/>
        </w:rPr>
        <w:t>安全评价制度</w:t>
      </w:r>
      <w:r>
        <w:rPr>
          <w:rFonts w:hint="eastAsia" w:cs="Times New Roman"/>
          <w:color w:val="auto"/>
          <w:lang w:val="en-US" w:eastAsia="zh-CN"/>
        </w:rPr>
        <w:t>、</w:t>
      </w:r>
      <w:r>
        <w:rPr>
          <w:rFonts w:hint="default" w:ascii="Times New Roman" w:hAnsi="Times New Roman" w:eastAsia="宋体" w:cs="Times New Roman"/>
          <w:color w:val="auto"/>
          <w:lang w:val="en-US" w:eastAsia="zh-CN"/>
        </w:rPr>
        <w:t>尾矿库事故管理制度</w:t>
      </w:r>
      <w:r>
        <w:rPr>
          <w:rFonts w:hint="eastAsia" w:cs="Times New Roman"/>
          <w:color w:val="auto"/>
          <w:lang w:val="en-US" w:eastAsia="zh-CN"/>
        </w:rPr>
        <w:t>、</w:t>
      </w:r>
      <w:r>
        <w:rPr>
          <w:rFonts w:hint="default" w:ascii="Times New Roman" w:hAnsi="Times New Roman" w:eastAsia="宋体" w:cs="Times New Roman"/>
          <w:color w:val="auto"/>
          <w:lang w:val="en-US" w:eastAsia="zh-CN"/>
        </w:rPr>
        <w:t>监控监测</w:t>
      </w:r>
      <w:r>
        <w:rPr>
          <w:rFonts w:hint="eastAsia" w:cs="Times New Roman"/>
          <w:color w:val="auto"/>
          <w:lang w:val="en-US" w:eastAsia="zh-CN"/>
        </w:rPr>
        <w:t>等</w:t>
      </w:r>
      <w:r>
        <w:rPr>
          <w:rFonts w:hint="default" w:ascii="Times New Roman" w:hAnsi="Times New Roman" w:eastAsia="宋体" w:cs="Times New Roman"/>
          <w:color w:val="auto"/>
          <w:lang w:val="en-US" w:eastAsia="zh-CN"/>
        </w:rPr>
        <w:t>制度。</w:t>
      </w:r>
    </w:p>
    <w:p w14:paraId="434D9DE2">
      <w:pPr>
        <w:pStyle w:val="3"/>
        <w:bidi w:val="0"/>
        <w:rPr>
          <w:rFonts w:hint="default"/>
          <w:color w:val="auto"/>
          <w:lang w:val="en-US" w:eastAsia="zh-CN"/>
        </w:rPr>
      </w:pPr>
      <w:bookmarkStart w:id="528" w:name="_Toc24353"/>
      <w:bookmarkStart w:id="529" w:name="_Toc10356"/>
      <w:bookmarkStart w:id="530" w:name="_Toc28849"/>
      <w:bookmarkStart w:id="531" w:name="_Toc28413"/>
      <w:r>
        <w:rPr>
          <w:rFonts w:hint="default"/>
          <w:color w:val="auto"/>
          <w:lang w:val="en-US" w:eastAsia="zh-CN"/>
        </w:rPr>
        <w:t>6.2</w:t>
      </w:r>
      <w:r>
        <w:rPr>
          <w:rFonts w:hint="eastAsia"/>
          <w:color w:val="auto"/>
          <w:lang w:val="en-US" w:eastAsia="zh-CN"/>
        </w:rPr>
        <w:t xml:space="preserve"> </w:t>
      </w:r>
      <w:r>
        <w:rPr>
          <w:rFonts w:hint="default"/>
          <w:color w:val="auto"/>
          <w:lang w:val="en-US" w:eastAsia="zh-CN"/>
        </w:rPr>
        <w:t>安全技术对策措施建议</w:t>
      </w:r>
      <w:bookmarkEnd w:id="528"/>
      <w:bookmarkEnd w:id="529"/>
      <w:bookmarkEnd w:id="530"/>
      <w:bookmarkEnd w:id="531"/>
    </w:p>
    <w:p w14:paraId="7C2A4B1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 按设计要求落实好放矿筑坝工作，应做好：</w:t>
      </w:r>
    </w:p>
    <w:p w14:paraId="089EB1DC">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w:t>
      </w:r>
      <w:r>
        <w:rPr>
          <w:rFonts w:hint="default" w:ascii="Times New Roman" w:hAnsi="Times New Roman" w:eastAsia="宋体" w:cs="Times New Roman"/>
          <w:color w:val="auto"/>
          <w:lang w:val="en-US" w:eastAsia="zh-CN"/>
        </w:rPr>
        <w:t>）尾矿滤饼运输、倾倒、摊铺、碾压及堆积子坝修整过程中，应加强施工机械和作业现场安全管理，杜绝车辆伤害事故发生。</w:t>
      </w:r>
    </w:p>
    <w:p w14:paraId="66F2F7FD">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2</w:t>
      </w:r>
      <w:r>
        <w:rPr>
          <w:rFonts w:hint="default" w:ascii="Times New Roman" w:hAnsi="Times New Roman" w:eastAsia="宋体" w:cs="Times New Roman"/>
          <w:color w:val="auto"/>
          <w:lang w:val="en-US" w:eastAsia="zh-CN"/>
        </w:rPr>
        <w:t>）入库尾矿应及时碾压，未经碾压的尾矿应采用塑料薄膜对暴露尾砂面进行覆盖，防止扬尘以及尾砂因其他外部因素导致含水率增大，从源头上杜绝扬尘现象的发生。</w:t>
      </w:r>
    </w:p>
    <w:p w14:paraId="31745DF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3</w:t>
      </w:r>
      <w:r>
        <w:rPr>
          <w:rFonts w:hint="default" w:ascii="Times New Roman" w:hAnsi="Times New Roman" w:eastAsia="宋体" w:cs="Times New Roman"/>
          <w:color w:val="auto"/>
          <w:lang w:val="en-US" w:eastAsia="zh-CN"/>
        </w:rPr>
        <w:t>）堆积子坝形成后，应及时覆土、植被。</w:t>
      </w:r>
    </w:p>
    <w:p w14:paraId="46BC08A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 加强尾矿库的维护与管理，汛期来临之前，应做好：</w:t>
      </w:r>
    </w:p>
    <w:p w14:paraId="58E9E15D">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（1）检查坝的稳定性、质量和排洪、泄洪系统的防、泄洪能力，发现隐患，及时处理消除；</w:t>
      </w:r>
    </w:p>
    <w:p w14:paraId="07658AE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（2）及时清除库区排洪设施、块石和树木杂草，尤其要做好库区排水口的清堵除堵工作，避免汛期因排洪设施进水口淤积而出现洪水漫顶现象；</w:t>
      </w:r>
    </w:p>
    <w:p w14:paraId="36A99A60">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（3）备好充足的抗洪抢险器材和物质，配备救生设备；</w:t>
      </w:r>
    </w:p>
    <w:p w14:paraId="57659B91">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（4）汛期应加强库区巡查，及时发现并处理事故隐患，及时发现并清除尾矿库排水设施的淤堵，确保排洪系统通道畅通。</w:t>
      </w:r>
    </w:p>
    <w:p w14:paraId="749D3CF6">
      <w:pPr>
        <w:rPr>
          <w:rFonts w:hint="default" w:ascii="Times New Roman" w:hAnsi="Times New Roman" w:eastAsia="宋体" w:cs="Times New Roman"/>
          <w:color w:val="auto"/>
          <w:lang w:val="en-US" w:eastAsia="zh-CN"/>
        </w:rPr>
      </w:pPr>
      <w:r>
        <w:rPr>
          <w:rFonts w:hint="eastAsia" w:cs="Times New Roman"/>
          <w:color w:val="auto"/>
          <w:lang w:val="en-US" w:eastAsia="zh-CN"/>
        </w:rPr>
        <w:t>3</w:t>
      </w:r>
      <w:r>
        <w:rPr>
          <w:rFonts w:hint="default" w:ascii="Times New Roman" w:hAnsi="Times New Roman" w:eastAsia="宋体" w:cs="Times New Roman"/>
          <w:color w:val="auto"/>
          <w:lang w:val="en-US" w:eastAsia="zh-CN"/>
        </w:rPr>
        <w:t>. 为尾矿工配置安全带、安全绳、救生衣等劳动防护用品，并培训、督促尾矿工正确使用劳动防护用品和作业工具，确保作业过程中的人身安全。</w:t>
      </w:r>
    </w:p>
    <w:p w14:paraId="2DFF5AD5">
      <w:pPr>
        <w:rPr>
          <w:rFonts w:hint="default" w:ascii="Times New Roman" w:hAnsi="Times New Roman" w:eastAsia="宋体" w:cs="Times New Roman"/>
          <w:color w:val="auto"/>
          <w:lang w:val="en-US" w:eastAsia="zh-CN"/>
        </w:rPr>
      </w:pPr>
      <w:r>
        <w:rPr>
          <w:rFonts w:hint="eastAsia" w:cs="Times New Roman"/>
          <w:color w:val="auto"/>
          <w:lang w:val="en-US" w:eastAsia="zh-CN"/>
        </w:rPr>
        <w:t>4</w:t>
      </w:r>
      <w:r>
        <w:rPr>
          <w:rFonts w:hint="default" w:ascii="Times New Roman" w:hAnsi="Times New Roman" w:eastAsia="宋体" w:cs="Times New Roman"/>
          <w:color w:val="auto"/>
          <w:lang w:val="en-US" w:eastAsia="zh-CN"/>
        </w:rPr>
        <w:t>. 加强日常检查和维护好安全监测设施，加强在线监测设施操作培训，持续做好坝体位移沉降、浸润线埋深、库水位、沉积滩干滩长度等运行参数的观测，保存好观测、分析记录。如果发现浸润线埋深观测值低于设计值或高于预警值，或坝体位移沉降观测值波动较大或高于预警值时，应迅速查明原因，采取相应处置措施予以处理</w:t>
      </w:r>
      <w:r>
        <w:rPr>
          <w:rFonts w:hint="default" w:ascii="Times New Roman" w:hAnsi="Times New Roman" w:eastAsia="宋体" w:cs="Times New Roman"/>
          <w:color w:val="auto"/>
          <w:lang w:val="en-US" w:eastAsia="zh-CN"/>
        </w:rPr>
        <w:t>。</w:t>
      </w:r>
    </w:p>
    <w:p w14:paraId="19AE1ABD">
      <w:pPr>
        <w:rPr>
          <w:rFonts w:hint="eastAsia" w:cs="Times New Roman"/>
          <w:color w:val="auto"/>
          <w:lang w:val="en-US" w:eastAsia="zh-CN"/>
        </w:rPr>
      </w:pPr>
      <w:r>
        <w:rPr>
          <w:rFonts w:hint="eastAsia" w:cs="Times New Roman"/>
          <w:color w:val="auto"/>
          <w:lang w:val="en-US" w:eastAsia="zh-CN"/>
        </w:rPr>
        <w:t>5</w:t>
      </w:r>
      <w:r>
        <w:rPr>
          <w:rFonts w:hint="default" w:ascii="Times New Roman" w:hAnsi="Times New Roman" w:eastAsia="宋体" w:cs="Times New Roman"/>
          <w:color w:val="auto"/>
          <w:lang w:val="en-US" w:eastAsia="zh-CN"/>
        </w:rPr>
        <w:t>. 应加强库区山体巡查，详细观察周边山体有无异常和急变，尤其是库区周边放牧、开垦、砍伐等情况</w:t>
      </w:r>
      <w:r>
        <w:rPr>
          <w:rFonts w:hint="eastAsia" w:cs="Times New Roman"/>
          <w:color w:val="auto"/>
          <w:lang w:val="en-US" w:eastAsia="zh-CN"/>
        </w:rPr>
        <w:t>。</w:t>
      </w:r>
    </w:p>
    <w:p w14:paraId="6DD4BC1B">
      <w:pPr>
        <w:rPr>
          <w:rFonts w:hint="default" w:ascii="Times New Roman" w:hAnsi="Times New Roman" w:eastAsia="宋体" w:cs="Times New Roman"/>
          <w:color w:val="auto"/>
          <w:lang w:val="en-US" w:eastAsia="zh-CN"/>
        </w:rPr>
      </w:pPr>
      <w:r>
        <w:rPr>
          <w:rFonts w:hint="eastAsia" w:cs="Times New Roman"/>
          <w:color w:val="auto"/>
          <w:lang w:val="en-US" w:eastAsia="zh-CN"/>
        </w:rPr>
        <w:t xml:space="preserve">6. </w:t>
      </w:r>
      <w:r>
        <w:rPr>
          <w:rFonts w:hint="default" w:ascii="Times New Roman" w:hAnsi="Times New Roman" w:eastAsia="宋体" w:cs="Times New Roman"/>
          <w:color w:val="auto"/>
          <w:lang w:val="en-US" w:eastAsia="zh-CN"/>
        </w:rPr>
        <w:t>适时刷新库水位标尺，并标明正常运行水位和警戒水位。</w:t>
      </w:r>
    </w:p>
    <w:p w14:paraId="13D377FD">
      <w:pPr>
        <w:rPr>
          <w:rFonts w:hint="eastAsia" w:cs="Times New Roman"/>
          <w:color w:val="auto"/>
          <w:lang w:val="en-US" w:eastAsia="zh-CN"/>
        </w:rPr>
      </w:pPr>
      <w:r>
        <w:rPr>
          <w:rFonts w:hint="eastAsia" w:cs="Times New Roman"/>
          <w:color w:val="auto"/>
          <w:lang w:val="en-US" w:eastAsia="zh-CN"/>
        </w:rPr>
        <w:t>7. 无黏性、少黏性尾矿分层厚度不得超过0.8m，黏性尾矿分层厚度不得超过0.5m。</w:t>
      </w:r>
    </w:p>
    <w:p w14:paraId="350F788A">
      <w:pPr>
        <w:rPr>
          <w:rFonts w:hint="default" w:ascii="Times New Roman" w:hAnsi="Times New Roman" w:eastAsia="宋体" w:cs="Times New Roman"/>
          <w:color w:val="auto"/>
          <w:lang w:val="en-US" w:eastAsia="zh-CN"/>
        </w:rPr>
      </w:pPr>
      <w:r>
        <w:rPr>
          <w:rFonts w:hint="eastAsia" w:cs="Times New Roman"/>
          <w:color w:val="auto"/>
          <w:lang w:val="en-US" w:eastAsia="zh-CN"/>
        </w:rPr>
        <w:t>8. 备足配齐各类应急物资、工具器材，保持通信设施完好畅通，并加以维护更新。</w:t>
      </w:r>
      <w:r>
        <w:rPr>
          <w:rFonts w:hint="default" w:ascii="Times New Roman" w:hAnsi="Times New Roman" w:eastAsia="宋体" w:cs="Times New Roman"/>
          <w:color w:val="auto"/>
          <w:lang w:val="en-US" w:eastAsia="zh-CN"/>
        </w:rPr>
        <w:br w:type="page"/>
      </w:r>
    </w:p>
    <w:p w14:paraId="51B76E5D">
      <w:pPr>
        <w:keepNext/>
        <w:keepLines/>
        <w:widowControl w:val="0"/>
        <w:numPr>
          <w:ilvl w:val="0"/>
          <w:numId w:val="5"/>
        </w:numPr>
        <w:bidi w:val="0"/>
        <w:spacing w:beforeLines="0" w:beforeAutospacing="0" w:afterLines="0" w:afterAutospacing="0" w:line="360" w:lineRule="auto"/>
        <w:ind w:left="0" w:leftChars="0" w:firstLine="0" w:firstLineChars="0"/>
        <w:jc w:val="center"/>
        <w:outlineLvl w:val="0"/>
        <w:rPr>
          <w:rFonts w:hint="default" w:ascii="Times New Roman" w:hAnsi="Times New Roman" w:eastAsia="黑体" w:cs="Times New Roman"/>
          <w:b/>
          <w:color w:val="auto"/>
          <w:kern w:val="44"/>
          <w:sz w:val="32"/>
          <w:szCs w:val="24"/>
          <w:lang w:val="en-US" w:eastAsia="zh-CN" w:bidi="ar-SA"/>
        </w:rPr>
      </w:pPr>
      <w:bookmarkStart w:id="532" w:name="_Toc15158"/>
      <w:bookmarkStart w:id="533" w:name="_Toc6597"/>
      <w:bookmarkStart w:id="534" w:name="_Toc30636"/>
      <w:bookmarkStart w:id="535" w:name="_Toc23710"/>
      <w:bookmarkStart w:id="536" w:name="_Toc13888"/>
      <w:bookmarkStart w:id="537" w:name="_Toc7759"/>
      <w:bookmarkStart w:id="538" w:name="_Toc6395"/>
      <w:bookmarkStart w:id="539" w:name="_Toc23206"/>
      <w:bookmarkStart w:id="540" w:name="_Toc14606"/>
      <w:r>
        <w:rPr>
          <w:rFonts w:hint="eastAsia" w:ascii="Times New Roman" w:hAnsi="Times New Roman" w:eastAsia="黑体" w:cs="Times New Roman"/>
          <w:b/>
          <w:color w:val="auto"/>
          <w:kern w:val="44"/>
          <w:sz w:val="32"/>
          <w:szCs w:val="24"/>
          <w:lang w:val="en-US" w:eastAsia="zh-CN" w:bidi="ar-SA"/>
        </w:rPr>
        <w:t>安全评价结论</w:t>
      </w:r>
      <w:bookmarkEnd w:id="532"/>
      <w:bookmarkEnd w:id="533"/>
      <w:bookmarkEnd w:id="534"/>
      <w:bookmarkEnd w:id="535"/>
      <w:bookmarkEnd w:id="536"/>
    </w:p>
    <w:p w14:paraId="012A59E0">
      <w:pPr>
        <w:bidi w:val="0"/>
        <w:rPr>
          <w:rFonts w:hint="default"/>
          <w:color w:val="auto"/>
          <w:lang w:val="en-US" w:eastAsia="zh-CN"/>
        </w:rPr>
      </w:pPr>
      <w:r>
        <w:rPr>
          <w:rFonts w:hint="default"/>
          <w:color w:val="auto"/>
          <w:lang w:val="en-US" w:eastAsia="zh-CN"/>
        </w:rPr>
        <w:t>本次评价根据国家颁布的有关安全生产法律、法规及相关文件精神，本着科学、公正、合法、自主的原则对</w:t>
      </w:r>
      <w:r>
        <w:rPr>
          <w:rFonts w:hint="eastAsia"/>
          <w:color w:val="auto"/>
          <w:lang w:val="en-US" w:eastAsia="zh-CN"/>
        </w:rPr>
        <w:t>江西省宜丰万国矿业有限公司宜丰新庄铜铅锌矿尾矿库</w:t>
      </w:r>
      <w:r>
        <w:rPr>
          <w:rFonts w:hint="default"/>
          <w:color w:val="auto"/>
          <w:lang w:val="en-US" w:eastAsia="zh-CN"/>
        </w:rPr>
        <w:t>在运营过程中存在的主要危险、有害因素的种类及危害程度进行了分析，对导致该尾矿库重大事故的危险、有害因素进行定性、定量评价，得出如下结论：</w:t>
      </w:r>
    </w:p>
    <w:p w14:paraId="26706646">
      <w:pPr>
        <w:bidi w:val="0"/>
        <w:rPr>
          <w:rFonts w:hint="default"/>
          <w:color w:val="auto"/>
          <w:lang w:val="en-US" w:eastAsia="zh-CN"/>
        </w:rPr>
      </w:pPr>
      <w:r>
        <w:rPr>
          <w:rFonts w:hint="default"/>
          <w:color w:val="auto"/>
          <w:lang w:val="en-US" w:eastAsia="zh-CN"/>
        </w:rPr>
        <w:t>（1）</w:t>
      </w:r>
      <w:r>
        <w:rPr>
          <w:rFonts w:hint="eastAsia"/>
          <w:color w:val="auto"/>
          <w:lang w:val="en-US" w:eastAsia="zh-CN"/>
        </w:rPr>
        <w:t>江西省宜丰万国矿业有限公司宜丰新庄铜铅锌矿尾矿库</w:t>
      </w:r>
      <w:r>
        <w:rPr>
          <w:rFonts w:hint="default"/>
          <w:color w:val="auto"/>
          <w:lang w:val="en-US" w:eastAsia="zh-CN"/>
        </w:rPr>
        <w:t>未构成重大危险源、不存在重大生产安全事故隐患，但仍应注重尾矿坝和排</w:t>
      </w:r>
      <w:r>
        <w:rPr>
          <w:rFonts w:hint="eastAsia"/>
          <w:color w:val="auto"/>
          <w:lang w:val="en-US" w:eastAsia="zh-CN"/>
        </w:rPr>
        <w:t>洪</w:t>
      </w:r>
      <w:r>
        <w:rPr>
          <w:rFonts w:hint="default"/>
          <w:color w:val="auto"/>
          <w:lang w:val="en-US" w:eastAsia="zh-CN"/>
        </w:rPr>
        <w:t>构筑物监测、安全管理。</w:t>
      </w:r>
    </w:p>
    <w:p w14:paraId="6B0CD4A2">
      <w:pPr>
        <w:bidi w:val="0"/>
        <w:rPr>
          <w:rFonts w:hint="default"/>
          <w:color w:val="auto"/>
          <w:lang w:val="en-US" w:eastAsia="zh-CN"/>
        </w:rPr>
      </w:pPr>
      <w:r>
        <w:rPr>
          <w:rFonts w:hint="default"/>
          <w:color w:val="auto"/>
          <w:lang w:val="en-US" w:eastAsia="zh-CN"/>
        </w:rPr>
        <w:t>（2）经辨识、分析，</w:t>
      </w:r>
      <w:r>
        <w:rPr>
          <w:rFonts w:hint="eastAsia"/>
          <w:color w:val="auto"/>
          <w:lang w:val="en-US" w:eastAsia="zh-CN"/>
        </w:rPr>
        <w:t>江西省宜丰万国矿业有限公司宜丰新庄铜铅锌矿尾矿库</w:t>
      </w:r>
      <w:r>
        <w:rPr>
          <w:rFonts w:hint="default"/>
          <w:color w:val="auto"/>
          <w:lang w:val="en-US" w:eastAsia="zh-CN"/>
        </w:rPr>
        <w:t>潜在的主要危险、有害因素有滑坡（坝坡失稳），洪水漫顶，渗漏，排水、泄洪构筑物破坏，调洪库容不足，裂缝，淹溺，高处坠落，库区山体滑坡、塌方和泥石流，不良环境因素及其他因素造成的病害</w:t>
      </w:r>
      <w:r>
        <w:rPr>
          <w:rFonts w:hint="eastAsia"/>
          <w:color w:val="auto"/>
          <w:lang w:val="en-US" w:eastAsia="zh-CN"/>
        </w:rPr>
        <w:t>等</w:t>
      </w:r>
      <w:r>
        <w:rPr>
          <w:rFonts w:hint="default"/>
          <w:color w:val="auto"/>
          <w:lang w:val="en-US" w:eastAsia="zh-CN"/>
        </w:rPr>
        <w:t>。其中滑坡、排洪排水构筑物破坏可能酿成重大事故，必须引起高度重视，应当加以重点防范。对其他的危险有害因素，虽不大可能引起重大事故，但若发生也会给财产安全和人身健康带来损失，仍须采取措施、加强防范、避免事故的发生。</w:t>
      </w:r>
      <w:r>
        <w:rPr>
          <w:rFonts w:hint="eastAsia"/>
          <w:color w:val="auto"/>
          <w:lang w:val="en-US" w:eastAsia="zh-CN"/>
        </w:rPr>
        <w:t>江西省宜丰万国矿业有限公司</w:t>
      </w:r>
      <w:r>
        <w:rPr>
          <w:rFonts w:hint="default"/>
          <w:color w:val="auto"/>
          <w:lang w:val="en-US" w:eastAsia="zh-CN"/>
        </w:rPr>
        <w:t>通过采取有效措施，潜在的危险是可以得到控制的。</w:t>
      </w:r>
    </w:p>
    <w:p w14:paraId="45CC715C">
      <w:pPr>
        <w:bidi w:val="0"/>
        <w:rPr>
          <w:rFonts w:hint="default"/>
          <w:color w:val="auto"/>
          <w:lang w:val="en-US" w:eastAsia="zh-CN"/>
        </w:rPr>
      </w:pPr>
      <w:r>
        <w:rPr>
          <w:rFonts w:hint="default"/>
          <w:color w:val="auto"/>
          <w:lang w:val="en-US" w:eastAsia="zh-CN"/>
        </w:rPr>
        <w:t>（3）</w:t>
      </w:r>
      <w:r>
        <w:rPr>
          <w:rFonts w:hint="eastAsia"/>
          <w:color w:val="auto"/>
          <w:lang w:val="en-US" w:eastAsia="zh-CN"/>
        </w:rPr>
        <w:t>江西省宜丰万国矿业有限公司宜丰新庄铜铅锌矿尾矿库</w:t>
      </w:r>
      <w:r>
        <w:rPr>
          <w:rFonts w:hint="default"/>
          <w:color w:val="auto"/>
          <w:lang w:val="en-US" w:eastAsia="zh-CN"/>
        </w:rPr>
        <w:t>尾矿坝、排</w:t>
      </w:r>
      <w:r>
        <w:rPr>
          <w:rFonts w:hint="eastAsia"/>
          <w:color w:val="auto"/>
          <w:lang w:val="en-US" w:eastAsia="zh-CN"/>
        </w:rPr>
        <w:t>洪排水</w:t>
      </w:r>
      <w:r>
        <w:rPr>
          <w:rFonts w:hint="default"/>
          <w:color w:val="auto"/>
          <w:lang w:val="en-US" w:eastAsia="zh-CN"/>
        </w:rPr>
        <w:t>构筑物、安全监测设施符合设计要求，经尾矿坝稳定性分析和尾矿库调洪演算，</w:t>
      </w:r>
      <w:r>
        <w:rPr>
          <w:rFonts w:hint="eastAsia"/>
          <w:color w:val="auto"/>
          <w:lang w:val="en-US" w:eastAsia="zh-CN"/>
        </w:rPr>
        <w:t>江西省宜丰万国矿业有限公司宜丰新庄铜铅锌矿尾矿库</w:t>
      </w:r>
      <w:r>
        <w:rPr>
          <w:rFonts w:hint="default"/>
          <w:color w:val="auto"/>
          <w:lang w:val="en-US" w:eastAsia="zh-CN"/>
        </w:rPr>
        <w:t>尾矿坝坝体稳定、排水构筑物泄洪能力满足设计要求，尾矿库运行工况正常。</w:t>
      </w:r>
    </w:p>
    <w:p w14:paraId="60A0B050">
      <w:pPr>
        <w:bidi w:val="0"/>
        <w:rPr>
          <w:rFonts w:hint="default"/>
          <w:color w:val="auto"/>
          <w:lang w:val="en-US" w:eastAsia="zh-CN"/>
        </w:rPr>
      </w:pPr>
      <w:r>
        <w:rPr>
          <w:rFonts w:hint="default"/>
          <w:color w:val="auto"/>
          <w:lang w:val="en-US" w:eastAsia="zh-CN"/>
        </w:rPr>
        <w:t>（4）</w:t>
      </w:r>
      <w:r>
        <w:rPr>
          <w:rFonts w:hint="eastAsia"/>
          <w:color w:val="auto"/>
          <w:lang w:val="en-US" w:eastAsia="zh-CN"/>
        </w:rPr>
        <w:t>江西省宜丰万国矿业有限公司宜丰新庄铜铅锌矿尾矿库</w:t>
      </w:r>
      <w:r>
        <w:rPr>
          <w:rFonts w:hint="default"/>
          <w:color w:val="auto"/>
          <w:lang w:val="en-US" w:eastAsia="zh-CN"/>
        </w:rPr>
        <w:t>安全状况良好，</w:t>
      </w:r>
      <w:r>
        <w:rPr>
          <w:rFonts w:hint="eastAsia"/>
          <w:color w:val="auto"/>
          <w:lang w:val="en-US" w:eastAsia="zh-CN"/>
        </w:rPr>
        <w:t>与周边环境</w:t>
      </w:r>
      <w:r>
        <w:rPr>
          <w:rFonts w:hint="default"/>
          <w:color w:val="auto"/>
          <w:lang w:val="en-US" w:eastAsia="zh-CN"/>
        </w:rPr>
        <w:t>相互间暂无不良影响。</w:t>
      </w:r>
    </w:p>
    <w:p w14:paraId="284ABEA2">
      <w:pPr>
        <w:bidi w:val="0"/>
        <w:rPr>
          <w:rFonts w:hint="default"/>
          <w:color w:val="auto"/>
          <w:lang w:val="en-US" w:eastAsia="zh-CN"/>
        </w:rPr>
      </w:pPr>
      <w:r>
        <w:rPr>
          <w:rFonts w:hint="default"/>
          <w:color w:val="auto"/>
          <w:lang w:val="en-US" w:eastAsia="zh-CN"/>
        </w:rPr>
        <w:t>（5）通过对</w:t>
      </w:r>
      <w:r>
        <w:rPr>
          <w:rFonts w:hint="eastAsia"/>
          <w:color w:val="auto"/>
          <w:lang w:val="en-US" w:eastAsia="zh-CN"/>
        </w:rPr>
        <w:t>江西省宜丰万国矿业有限公司宜丰新庄铜铅锌矿尾矿库</w:t>
      </w:r>
      <w:r>
        <w:rPr>
          <w:rFonts w:hint="default"/>
          <w:color w:val="auto"/>
          <w:lang w:val="en-US" w:eastAsia="zh-CN"/>
        </w:rPr>
        <w:t>各单元安全检查表分析评价，综合得分率为</w:t>
      </w:r>
      <w:r>
        <w:rPr>
          <w:rFonts w:hint="eastAsia" w:ascii="Times New Roman" w:hAnsi="Times New Roman" w:eastAsia="宋体" w:cs="Times New Roman"/>
          <w:b w:val="0"/>
          <w:bCs w:val="0"/>
          <w:color w:val="auto"/>
          <w:lang w:val="en-US" w:eastAsia="zh-CN"/>
        </w:rPr>
        <w:t>89.31%，安全生产条件一般，能满足基本的安全生产活动</w:t>
      </w:r>
      <w:r>
        <w:rPr>
          <w:rFonts w:hint="default"/>
          <w:color w:val="auto"/>
          <w:lang w:val="en-US" w:eastAsia="zh-CN"/>
        </w:rPr>
        <w:t>，为正常库，</w:t>
      </w:r>
      <w:r>
        <w:rPr>
          <w:rFonts w:hint="eastAsia"/>
          <w:color w:val="auto"/>
          <w:lang w:val="en-US" w:eastAsia="zh-CN"/>
        </w:rPr>
        <w:t>江西省宜丰万国矿业有限公司宜丰新庄铜铅锌矿尾矿库</w:t>
      </w:r>
      <w:r>
        <w:rPr>
          <w:rFonts w:hint="default"/>
          <w:color w:val="auto"/>
          <w:lang w:val="en-US" w:eastAsia="zh-CN"/>
        </w:rPr>
        <w:t>安全生产基本条件和技术保障条件符合安全生产法律法规的要求。</w:t>
      </w:r>
    </w:p>
    <w:p w14:paraId="2D528ABC">
      <w:pPr>
        <w:bidi w:val="0"/>
        <w:rPr>
          <w:rFonts w:hint="default"/>
          <w:color w:val="auto"/>
          <w:lang w:val="en-US" w:eastAsia="zh-CN"/>
        </w:rPr>
      </w:pPr>
      <w:r>
        <w:rPr>
          <w:rFonts w:hint="default"/>
          <w:color w:val="auto"/>
          <w:lang w:val="en-US" w:eastAsia="zh-CN"/>
        </w:rPr>
        <w:t>（6）</w:t>
      </w:r>
      <w:r>
        <w:rPr>
          <w:rFonts w:hint="eastAsia"/>
          <w:color w:val="auto"/>
          <w:lang w:val="en-US" w:eastAsia="zh-CN"/>
        </w:rPr>
        <w:t>江西省宜丰万国矿业有限公司</w:t>
      </w:r>
      <w:r>
        <w:rPr>
          <w:rFonts w:hint="default"/>
          <w:color w:val="auto"/>
          <w:lang w:val="en-US" w:eastAsia="zh-CN"/>
        </w:rPr>
        <w:t>应认真考虑本报告中分析的危险、有害因素，积极落实本报告所提出的各项安全对策措施和建议，按照国家安全生产法律、法规、行业规程要求进行改进、完善，全面推行并巩固安全生产标准化成果，提高尾矿库的本质安全程度，实现安全生产。</w:t>
      </w:r>
    </w:p>
    <w:p w14:paraId="3F3F812D">
      <w:pPr>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结论：</w:t>
      </w:r>
      <w:r>
        <w:rPr>
          <w:rFonts w:hint="eastAsia" w:cs="Times New Roman"/>
          <w:b/>
          <w:bCs/>
          <w:color w:val="auto"/>
          <w:lang w:val="en-US" w:eastAsia="zh-CN"/>
        </w:rPr>
        <w:t>江西省宜丰万国矿业有限公司宜丰新庄铜铅锌矿尾矿库属于安全生产条件一般，安全设施符合设计要求、运营正常，具备安全生产条件的正常库。</w:t>
      </w:r>
    </w:p>
    <w:p w14:paraId="454431E6">
      <w:pPr>
        <w:rPr>
          <w:rFonts w:hint="default"/>
          <w:color w:val="auto"/>
          <w:lang w:val="en-US" w:eastAsia="zh-CN"/>
        </w:rPr>
      </w:pPr>
      <w:r>
        <w:rPr>
          <w:rFonts w:hint="default"/>
          <w:color w:val="auto"/>
          <w:lang w:val="en-US" w:eastAsia="zh-CN"/>
        </w:rPr>
        <w:br w:type="page"/>
      </w:r>
    </w:p>
    <w:p w14:paraId="0BF686D2">
      <w:pPr>
        <w:keepNext/>
        <w:keepLines/>
        <w:widowControl w:val="0"/>
        <w:numPr>
          <w:ilvl w:val="0"/>
          <w:numId w:val="5"/>
        </w:numPr>
        <w:bidi w:val="0"/>
        <w:spacing w:beforeLines="0" w:beforeAutospacing="0" w:afterLines="0" w:afterAutospacing="0" w:line="360" w:lineRule="auto"/>
        <w:ind w:left="0" w:leftChars="0" w:firstLine="0" w:firstLineChars="0"/>
        <w:jc w:val="center"/>
        <w:outlineLvl w:val="0"/>
        <w:rPr>
          <w:rFonts w:hint="default" w:ascii="Times New Roman" w:hAnsi="Times New Roman" w:eastAsia="黑体" w:cs="Times New Roman"/>
          <w:b/>
          <w:color w:val="auto"/>
          <w:kern w:val="44"/>
          <w:sz w:val="32"/>
          <w:szCs w:val="24"/>
          <w:lang w:val="en-US" w:eastAsia="zh-CN" w:bidi="ar-SA"/>
        </w:rPr>
      </w:pPr>
      <w:bookmarkStart w:id="541" w:name="_Toc13898"/>
      <w:bookmarkStart w:id="542" w:name="_Toc15678"/>
      <w:r>
        <w:rPr>
          <w:rFonts w:hint="default" w:ascii="Times New Roman" w:hAnsi="Times New Roman" w:eastAsia="黑体" w:cs="Times New Roman"/>
          <w:b/>
          <w:color w:val="auto"/>
          <w:kern w:val="44"/>
          <w:sz w:val="32"/>
          <w:szCs w:val="24"/>
          <w:lang w:val="en-US" w:eastAsia="zh-CN" w:bidi="ar-SA"/>
        </w:rPr>
        <w:t>附图附件</w:t>
      </w:r>
      <w:bookmarkEnd w:id="541"/>
      <w:bookmarkEnd w:id="542"/>
    </w:p>
    <w:p w14:paraId="6BB5C284">
      <w:pPr>
        <w:keepNext/>
        <w:keepLines/>
        <w:widowControl w:val="0"/>
        <w:bidi w:val="0"/>
        <w:spacing w:beforeLines="0" w:beforeAutospacing="0" w:afterLines="0" w:afterAutospacing="0" w:line="360" w:lineRule="auto"/>
        <w:ind w:left="280" w:leftChars="100" w:firstLine="0" w:firstLineChars="0"/>
        <w:jc w:val="both"/>
        <w:outlineLvl w:val="1"/>
        <w:rPr>
          <w:rFonts w:hint="default" w:ascii="Times New Roman" w:hAnsi="Times New Roman" w:eastAsia="黑体" w:cs="Times New Roman"/>
          <w:b/>
          <w:color w:val="auto"/>
          <w:kern w:val="2"/>
          <w:sz w:val="30"/>
          <w:szCs w:val="24"/>
          <w:lang w:val="en-US" w:eastAsia="zh-CN" w:bidi="ar-SA"/>
        </w:rPr>
      </w:pPr>
      <w:bookmarkStart w:id="543" w:name="_Toc1100"/>
      <w:bookmarkStart w:id="544" w:name="_Toc19011"/>
      <w:r>
        <w:rPr>
          <w:rFonts w:hint="default" w:ascii="Times New Roman" w:hAnsi="Times New Roman" w:eastAsia="黑体" w:cs="Times New Roman"/>
          <w:b/>
          <w:color w:val="auto"/>
          <w:kern w:val="2"/>
          <w:sz w:val="30"/>
          <w:szCs w:val="24"/>
          <w:lang w:val="en-US" w:eastAsia="zh-CN" w:bidi="ar-SA"/>
        </w:rPr>
        <w:t>8.1</w:t>
      </w:r>
      <w:r>
        <w:rPr>
          <w:rFonts w:hint="eastAsia" w:ascii="Times New Roman" w:hAnsi="Times New Roman" w:eastAsia="黑体" w:cs="Times New Roman"/>
          <w:b/>
          <w:color w:val="auto"/>
          <w:kern w:val="2"/>
          <w:sz w:val="30"/>
          <w:szCs w:val="24"/>
          <w:lang w:val="en-US" w:eastAsia="zh-CN" w:bidi="ar-SA"/>
        </w:rPr>
        <w:t xml:space="preserve"> </w:t>
      </w:r>
      <w:r>
        <w:rPr>
          <w:rFonts w:hint="default" w:ascii="Times New Roman" w:hAnsi="Times New Roman" w:eastAsia="黑体" w:cs="Times New Roman"/>
          <w:b/>
          <w:color w:val="auto"/>
          <w:kern w:val="2"/>
          <w:sz w:val="30"/>
          <w:szCs w:val="24"/>
          <w:lang w:val="en-US" w:eastAsia="zh-CN" w:bidi="ar-SA"/>
        </w:rPr>
        <w:t>附图</w:t>
      </w:r>
      <w:bookmarkEnd w:id="537"/>
      <w:bookmarkEnd w:id="538"/>
      <w:bookmarkEnd w:id="539"/>
      <w:bookmarkEnd w:id="540"/>
      <w:bookmarkEnd w:id="543"/>
      <w:bookmarkEnd w:id="544"/>
    </w:p>
    <w:p w14:paraId="540C0AE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（1）尾矿库平面布置图</w:t>
      </w:r>
    </w:p>
    <w:p w14:paraId="529F8C75">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2</w:t>
      </w:r>
      <w:r>
        <w:rPr>
          <w:rFonts w:hint="default" w:ascii="Times New Roman" w:hAnsi="Times New Roman" w:eastAsia="宋体" w:cs="Times New Roman"/>
          <w:color w:val="auto"/>
          <w:lang w:val="en-US" w:eastAsia="zh-CN"/>
        </w:rPr>
        <w:t>）尾矿坝剖面图</w:t>
      </w:r>
    </w:p>
    <w:p w14:paraId="7C7527C0">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3</w:t>
      </w:r>
      <w:r>
        <w:rPr>
          <w:rFonts w:hint="default" w:ascii="Times New Roman" w:hAnsi="Times New Roman" w:eastAsia="宋体" w:cs="Times New Roman"/>
          <w:color w:val="auto"/>
          <w:lang w:val="en-US" w:eastAsia="zh-CN"/>
        </w:rPr>
        <w:t>）</w:t>
      </w:r>
      <w:r>
        <w:rPr>
          <w:rFonts w:hint="eastAsia" w:cs="Times New Roman"/>
          <w:color w:val="auto"/>
          <w:lang w:val="en-US" w:eastAsia="zh-CN"/>
        </w:rPr>
        <w:t>排洪排水</w:t>
      </w:r>
      <w:r>
        <w:rPr>
          <w:rFonts w:hint="default" w:ascii="Times New Roman" w:hAnsi="Times New Roman" w:eastAsia="宋体" w:cs="Times New Roman"/>
          <w:color w:val="auto"/>
          <w:lang w:val="en-US" w:eastAsia="zh-CN"/>
        </w:rPr>
        <w:t>构筑物剖面图</w:t>
      </w:r>
    </w:p>
    <w:p w14:paraId="23E5E474">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4</w:t>
      </w:r>
      <w:r>
        <w:rPr>
          <w:rFonts w:hint="default" w:ascii="Times New Roman" w:hAnsi="Times New Roman" w:eastAsia="宋体" w:cs="Times New Roman"/>
          <w:color w:val="auto"/>
          <w:lang w:val="en-US" w:eastAsia="zh-CN"/>
        </w:rPr>
        <w:t>）库容曲线图</w:t>
      </w:r>
    </w:p>
    <w:p w14:paraId="3C3E233E">
      <w:pPr>
        <w:keepNext/>
        <w:keepLines/>
        <w:widowControl w:val="0"/>
        <w:bidi w:val="0"/>
        <w:spacing w:beforeLines="0" w:beforeAutospacing="0" w:afterLines="0" w:afterAutospacing="0" w:line="360" w:lineRule="auto"/>
        <w:ind w:left="280" w:leftChars="100" w:firstLine="0" w:firstLineChars="0"/>
        <w:jc w:val="both"/>
        <w:outlineLvl w:val="1"/>
        <w:rPr>
          <w:rFonts w:hint="default" w:ascii="Times New Roman" w:hAnsi="Times New Roman" w:eastAsia="黑体" w:cs="Times New Roman"/>
          <w:b/>
          <w:color w:val="auto"/>
          <w:kern w:val="2"/>
          <w:sz w:val="30"/>
          <w:szCs w:val="24"/>
          <w:lang w:val="en-US" w:eastAsia="zh-CN" w:bidi="ar-SA"/>
        </w:rPr>
      </w:pPr>
      <w:bookmarkStart w:id="545" w:name="_Toc13583"/>
      <w:bookmarkStart w:id="546" w:name="_Toc382"/>
      <w:bookmarkStart w:id="547" w:name="_Toc27400"/>
      <w:bookmarkStart w:id="548" w:name="_Toc2208"/>
      <w:bookmarkStart w:id="549" w:name="_Toc4813"/>
      <w:bookmarkStart w:id="550" w:name="_Toc20842"/>
      <w:r>
        <w:rPr>
          <w:rFonts w:hint="default" w:ascii="Times New Roman" w:hAnsi="Times New Roman" w:eastAsia="黑体" w:cs="Times New Roman"/>
          <w:b/>
          <w:color w:val="auto"/>
          <w:kern w:val="2"/>
          <w:sz w:val="30"/>
          <w:szCs w:val="24"/>
          <w:lang w:val="en-US" w:eastAsia="zh-CN" w:bidi="ar-SA"/>
        </w:rPr>
        <w:t>8.2</w:t>
      </w:r>
      <w:r>
        <w:rPr>
          <w:rFonts w:hint="eastAsia" w:ascii="Times New Roman" w:hAnsi="Times New Roman" w:eastAsia="黑体" w:cs="Times New Roman"/>
          <w:b/>
          <w:color w:val="auto"/>
          <w:kern w:val="2"/>
          <w:sz w:val="30"/>
          <w:szCs w:val="24"/>
          <w:lang w:val="en-US" w:eastAsia="zh-CN" w:bidi="ar-SA"/>
        </w:rPr>
        <w:t xml:space="preserve"> </w:t>
      </w:r>
      <w:r>
        <w:rPr>
          <w:rFonts w:hint="default" w:ascii="Times New Roman" w:hAnsi="Times New Roman" w:eastAsia="黑体" w:cs="Times New Roman"/>
          <w:b/>
          <w:color w:val="auto"/>
          <w:kern w:val="2"/>
          <w:sz w:val="30"/>
          <w:szCs w:val="24"/>
          <w:lang w:val="en-US" w:eastAsia="zh-CN" w:bidi="ar-SA"/>
        </w:rPr>
        <w:t>附件</w:t>
      </w:r>
      <w:bookmarkEnd w:id="545"/>
      <w:bookmarkEnd w:id="546"/>
      <w:bookmarkEnd w:id="547"/>
      <w:bookmarkEnd w:id="548"/>
      <w:bookmarkEnd w:id="549"/>
      <w:bookmarkEnd w:id="550"/>
    </w:p>
    <w:p w14:paraId="18E3211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（1）企业营业执照</w:t>
      </w:r>
    </w:p>
    <w:p w14:paraId="283C520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（2）尾矿库安全生产许可证</w:t>
      </w:r>
    </w:p>
    <w:p w14:paraId="28B40AEA">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（3）其他证照和佐证材料</w:t>
      </w:r>
    </w:p>
    <w:p w14:paraId="4E33BA9D">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附：评价人员与企业安全管理人员现场合影</w:t>
      </w:r>
    </w:p>
    <w:p w14:paraId="471AC545">
      <w:pPr>
        <w:bidi w:val="0"/>
        <w:ind w:left="0" w:leftChars="0" w:firstLine="0" w:firstLineChars="0"/>
        <w:jc w:val="center"/>
        <w:rPr>
          <w:rFonts w:hint="default"/>
          <w:color w:val="auto"/>
          <w:lang w:val="en-US" w:eastAsia="zh-CN"/>
        </w:rPr>
      </w:pPr>
      <w:r>
        <w:rPr>
          <w:rFonts w:hint="default"/>
          <w:color w:val="auto"/>
          <w:lang w:val="en-US" w:eastAsia="zh-CN"/>
        </w:rPr>
        <w:drawing>
          <wp:inline distT="0" distB="0" distL="114300" distR="114300">
            <wp:extent cx="5039995" cy="3780155"/>
            <wp:effectExtent l="0" t="0" r="8255" b="10795"/>
            <wp:docPr id="15" name="图片 15" descr="f510b829738c537f781fac8a8a5c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510b829738c537f781fac8a8a5c824"/>
                    <pic:cNvPicPr>
                      <a:picLocks noChangeAspect="1"/>
                    </pic:cNvPicPr>
                  </pic:nvPicPr>
                  <pic:blipFill>
                    <a:blip r:embed="rId17"/>
                    <a:stretch>
                      <a:fillRect/>
                    </a:stretch>
                  </pic:blipFill>
                  <pic:spPr>
                    <a:xfrm>
                      <a:off x="0" y="0"/>
                      <a:ext cx="5039995" cy="3780155"/>
                    </a:xfrm>
                    <a:prstGeom prst="rect">
                      <a:avLst/>
                    </a:prstGeom>
                  </pic:spPr>
                </pic:pic>
              </a:graphicData>
            </a:graphic>
          </wp:inline>
        </w:drawing>
      </w:r>
    </w:p>
    <w:p w14:paraId="39ECA8C1">
      <w:pPr>
        <w:bidi w:val="0"/>
        <w:ind w:left="0" w:leftChars="0" w:firstLine="0" w:firstLineChars="0"/>
        <w:jc w:val="center"/>
        <w:rPr>
          <w:rFonts w:hint="default"/>
          <w:color w:val="auto"/>
          <w:lang w:val="en-US" w:eastAsia="zh-CN"/>
        </w:rPr>
      </w:pPr>
      <w:r>
        <w:rPr>
          <w:rFonts w:hint="default"/>
          <w:color w:val="auto"/>
          <w:lang w:val="en-US" w:eastAsia="zh-CN"/>
        </w:rPr>
        <w:drawing>
          <wp:inline distT="0" distB="0" distL="114300" distR="114300">
            <wp:extent cx="5039995" cy="5701030"/>
            <wp:effectExtent l="0" t="0" r="8255" b="13970"/>
            <wp:docPr id="16" name="图片 16" descr="7b9782c78dcdea420973f97cf9cb4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b9782c78dcdea420973f97cf9cb4b3"/>
                    <pic:cNvPicPr>
                      <a:picLocks noChangeAspect="1"/>
                    </pic:cNvPicPr>
                  </pic:nvPicPr>
                  <pic:blipFill>
                    <a:blip r:embed="rId18"/>
                    <a:srcRect t="13934" b="1258"/>
                    <a:stretch>
                      <a:fillRect/>
                    </a:stretch>
                  </pic:blipFill>
                  <pic:spPr>
                    <a:xfrm>
                      <a:off x="0" y="0"/>
                      <a:ext cx="5039995" cy="5701030"/>
                    </a:xfrm>
                    <a:prstGeom prst="rect">
                      <a:avLst/>
                    </a:prstGeom>
                  </pic:spPr>
                </pic:pic>
              </a:graphicData>
            </a:graphic>
          </wp:inline>
        </w:drawing>
      </w:r>
    </w:p>
    <w:sectPr>
      <w:footerReference r:id="rId7" w:type="default"/>
      <w:type w:val="continuous"/>
      <w:pgSz w:w="11906" w:h="16839"/>
      <w:pgMar w:top="1417" w:right="1417" w:bottom="1417" w:left="1417" w:header="850" w:footer="992" w:gutter="0"/>
      <w:pgNumType w:fmt="decimal" w:start="1"/>
      <w:cols w:space="425"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F2CAD">
    <w:pPr>
      <w:pStyle w:val="13"/>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6E53D">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2766E53D">
                    <w:pPr>
                      <w:pStyle w:val="13"/>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6D8B">
    <w:pPr>
      <w:pStyle w:val="13"/>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E294">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C1EE294">
                    <w:pPr>
                      <w:pStyle w:val="13"/>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90933">
    <w:pPr>
      <w:pStyle w:val="14"/>
      <w:ind w:left="0" w:leftChars="0" w:firstLine="0" w:firstLineChars="0"/>
      <w:jc w:val="left"/>
    </w:pPr>
    <w:r>
      <w:rPr>
        <w:rFonts w:hint="eastAsia"/>
      </w:rPr>
      <w:t xml:space="preserve">江西省宜丰万国矿业有限公司宜丰新庄铜铅锌矿尾矿库安全现状评价报告           </w:t>
    </w:r>
    <w:r>
      <w:rPr>
        <w:rFonts w:hint="eastAsia"/>
        <w:lang w:val="en-US" w:eastAsia="zh-CN"/>
      </w:rPr>
      <w:t xml:space="preserve">  </w:t>
    </w:r>
    <w:r>
      <w:rPr>
        <w:rFonts w:hint="eastAsia"/>
      </w:rPr>
      <w:t xml:space="preserve">  </w:t>
    </w:r>
    <w:r>
      <w:rPr>
        <w:rFonts w:hint="default" w:ascii="Times New Roman" w:hAnsi="Times New Roman" w:cs="Times New Roman"/>
      </w:rPr>
      <w:t xml:space="preserve">  GAAP</w:t>
    </w:r>
    <w:r>
      <w:rPr>
        <w:rFonts w:hint="eastAsia" w:ascii="微软雅黑" w:hAnsi="Times New Roman" w:eastAsia="微软雅黑" w:cs="微软雅黑"/>
        <w:kern w:val="2"/>
        <w:sz w:val="18"/>
        <w:szCs w:val="18"/>
        <w:lang w:val="en-US" w:eastAsia="zh-CN" w:bidi="ar-SA"/>
      </w:rPr>
      <w:t>〔</w:t>
    </w:r>
    <w:r>
      <w:rPr>
        <w:rFonts w:hint="eastAsia" w:ascii="Times New Roman" w:hAnsi="Times New Roman" w:eastAsia="宋体" w:cs="Times New Roman"/>
        <w:kern w:val="2"/>
        <w:sz w:val="18"/>
        <w:szCs w:val="18"/>
        <w:lang w:val="en-US" w:eastAsia="zh-CN" w:bidi="ar-SA"/>
      </w:rPr>
      <w:t>202</w:t>
    </w:r>
    <w:r>
      <w:rPr>
        <w:rFonts w:hint="eastAsia" w:cs="Times New Roman"/>
        <w:kern w:val="2"/>
        <w:sz w:val="18"/>
        <w:szCs w:val="18"/>
        <w:lang w:val="en-US" w:eastAsia="zh-CN" w:bidi="ar-SA"/>
      </w:rPr>
      <w:t>5</w:t>
    </w:r>
    <w:r>
      <w:rPr>
        <w:rFonts w:hint="eastAsia" w:ascii="微软雅黑" w:hAnsi="Times New Roman" w:eastAsia="微软雅黑" w:cs="微软雅黑"/>
        <w:kern w:val="2"/>
        <w:sz w:val="18"/>
        <w:szCs w:val="18"/>
        <w:lang w:val="en-US" w:eastAsia="zh-CN" w:bidi="ar-SA"/>
      </w:rPr>
      <w:t>〕</w:t>
    </w:r>
    <w:r>
      <w:rPr>
        <w:rFonts w:hint="eastAsia" w:cs="Times New Roman"/>
        <w:lang w:val="en-US" w:eastAsia="zh-CN"/>
      </w:rPr>
      <w:t>0309</w:t>
    </w:r>
    <w:r>
      <w:rPr>
        <w:rFonts w:hint="default" w:ascii="Times New Roman" w:hAnsi="Times New Roman" w:cs="Times New Roma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3F0D5"/>
    <w:multiLevelType w:val="singleLevel"/>
    <w:tmpl w:val="8983F0D5"/>
    <w:lvl w:ilvl="0" w:tentative="0">
      <w:start w:val="1"/>
      <w:numFmt w:val="decimal"/>
      <w:suff w:val="space"/>
      <w:lvlText w:val="%1."/>
      <w:lvlJc w:val="left"/>
    </w:lvl>
  </w:abstractNum>
  <w:abstractNum w:abstractNumId="1">
    <w:nsid w:val="DFF078CD"/>
    <w:multiLevelType w:val="singleLevel"/>
    <w:tmpl w:val="DFF078CD"/>
    <w:lvl w:ilvl="0" w:tentative="0">
      <w:start w:val="1"/>
      <w:numFmt w:val="decimal"/>
      <w:suff w:val="space"/>
      <w:lvlText w:val="%1."/>
      <w:lvlJc w:val="left"/>
    </w:lvl>
  </w:abstractNum>
  <w:abstractNum w:abstractNumId="2">
    <w:nsid w:val="13405DB4"/>
    <w:multiLevelType w:val="singleLevel"/>
    <w:tmpl w:val="13405DB4"/>
    <w:lvl w:ilvl="0" w:tentative="0">
      <w:start w:val="1"/>
      <w:numFmt w:val="decimal"/>
      <w:suff w:val="space"/>
      <w:lvlText w:val="%1."/>
      <w:lvlJc w:val="left"/>
    </w:lvl>
  </w:abstractNum>
  <w:abstractNum w:abstractNumId="3">
    <w:nsid w:val="287ECF56"/>
    <w:multiLevelType w:val="singleLevel"/>
    <w:tmpl w:val="287ECF56"/>
    <w:lvl w:ilvl="0" w:tentative="0">
      <w:start w:val="1"/>
      <w:numFmt w:val="decimal"/>
      <w:suff w:val="space"/>
      <w:lvlText w:val="%1."/>
      <w:lvlJc w:val="left"/>
    </w:lvl>
  </w:abstractNum>
  <w:abstractNum w:abstractNumId="4">
    <w:nsid w:val="41706DA2"/>
    <w:multiLevelType w:val="singleLevel"/>
    <w:tmpl w:val="41706DA2"/>
    <w:lvl w:ilvl="0" w:tentative="0">
      <w:start w:val="1"/>
      <w:numFmt w:val="decimal"/>
      <w:suff w:val="space"/>
      <w:lvlText w:val="%1."/>
      <w:lvlJc w:val="left"/>
    </w:lvl>
  </w:abstractNum>
  <w:abstractNum w:abstractNumId="5">
    <w:nsid w:val="52BF25FD"/>
    <w:multiLevelType w:val="singleLevel"/>
    <w:tmpl w:val="52BF25FD"/>
    <w:lvl w:ilvl="0" w:tentative="0">
      <w:start w:val="1"/>
      <w:numFmt w:val="decimal"/>
      <w:suff w:val="space"/>
      <w:lvlText w:val="%1."/>
      <w:lvlJc w:val="left"/>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00000000"/>
    <w:rsid w:val="005C6C6E"/>
    <w:rsid w:val="00A94756"/>
    <w:rsid w:val="00DE185F"/>
    <w:rsid w:val="0103164E"/>
    <w:rsid w:val="010D7DD7"/>
    <w:rsid w:val="01371F49"/>
    <w:rsid w:val="0155716D"/>
    <w:rsid w:val="01562017"/>
    <w:rsid w:val="01AD6BD8"/>
    <w:rsid w:val="02005B8D"/>
    <w:rsid w:val="02106ABC"/>
    <w:rsid w:val="02283016"/>
    <w:rsid w:val="02290253"/>
    <w:rsid w:val="024F4BCA"/>
    <w:rsid w:val="027B1CEE"/>
    <w:rsid w:val="02836ED2"/>
    <w:rsid w:val="02852286"/>
    <w:rsid w:val="028E0926"/>
    <w:rsid w:val="02967F59"/>
    <w:rsid w:val="03126EE3"/>
    <w:rsid w:val="03271EEF"/>
    <w:rsid w:val="03435D32"/>
    <w:rsid w:val="03546191"/>
    <w:rsid w:val="03DE20F3"/>
    <w:rsid w:val="042C18CE"/>
    <w:rsid w:val="045B71F9"/>
    <w:rsid w:val="045D1075"/>
    <w:rsid w:val="045F303F"/>
    <w:rsid w:val="047E3532"/>
    <w:rsid w:val="04B93E88"/>
    <w:rsid w:val="05366B04"/>
    <w:rsid w:val="053B7F7E"/>
    <w:rsid w:val="05476ED2"/>
    <w:rsid w:val="057B0FFA"/>
    <w:rsid w:val="059C3C80"/>
    <w:rsid w:val="05C173E2"/>
    <w:rsid w:val="063876A4"/>
    <w:rsid w:val="067D77AC"/>
    <w:rsid w:val="07283BBC"/>
    <w:rsid w:val="075F6EB2"/>
    <w:rsid w:val="07E618D5"/>
    <w:rsid w:val="07E86EA8"/>
    <w:rsid w:val="07FD72FC"/>
    <w:rsid w:val="080C703A"/>
    <w:rsid w:val="08456F9D"/>
    <w:rsid w:val="08836BD0"/>
    <w:rsid w:val="08B70A65"/>
    <w:rsid w:val="08E12697"/>
    <w:rsid w:val="08F32F05"/>
    <w:rsid w:val="09736C45"/>
    <w:rsid w:val="09A27895"/>
    <w:rsid w:val="0A015732"/>
    <w:rsid w:val="0B224422"/>
    <w:rsid w:val="0B4C7FEF"/>
    <w:rsid w:val="0B891F50"/>
    <w:rsid w:val="0C6E1BD7"/>
    <w:rsid w:val="0D36577E"/>
    <w:rsid w:val="0D3F0613"/>
    <w:rsid w:val="0D417485"/>
    <w:rsid w:val="0D611BD6"/>
    <w:rsid w:val="0DCE4EE9"/>
    <w:rsid w:val="0DDE3227"/>
    <w:rsid w:val="0EAE5D0B"/>
    <w:rsid w:val="0EE4067B"/>
    <w:rsid w:val="0F2C7D97"/>
    <w:rsid w:val="0F317370"/>
    <w:rsid w:val="0F5F0397"/>
    <w:rsid w:val="0F667927"/>
    <w:rsid w:val="0F8876CA"/>
    <w:rsid w:val="0F98675A"/>
    <w:rsid w:val="0FFC1742"/>
    <w:rsid w:val="100106CE"/>
    <w:rsid w:val="100D48FD"/>
    <w:rsid w:val="10480E2B"/>
    <w:rsid w:val="10827BCC"/>
    <w:rsid w:val="10A404D8"/>
    <w:rsid w:val="11360C84"/>
    <w:rsid w:val="11586E4C"/>
    <w:rsid w:val="115C19F5"/>
    <w:rsid w:val="116E48C1"/>
    <w:rsid w:val="11A7392F"/>
    <w:rsid w:val="11C95F9C"/>
    <w:rsid w:val="11D54941"/>
    <w:rsid w:val="12303925"/>
    <w:rsid w:val="126258E7"/>
    <w:rsid w:val="12753A2E"/>
    <w:rsid w:val="12C60FED"/>
    <w:rsid w:val="12DA75C2"/>
    <w:rsid w:val="1325541B"/>
    <w:rsid w:val="13350988"/>
    <w:rsid w:val="134F34D0"/>
    <w:rsid w:val="136647C4"/>
    <w:rsid w:val="13E70C2E"/>
    <w:rsid w:val="142D3A1C"/>
    <w:rsid w:val="145439BE"/>
    <w:rsid w:val="14596B6E"/>
    <w:rsid w:val="14890557"/>
    <w:rsid w:val="14913DAE"/>
    <w:rsid w:val="14D33A41"/>
    <w:rsid w:val="14FB646C"/>
    <w:rsid w:val="15234043"/>
    <w:rsid w:val="1533356A"/>
    <w:rsid w:val="15362A79"/>
    <w:rsid w:val="155D1958"/>
    <w:rsid w:val="15E80BB8"/>
    <w:rsid w:val="1719707D"/>
    <w:rsid w:val="17214184"/>
    <w:rsid w:val="177034A9"/>
    <w:rsid w:val="17814EBE"/>
    <w:rsid w:val="17D17BE5"/>
    <w:rsid w:val="17E728EB"/>
    <w:rsid w:val="17EF7DDE"/>
    <w:rsid w:val="17F263D6"/>
    <w:rsid w:val="188449CB"/>
    <w:rsid w:val="18A22B9C"/>
    <w:rsid w:val="18EA221C"/>
    <w:rsid w:val="19137AFC"/>
    <w:rsid w:val="191F4337"/>
    <w:rsid w:val="196056B2"/>
    <w:rsid w:val="19946E8F"/>
    <w:rsid w:val="19B16915"/>
    <w:rsid w:val="1AFE41A2"/>
    <w:rsid w:val="1B356450"/>
    <w:rsid w:val="1B4723FE"/>
    <w:rsid w:val="1B530684"/>
    <w:rsid w:val="1BD16179"/>
    <w:rsid w:val="1BEC5A46"/>
    <w:rsid w:val="1C312FB0"/>
    <w:rsid w:val="1C6922AF"/>
    <w:rsid w:val="1C7A0F4E"/>
    <w:rsid w:val="1CAC2742"/>
    <w:rsid w:val="1CF914BF"/>
    <w:rsid w:val="1D3474BE"/>
    <w:rsid w:val="1D64530A"/>
    <w:rsid w:val="1E2223FC"/>
    <w:rsid w:val="1E311151"/>
    <w:rsid w:val="1EDF0A76"/>
    <w:rsid w:val="1EEB7551"/>
    <w:rsid w:val="1F260691"/>
    <w:rsid w:val="1F3E55C8"/>
    <w:rsid w:val="1F78690B"/>
    <w:rsid w:val="1FAE738C"/>
    <w:rsid w:val="1FC16504"/>
    <w:rsid w:val="2077630A"/>
    <w:rsid w:val="20901CE0"/>
    <w:rsid w:val="21140CED"/>
    <w:rsid w:val="211A595D"/>
    <w:rsid w:val="21BA0FE9"/>
    <w:rsid w:val="21C1459A"/>
    <w:rsid w:val="22266AF2"/>
    <w:rsid w:val="228A6ABE"/>
    <w:rsid w:val="22A44DAF"/>
    <w:rsid w:val="22C34341"/>
    <w:rsid w:val="22D24D60"/>
    <w:rsid w:val="22D622C7"/>
    <w:rsid w:val="22DB168B"/>
    <w:rsid w:val="23290CD7"/>
    <w:rsid w:val="233D2CBA"/>
    <w:rsid w:val="235853C4"/>
    <w:rsid w:val="23A83C63"/>
    <w:rsid w:val="23E5611D"/>
    <w:rsid w:val="24066BDB"/>
    <w:rsid w:val="24373239"/>
    <w:rsid w:val="247E2C16"/>
    <w:rsid w:val="248F097F"/>
    <w:rsid w:val="24C04FDC"/>
    <w:rsid w:val="25097693"/>
    <w:rsid w:val="259A3A7F"/>
    <w:rsid w:val="25A920F9"/>
    <w:rsid w:val="26722306"/>
    <w:rsid w:val="267E6EFD"/>
    <w:rsid w:val="268D5D4F"/>
    <w:rsid w:val="26991759"/>
    <w:rsid w:val="2712017D"/>
    <w:rsid w:val="272D447F"/>
    <w:rsid w:val="275714EA"/>
    <w:rsid w:val="27932534"/>
    <w:rsid w:val="27D757D3"/>
    <w:rsid w:val="27EB05C2"/>
    <w:rsid w:val="280671AA"/>
    <w:rsid w:val="282D2989"/>
    <w:rsid w:val="28D01566"/>
    <w:rsid w:val="291353A0"/>
    <w:rsid w:val="29231FDE"/>
    <w:rsid w:val="292D6E86"/>
    <w:rsid w:val="295D34AF"/>
    <w:rsid w:val="29622B06"/>
    <w:rsid w:val="296353E8"/>
    <w:rsid w:val="299936DC"/>
    <w:rsid w:val="29F36060"/>
    <w:rsid w:val="29F70EFE"/>
    <w:rsid w:val="2A314E31"/>
    <w:rsid w:val="2AFF09D7"/>
    <w:rsid w:val="2B0F45C8"/>
    <w:rsid w:val="2B260BDC"/>
    <w:rsid w:val="2B3B360F"/>
    <w:rsid w:val="2B466DB9"/>
    <w:rsid w:val="2BAA42F0"/>
    <w:rsid w:val="2BB64989"/>
    <w:rsid w:val="2BF35C97"/>
    <w:rsid w:val="2CF47F19"/>
    <w:rsid w:val="2CFD1020"/>
    <w:rsid w:val="2D1A7254"/>
    <w:rsid w:val="2D4E798A"/>
    <w:rsid w:val="2D7925F4"/>
    <w:rsid w:val="2D7C1CBC"/>
    <w:rsid w:val="2D853E99"/>
    <w:rsid w:val="2D8D4A0A"/>
    <w:rsid w:val="2D97415D"/>
    <w:rsid w:val="2DBA7A28"/>
    <w:rsid w:val="2DC86CB0"/>
    <w:rsid w:val="2DE07A74"/>
    <w:rsid w:val="2E664D9E"/>
    <w:rsid w:val="2EB24CE0"/>
    <w:rsid w:val="2EBB2CB1"/>
    <w:rsid w:val="2F102B9E"/>
    <w:rsid w:val="2F206A1F"/>
    <w:rsid w:val="2F2F348A"/>
    <w:rsid w:val="2F3758E4"/>
    <w:rsid w:val="2F416D1A"/>
    <w:rsid w:val="2F9477B0"/>
    <w:rsid w:val="301628A9"/>
    <w:rsid w:val="303A2E5F"/>
    <w:rsid w:val="30C94C38"/>
    <w:rsid w:val="310221B1"/>
    <w:rsid w:val="312C75C4"/>
    <w:rsid w:val="314422DD"/>
    <w:rsid w:val="314F5A38"/>
    <w:rsid w:val="31697D37"/>
    <w:rsid w:val="318F0210"/>
    <w:rsid w:val="31AA0C0A"/>
    <w:rsid w:val="31BB2DB3"/>
    <w:rsid w:val="31E57E30"/>
    <w:rsid w:val="31F2146B"/>
    <w:rsid w:val="325011E8"/>
    <w:rsid w:val="326055F9"/>
    <w:rsid w:val="32802058"/>
    <w:rsid w:val="328A6C2A"/>
    <w:rsid w:val="328F5FEE"/>
    <w:rsid w:val="329F26D5"/>
    <w:rsid w:val="32DE21FE"/>
    <w:rsid w:val="32EB35B4"/>
    <w:rsid w:val="33222CB9"/>
    <w:rsid w:val="33880D03"/>
    <w:rsid w:val="33B8412C"/>
    <w:rsid w:val="33D12052"/>
    <w:rsid w:val="33D22636"/>
    <w:rsid w:val="349831C4"/>
    <w:rsid w:val="35366BF5"/>
    <w:rsid w:val="353F360F"/>
    <w:rsid w:val="358018DD"/>
    <w:rsid w:val="35B73417"/>
    <w:rsid w:val="35E623C9"/>
    <w:rsid w:val="363F7524"/>
    <w:rsid w:val="36A04C6E"/>
    <w:rsid w:val="36A61BFF"/>
    <w:rsid w:val="36D10B7D"/>
    <w:rsid w:val="36F57279"/>
    <w:rsid w:val="371649C0"/>
    <w:rsid w:val="37272C99"/>
    <w:rsid w:val="3787198A"/>
    <w:rsid w:val="37A54D91"/>
    <w:rsid w:val="37BA58BB"/>
    <w:rsid w:val="37DB610F"/>
    <w:rsid w:val="37DE146E"/>
    <w:rsid w:val="384120F7"/>
    <w:rsid w:val="386B37E8"/>
    <w:rsid w:val="38782491"/>
    <w:rsid w:val="38FC4B7C"/>
    <w:rsid w:val="390F1C37"/>
    <w:rsid w:val="393022D9"/>
    <w:rsid w:val="397D3044"/>
    <w:rsid w:val="39B0341A"/>
    <w:rsid w:val="39C43F44"/>
    <w:rsid w:val="3A63223A"/>
    <w:rsid w:val="3A834A05"/>
    <w:rsid w:val="3A9643BE"/>
    <w:rsid w:val="3AAC1E33"/>
    <w:rsid w:val="3B0A24EB"/>
    <w:rsid w:val="3B0E11B9"/>
    <w:rsid w:val="3B1D002D"/>
    <w:rsid w:val="3B712735"/>
    <w:rsid w:val="3B914B85"/>
    <w:rsid w:val="3BA82BFD"/>
    <w:rsid w:val="3C073099"/>
    <w:rsid w:val="3C1A742D"/>
    <w:rsid w:val="3C791EFD"/>
    <w:rsid w:val="3C8203BB"/>
    <w:rsid w:val="3C9A0A83"/>
    <w:rsid w:val="3CA56E5C"/>
    <w:rsid w:val="3CB4251D"/>
    <w:rsid w:val="3D493F35"/>
    <w:rsid w:val="3D6F4035"/>
    <w:rsid w:val="3D9B618F"/>
    <w:rsid w:val="3DAC3EF8"/>
    <w:rsid w:val="3E495BEB"/>
    <w:rsid w:val="3E650AC7"/>
    <w:rsid w:val="3E6850E9"/>
    <w:rsid w:val="3E802591"/>
    <w:rsid w:val="3E8417B1"/>
    <w:rsid w:val="3F481E53"/>
    <w:rsid w:val="3F4D5963"/>
    <w:rsid w:val="3F7603DF"/>
    <w:rsid w:val="3FE730FF"/>
    <w:rsid w:val="409F2538"/>
    <w:rsid w:val="40E52248"/>
    <w:rsid w:val="41465972"/>
    <w:rsid w:val="42255D7C"/>
    <w:rsid w:val="42405D96"/>
    <w:rsid w:val="427A1F06"/>
    <w:rsid w:val="4283791D"/>
    <w:rsid w:val="42EA174A"/>
    <w:rsid w:val="433125CD"/>
    <w:rsid w:val="433C007A"/>
    <w:rsid w:val="43C2293A"/>
    <w:rsid w:val="43E87689"/>
    <w:rsid w:val="440B6BE2"/>
    <w:rsid w:val="445B38A4"/>
    <w:rsid w:val="44BC28D1"/>
    <w:rsid w:val="44BF6C07"/>
    <w:rsid w:val="450B2EEB"/>
    <w:rsid w:val="45357D20"/>
    <w:rsid w:val="45AE3109"/>
    <w:rsid w:val="45B74BFB"/>
    <w:rsid w:val="45C45BA1"/>
    <w:rsid w:val="45D81278"/>
    <w:rsid w:val="4629258A"/>
    <w:rsid w:val="463B050F"/>
    <w:rsid w:val="46584C1D"/>
    <w:rsid w:val="46A41C10"/>
    <w:rsid w:val="47372A84"/>
    <w:rsid w:val="474A5F7A"/>
    <w:rsid w:val="47586573"/>
    <w:rsid w:val="47B16CDB"/>
    <w:rsid w:val="483B143E"/>
    <w:rsid w:val="483E2E8C"/>
    <w:rsid w:val="48484E0B"/>
    <w:rsid w:val="48594C7C"/>
    <w:rsid w:val="48B3355A"/>
    <w:rsid w:val="48EF0574"/>
    <w:rsid w:val="49003905"/>
    <w:rsid w:val="496C5710"/>
    <w:rsid w:val="49AF2C61"/>
    <w:rsid w:val="49B17A19"/>
    <w:rsid w:val="49CF45A0"/>
    <w:rsid w:val="4A176B9D"/>
    <w:rsid w:val="4A3C1AFC"/>
    <w:rsid w:val="4A425D44"/>
    <w:rsid w:val="4AB935C3"/>
    <w:rsid w:val="4BE74CD7"/>
    <w:rsid w:val="4BF4363A"/>
    <w:rsid w:val="4C636ED9"/>
    <w:rsid w:val="4CD751A0"/>
    <w:rsid w:val="4D111FCA"/>
    <w:rsid w:val="4D7C3730"/>
    <w:rsid w:val="4DD54DA5"/>
    <w:rsid w:val="4DE35714"/>
    <w:rsid w:val="4E013DEC"/>
    <w:rsid w:val="4E173AED"/>
    <w:rsid w:val="4E920EE8"/>
    <w:rsid w:val="4FBD0166"/>
    <w:rsid w:val="4FE47521"/>
    <w:rsid w:val="50993895"/>
    <w:rsid w:val="50D457E8"/>
    <w:rsid w:val="50DC4C8A"/>
    <w:rsid w:val="51120B54"/>
    <w:rsid w:val="51DA56D9"/>
    <w:rsid w:val="521479BD"/>
    <w:rsid w:val="523572D3"/>
    <w:rsid w:val="52630BD1"/>
    <w:rsid w:val="528A0C2E"/>
    <w:rsid w:val="52C27FEE"/>
    <w:rsid w:val="52E52E06"/>
    <w:rsid w:val="53065EB5"/>
    <w:rsid w:val="53376114"/>
    <w:rsid w:val="534F73A8"/>
    <w:rsid w:val="53C102A5"/>
    <w:rsid w:val="54501629"/>
    <w:rsid w:val="549E05E7"/>
    <w:rsid w:val="551A2274"/>
    <w:rsid w:val="552079AD"/>
    <w:rsid w:val="55865E7A"/>
    <w:rsid w:val="55AD03B6"/>
    <w:rsid w:val="565926F8"/>
    <w:rsid w:val="56947B58"/>
    <w:rsid w:val="569A4893"/>
    <w:rsid w:val="56DE12A0"/>
    <w:rsid w:val="570F0CE3"/>
    <w:rsid w:val="57364B06"/>
    <w:rsid w:val="57640800"/>
    <w:rsid w:val="58491124"/>
    <w:rsid w:val="589870FB"/>
    <w:rsid w:val="58FA06F3"/>
    <w:rsid w:val="59037050"/>
    <w:rsid w:val="593257A1"/>
    <w:rsid w:val="59716137"/>
    <w:rsid w:val="597C6A1D"/>
    <w:rsid w:val="599A323A"/>
    <w:rsid w:val="59FD5D36"/>
    <w:rsid w:val="5A0507C0"/>
    <w:rsid w:val="5A106D9C"/>
    <w:rsid w:val="5A1153B7"/>
    <w:rsid w:val="5A5055AA"/>
    <w:rsid w:val="5A645887"/>
    <w:rsid w:val="5AE66844"/>
    <w:rsid w:val="5B9C6F02"/>
    <w:rsid w:val="5BA31F6D"/>
    <w:rsid w:val="5CBC2E8A"/>
    <w:rsid w:val="5D984E39"/>
    <w:rsid w:val="5DE3706A"/>
    <w:rsid w:val="5E256920"/>
    <w:rsid w:val="5E8A707B"/>
    <w:rsid w:val="5E951201"/>
    <w:rsid w:val="5ECC3F6D"/>
    <w:rsid w:val="5EF977B3"/>
    <w:rsid w:val="5F665FE7"/>
    <w:rsid w:val="5F737229"/>
    <w:rsid w:val="5F7E172D"/>
    <w:rsid w:val="60465003"/>
    <w:rsid w:val="60534318"/>
    <w:rsid w:val="60C63C94"/>
    <w:rsid w:val="6142054C"/>
    <w:rsid w:val="61555693"/>
    <w:rsid w:val="617565F6"/>
    <w:rsid w:val="617A7C83"/>
    <w:rsid w:val="628F5D29"/>
    <w:rsid w:val="62A414BE"/>
    <w:rsid w:val="62C56E45"/>
    <w:rsid w:val="634632A4"/>
    <w:rsid w:val="63763A5F"/>
    <w:rsid w:val="63810D24"/>
    <w:rsid w:val="64532812"/>
    <w:rsid w:val="64780290"/>
    <w:rsid w:val="64B17EC2"/>
    <w:rsid w:val="65261E33"/>
    <w:rsid w:val="654A3ABB"/>
    <w:rsid w:val="65613696"/>
    <w:rsid w:val="6589396E"/>
    <w:rsid w:val="66042274"/>
    <w:rsid w:val="667A530E"/>
    <w:rsid w:val="667C005C"/>
    <w:rsid w:val="66ED0F5A"/>
    <w:rsid w:val="67144738"/>
    <w:rsid w:val="67177D85"/>
    <w:rsid w:val="67191D4F"/>
    <w:rsid w:val="671B39FF"/>
    <w:rsid w:val="671C049D"/>
    <w:rsid w:val="678E44EB"/>
    <w:rsid w:val="68324E76"/>
    <w:rsid w:val="6841330B"/>
    <w:rsid w:val="68560FB0"/>
    <w:rsid w:val="6875755D"/>
    <w:rsid w:val="68DD5B96"/>
    <w:rsid w:val="69126A56"/>
    <w:rsid w:val="693D7F76"/>
    <w:rsid w:val="69643755"/>
    <w:rsid w:val="69981651"/>
    <w:rsid w:val="69DA57C5"/>
    <w:rsid w:val="6A2627B9"/>
    <w:rsid w:val="6A2716C9"/>
    <w:rsid w:val="6A610B11"/>
    <w:rsid w:val="6A6A173C"/>
    <w:rsid w:val="6AA60986"/>
    <w:rsid w:val="6AAB0F10"/>
    <w:rsid w:val="6AE84A72"/>
    <w:rsid w:val="6B1B3F84"/>
    <w:rsid w:val="6B4E7EEE"/>
    <w:rsid w:val="6C465F32"/>
    <w:rsid w:val="6C703149"/>
    <w:rsid w:val="6C846764"/>
    <w:rsid w:val="6CA200F0"/>
    <w:rsid w:val="6CFE3B02"/>
    <w:rsid w:val="6D88670D"/>
    <w:rsid w:val="6DE309C1"/>
    <w:rsid w:val="6EA405A9"/>
    <w:rsid w:val="6EC16F54"/>
    <w:rsid w:val="6F265009"/>
    <w:rsid w:val="6F834209"/>
    <w:rsid w:val="6F9E3748"/>
    <w:rsid w:val="70981F36"/>
    <w:rsid w:val="70A11939"/>
    <w:rsid w:val="7116481E"/>
    <w:rsid w:val="71421785"/>
    <w:rsid w:val="7158574F"/>
    <w:rsid w:val="7180259E"/>
    <w:rsid w:val="721253F9"/>
    <w:rsid w:val="722578E9"/>
    <w:rsid w:val="72B54101"/>
    <w:rsid w:val="72CC5EC7"/>
    <w:rsid w:val="7313528F"/>
    <w:rsid w:val="7314591F"/>
    <w:rsid w:val="733C509D"/>
    <w:rsid w:val="73972979"/>
    <w:rsid w:val="739A6724"/>
    <w:rsid w:val="74237D69"/>
    <w:rsid w:val="74A626EA"/>
    <w:rsid w:val="75023E22"/>
    <w:rsid w:val="756747A2"/>
    <w:rsid w:val="75734190"/>
    <w:rsid w:val="75A7382D"/>
    <w:rsid w:val="7625426C"/>
    <w:rsid w:val="762C373B"/>
    <w:rsid w:val="77843214"/>
    <w:rsid w:val="77B5517C"/>
    <w:rsid w:val="77C47A53"/>
    <w:rsid w:val="77D74F78"/>
    <w:rsid w:val="77EA5801"/>
    <w:rsid w:val="785962C1"/>
    <w:rsid w:val="78832BF4"/>
    <w:rsid w:val="789E0A66"/>
    <w:rsid w:val="78B00F4C"/>
    <w:rsid w:val="791F1447"/>
    <w:rsid w:val="79AE6327"/>
    <w:rsid w:val="7A3507F6"/>
    <w:rsid w:val="7A4822D7"/>
    <w:rsid w:val="7A925C48"/>
    <w:rsid w:val="7ABA6A60"/>
    <w:rsid w:val="7B1440DE"/>
    <w:rsid w:val="7B3343CE"/>
    <w:rsid w:val="7B4968BF"/>
    <w:rsid w:val="7BA93985"/>
    <w:rsid w:val="7BDD225D"/>
    <w:rsid w:val="7C914A80"/>
    <w:rsid w:val="7DCC0D4A"/>
    <w:rsid w:val="7E05426C"/>
    <w:rsid w:val="7E3A287F"/>
    <w:rsid w:val="7E696CC0"/>
    <w:rsid w:val="7EF85C16"/>
    <w:rsid w:val="7EF91DDE"/>
    <w:rsid w:val="7F024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9"/>
    <w:autoRedefine/>
    <w:qFormat/>
    <w:uiPriority w:val="0"/>
    <w:pPr>
      <w:keepNext/>
      <w:keepLines/>
      <w:spacing w:beforeLines="0" w:beforeAutospacing="0" w:afterLines="0" w:afterAutospacing="0" w:line="360" w:lineRule="auto"/>
      <w:ind w:left="0" w:leftChars="0" w:firstLine="0" w:firstLineChars="0"/>
      <w:jc w:val="center"/>
      <w:outlineLvl w:val="0"/>
    </w:pPr>
    <w:rPr>
      <w:rFonts w:ascii="Times New Roman" w:hAnsi="Times New Roman" w:eastAsia="黑体"/>
      <w:b/>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left="280" w:leftChars="100" w:firstLine="0" w:firstLineChars="0"/>
      <w:outlineLvl w:val="1"/>
    </w:pPr>
    <w:rPr>
      <w:rFonts w:eastAsia="黑体"/>
      <w:b/>
      <w:sz w:val="30"/>
    </w:rPr>
  </w:style>
  <w:style w:type="paragraph" w:styleId="4">
    <w:name w:val="heading 3"/>
    <w:basedOn w:val="1"/>
    <w:next w:val="1"/>
    <w:link w:val="38"/>
    <w:autoRedefine/>
    <w:unhideWhenUsed/>
    <w:qFormat/>
    <w:uiPriority w:val="0"/>
    <w:pPr>
      <w:keepNext/>
      <w:keepLines/>
      <w:spacing w:beforeLines="0" w:beforeAutospacing="0" w:afterLines="0" w:afterAutospacing="0" w:line="360" w:lineRule="auto"/>
      <w:ind w:left="560" w:leftChars="200" w:firstLine="0" w:firstLineChars="0"/>
      <w:outlineLvl w:val="2"/>
    </w:pPr>
    <w:rPr>
      <w:rFonts w:eastAsia="黑体"/>
      <w:b/>
    </w:rPr>
  </w:style>
  <w:style w:type="character" w:default="1" w:styleId="22">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style>
  <w:style w:type="paragraph" w:styleId="6">
    <w:name w:val="Normal Indent"/>
    <w:basedOn w:val="1"/>
    <w:next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8">
    <w:name w:val="annotation text"/>
    <w:basedOn w:val="1"/>
    <w:autoRedefine/>
    <w:qFormat/>
    <w:uiPriority w:val="0"/>
    <w:pPr>
      <w:jc w:val="left"/>
    </w:pPr>
  </w:style>
  <w:style w:type="paragraph" w:styleId="9">
    <w:name w:val="Body Text"/>
    <w:link w:val="41"/>
    <w:autoRedefine/>
    <w:qFormat/>
    <w:uiPriority w:val="0"/>
    <w:pPr>
      <w:widowControl w:val="0"/>
      <w:spacing w:after="120" w:line="360" w:lineRule="auto"/>
      <w:jc w:val="both"/>
    </w:pPr>
    <w:rPr>
      <w:rFonts w:ascii="Times New Roman" w:hAnsi="Times New Roman" w:eastAsia="宋体" w:cs="Times New Roman"/>
      <w:kern w:val="2"/>
      <w:sz w:val="28"/>
      <w:szCs w:val="24"/>
      <w:lang w:val="en-US" w:eastAsia="zh-CN" w:bidi="ar-SA"/>
    </w:rPr>
  </w:style>
  <w:style w:type="paragraph" w:styleId="10">
    <w:name w:val="Body Text Indent"/>
    <w:basedOn w:val="1"/>
    <w:next w:val="6"/>
    <w:qFormat/>
    <w:uiPriority w:val="0"/>
    <w:pPr>
      <w:widowControl w:val="0"/>
      <w:spacing w:after="120" w:afterLines="0"/>
      <w:ind w:left="420" w:leftChars="200"/>
      <w:jc w:val="both"/>
    </w:pPr>
    <w:rPr>
      <w:rFonts w:ascii="Times New Roman" w:hAnsi="Times New Roman" w:eastAsia="宋体" w:cs="Times New Roman"/>
      <w:kern w:val="2"/>
      <w:sz w:val="21"/>
      <w:szCs w:val="24"/>
      <w:lang w:val="en-US" w:eastAsia="zh-CN" w:bidi="ar-SA"/>
    </w:rPr>
  </w:style>
  <w:style w:type="paragraph" w:styleId="11">
    <w:name w:val="toc 3"/>
    <w:basedOn w:val="1"/>
    <w:next w:val="1"/>
    <w:autoRedefine/>
    <w:qFormat/>
    <w:uiPriority w:val="0"/>
    <w:pPr>
      <w:spacing w:line="240" w:lineRule="auto"/>
      <w:ind w:left="840" w:leftChars="400"/>
    </w:pPr>
    <w:rPr>
      <w:rFonts w:ascii="Times New Roman" w:hAnsi="Times New Roman" w:eastAsia="宋体"/>
      <w:sz w:val="21"/>
    </w:rPr>
  </w:style>
  <w:style w:type="paragraph" w:styleId="12">
    <w:name w:val="Plain Text"/>
    <w:basedOn w:val="1"/>
    <w:qFormat/>
    <w:uiPriority w:val="0"/>
    <w:rPr>
      <w:rFonts w:ascii="宋体" w:hAnsi="Courier New"/>
      <w:szCs w:val="21"/>
    </w:rPr>
  </w:style>
  <w:style w:type="paragraph" w:styleId="13">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5">
    <w:name w:val="toc 1"/>
    <w:basedOn w:val="1"/>
    <w:next w:val="1"/>
    <w:autoRedefine/>
    <w:qFormat/>
    <w:uiPriority w:val="0"/>
    <w:pPr>
      <w:tabs>
        <w:tab w:val="right" w:leader="dot" w:pos="9072"/>
      </w:tabs>
      <w:spacing w:line="240" w:lineRule="auto"/>
      <w:ind w:firstLine="0" w:firstLineChars="0"/>
    </w:pPr>
    <w:rPr>
      <w:rFonts w:ascii="Times New Roman" w:hAnsi="Times New Roman" w:eastAsia="宋体"/>
      <w:sz w:val="28"/>
      <w:szCs w:val="21"/>
    </w:rPr>
  </w:style>
  <w:style w:type="paragraph" w:styleId="16">
    <w:name w:val="toc 2"/>
    <w:basedOn w:val="1"/>
    <w:next w:val="1"/>
    <w:autoRedefine/>
    <w:qFormat/>
    <w:uiPriority w:val="0"/>
    <w:pPr>
      <w:spacing w:line="240" w:lineRule="auto"/>
      <w:ind w:left="420" w:leftChars="200" w:firstLine="0" w:firstLineChars="0"/>
    </w:pPr>
    <w:rPr>
      <w:rFonts w:ascii="Times New Roman" w:hAnsi="Times New Roman" w:eastAsia="宋体"/>
      <w:sz w:val="24"/>
    </w:rPr>
  </w:style>
  <w:style w:type="paragraph" w:styleId="17">
    <w:name w:val="Body Text 2"/>
    <w:autoRedefine/>
    <w:qFormat/>
    <w:uiPriority w:val="0"/>
    <w:pPr>
      <w:widowControl w:val="0"/>
      <w:spacing w:after="120" w:line="480" w:lineRule="auto"/>
      <w:jc w:val="both"/>
    </w:pPr>
    <w:rPr>
      <w:rFonts w:ascii="Times New Roman" w:hAnsi="Times New Roman" w:eastAsia="宋体" w:cs="Times New Roman"/>
      <w:kern w:val="2"/>
      <w:sz w:val="28"/>
      <w:szCs w:val="24"/>
      <w:lang w:val="en-US" w:eastAsia="zh-CN" w:bidi="ar-SA"/>
    </w:rPr>
  </w:style>
  <w:style w:type="paragraph" w:styleId="18">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9">
    <w:name w:val="Body Text First Indent 2"/>
    <w:basedOn w:val="10"/>
    <w:qFormat/>
    <w:uiPriority w:val="99"/>
    <w:pPr>
      <w:ind w:firstLine="420"/>
    </w:p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paragraph" w:customStyle="1" w:styleId="24">
    <w:name w:val="&quot;footnote text&quot;"/>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目录1"/>
    <w:basedOn w:val="5"/>
    <w:autoRedefine/>
    <w:qFormat/>
    <w:uiPriority w:val="0"/>
    <w:pPr>
      <w:spacing w:line="240" w:lineRule="auto"/>
      <w:ind w:left="0" w:leftChars="0" w:firstLine="0" w:firstLineChars="0"/>
    </w:pPr>
  </w:style>
  <w:style w:type="paragraph" w:customStyle="1" w:styleId="26">
    <w:name w:val="目录2"/>
    <w:basedOn w:val="5"/>
    <w:autoRedefine/>
    <w:qFormat/>
    <w:uiPriority w:val="0"/>
    <w:pPr>
      <w:spacing w:line="240" w:lineRule="auto"/>
      <w:ind w:firstLine="0" w:firstLineChars="0"/>
    </w:pPr>
    <w:rPr>
      <w:sz w:val="24"/>
    </w:rPr>
  </w:style>
  <w:style w:type="paragraph" w:customStyle="1" w:styleId="27">
    <w:name w:val="目录3"/>
    <w:basedOn w:val="5"/>
    <w:autoRedefine/>
    <w:qFormat/>
    <w:uiPriority w:val="0"/>
    <w:pPr>
      <w:spacing w:line="240" w:lineRule="auto"/>
      <w:ind w:left="1120" w:leftChars="400" w:firstLine="0" w:firstLineChars="0"/>
    </w:pPr>
    <w:rPr>
      <w:sz w:val="21"/>
    </w:rPr>
  </w:style>
  <w:style w:type="paragraph" w:customStyle="1" w:styleId="28">
    <w:name w:val="样式 小四 首行缩进:  0.85 厘米 行距: 固定值 22 磅"/>
    <w:autoRedefine/>
    <w:qFormat/>
    <w:uiPriority w:val="0"/>
    <w:pPr>
      <w:widowControl/>
      <w:spacing w:line="440" w:lineRule="exact"/>
      <w:ind w:firstLine="480" w:firstLineChars="200"/>
      <w:jc w:val="both"/>
    </w:pPr>
    <w:rPr>
      <w:rFonts w:ascii="新宋体" w:hAnsi="新宋体" w:eastAsia="新宋体" w:cs="新宋体"/>
      <w:kern w:val="0"/>
      <w:sz w:val="24"/>
      <w:szCs w:val="20"/>
      <w:lang w:val="en-US" w:eastAsia="en-US" w:bidi="en-US"/>
    </w:rPr>
  </w:style>
  <w:style w:type="character" w:customStyle="1" w:styleId="29">
    <w:name w:val="标题 1 Char1"/>
    <w:link w:val="2"/>
    <w:autoRedefine/>
    <w:qFormat/>
    <w:uiPriority w:val="0"/>
    <w:rPr>
      <w:rFonts w:ascii="Times New Roman" w:hAnsi="Times New Roman" w:eastAsia="黑体"/>
      <w:b/>
      <w:kern w:val="44"/>
      <w:sz w:val="32"/>
    </w:rPr>
  </w:style>
  <w:style w:type="paragraph" w:customStyle="1" w:styleId="30">
    <w:name w:val="Char1"/>
    <w:basedOn w:val="1"/>
    <w:autoRedefine/>
    <w:qFormat/>
    <w:uiPriority w:val="0"/>
    <w:pPr>
      <w:autoSpaceDE w:val="0"/>
      <w:autoSpaceDN w:val="0"/>
      <w:adjustRightInd w:val="0"/>
      <w:snapToGrid w:val="0"/>
      <w:spacing w:before="50" w:after="50"/>
      <w:ind w:firstLine="560" w:firstLineChars="200"/>
    </w:pPr>
    <w:rPr>
      <w:sz w:val="21"/>
      <w:szCs w:val="20"/>
    </w:rPr>
  </w:style>
  <w:style w:type="character" w:customStyle="1" w:styleId="31">
    <w:name w:val="正文文本 + 10.5 pt6"/>
    <w:autoRedefine/>
    <w:qFormat/>
    <w:uiPriority w:val="0"/>
    <w:rPr>
      <w:rFonts w:ascii="宋体" w:hAnsi="宋体" w:eastAsia="宋体" w:cs="宋体"/>
      <w:kern w:val="2"/>
      <w:sz w:val="21"/>
      <w:szCs w:val="21"/>
      <w:u w:val="none"/>
      <w:lang w:val="en-US" w:eastAsia="zh-CN" w:bidi="ar-SA"/>
    </w:rPr>
  </w:style>
  <w:style w:type="character" w:customStyle="1" w:styleId="32">
    <w:name w:val="正文文本_"/>
    <w:link w:val="9"/>
    <w:autoRedefine/>
    <w:qFormat/>
    <w:uiPriority w:val="0"/>
    <w:rPr>
      <w:kern w:val="2"/>
      <w:sz w:val="28"/>
      <w:szCs w:val="24"/>
      <w:lang w:val="en-US" w:eastAsia="zh-CN" w:bidi="ar-SA"/>
    </w:rPr>
  </w:style>
  <w:style w:type="character" w:customStyle="1" w:styleId="33">
    <w:name w:val="正文文本 + Batang19"/>
    <w:autoRedefine/>
    <w:qFormat/>
    <w:uiPriority w:val="0"/>
    <w:rPr>
      <w:rFonts w:ascii="Batang" w:hAnsi="宋体" w:eastAsia="Batang" w:cs="Batang"/>
      <w:kern w:val="2"/>
      <w:sz w:val="19"/>
      <w:szCs w:val="19"/>
      <w:u w:val="none"/>
      <w:lang w:val="en-US" w:eastAsia="en-US" w:bidi="ar-SA"/>
    </w:rPr>
  </w:style>
  <w:style w:type="character" w:customStyle="1" w:styleId="34">
    <w:name w:val="正文文本 + MS Gothic"/>
    <w:autoRedefine/>
    <w:qFormat/>
    <w:uiPriority w:val="0"/>
    <w:rPr>
      <w:rFonts w:ascii="MS Gothic" w:hAnsi="宋体" w:eastAsia="MS Gothic" w:cs="MS Gothic"/>
      <w:spacing w:val="-20"/>
      <w:kern w:val="2"/>
      <w:sz w:val="8"/>
      <w:szCs w:val="8"/>
      <w:u w:val="none"/>
      <w:lang w:val="en-US" w:eastAsia="zh-CN" w:bidi="ar-SA"/>
    </w:rPr>
  </w:style>
  <w:style w:type="character" w:customStyle="1" w:styleId="35">
    <w:name w:val="正文文本 + Batang18"/>
    <w:autoRedefine/>
    <w:qFormat/>
    <w:uiPriority w:val="0"/>
    <w:rPr>
      <w:rFonts w:ascii="Batang" w:hAnsi="宋体" w:eastAsia="Batang" w:cs="Batang"/>
      <w:kern w:val="2"/>
      <w:sz w:val="19"/>
      <w:szCs w:val="19"/>
      <w:u w:val="none"/>
      <w:lang w:val="en-US" w:eastAsia="zh-CN" w:bidi="ar-SA"/>
    </w:rPr>
  </w:style>
  <w:style w:type="table" w:customStyle="1" w:styleId="36">
    <w:name w:val="Table Normal"/>
    <w:autoRedefine/>
    <w:semiHidden/>
    <w:unhideWhenUsed/>
    <w:qFormat/>
    <w:uiPriority w:val="0"/>
    <w:tblPr>
      <w:tblCellMar>
        <w:top w:w="0" w:type="dxa"/>
        <w:left w:w="0" w:type="dxa"/>
        <w:bottom w:w="0" w:type="dxa"/>
        <w:right w:w="0" w:type="dxa"/>
      </w:tblCellMar>
    </w:tblPr>
  </w:style>
  <w:style w:type="paragraph" w:customStyle="1" w:styleId="37">
    <w:name w:val="Table Text"/>
    <w:basedOn w:val="1"/>
    <w:autoRedefine/>
    <w:semiHidden/>
    <w:qFormat/>
    <w:uiPriority w:val="0"/>
    <w:rPr>
      <w:rFonts w:ascii="微软雅黑" w:hAnsi="微软雅黑" w:eastAsia="微软雅黑" w:cs="微软雅黑"/>
      <w:sz w:val="28"/>
      <w:szCs w:val="28"/>
      <w:lang w:val="en-US" w:eastAsia="en-US" w:bidi="ar-SA"/>
    </w:rPr>
  </w:style>
  <w:style w:type="character" w:customStyle="1" w:styleId="38">
    <w:name w:val="标题 3 Char"/>
    <w:link w:val="4"/>
    <w:qFormat/>
    <w:uiPriority w:val="0"/>
    <w:rPr>
      <w:rFonts w:eastAsia="黑体"/>
      <w:b/>
    </w:rPr>
  </w:style>
  <w:style w:type="paragraph" w:customStyle="1" w:styleId="39">
    <w:name w:val="样式 样式 样式 正文文本缩进 + 首行缩进:  2 字符 + 图案: 15% (自动设置 前景 白色 背景) + 图案: 清除"/>
    <w:qFormat/>
    <w:uiPriority w:val="0"/>
    <w:pPr>
      <w:widowControl/>
      <w:tabs>
        <w:tab w:val="left" w:pos="1155"/>
        <w:tab w:val="center" w:pos="4153"/>
      </w:tabs>
      <w:spacing w:line="360" w:lineRule="auto"/>
      <w:ind w:firstLine="560" w:firstLineChars="200"/>
      <w:jc w:val="both"/>
    </w:pPr>
    <w:rPr>
      <w:rFonts w:ascii="Times New Roman" w:hAnsi="Times New Roman" w:eastAsia="宋体" w:cs="宋体"/>
      <w:color w:val="000000"/>
      <w:kern w:val="0"/>
      <w:sz w:val="28"/>
      <w:szCs w:val="28"/>
      <w:lang w:val="en-US" w:eastAsia="zh-CN" w:bidi="ar-SA"/>
    </w:rPr>
  </w:style>
  <w:style w:type="paragraph" w:customStyle="1" w:styleId="40">
    <w:name w:val="样式 标题 2"/>
    <w:basedOn w:val="3"/>
    <w:qFormat/>
    <w:uiPriority w:val="0"/>
    <w:pPr>
      <w:spacing w:before="50" w:after="50"/>
      <w:jc w:val="both"/>
    </w:pPr>
    <w:rPr>
      <w:szCs w:val="28"/>
    </w:rPr>
  </w:style>
  <w:style w:type="character" w:customStyle="1" w:styleId="41">
    <w:name w:val="正文文本 Char"/>
    <w:link w:val="9"/>
    <w:qFormat/>
    <w:uiPriority w:val="0"/>
    <w:rPr>
      <w:rFonts w:ascii="仿宋_GB2312" w:hAnsi="宋体" w:eastAsia="仿宋_GB2312" w:cs="仿宋_GB2312"/>
      <w:szCs w:val="21"/>
    </w:rPr>
  </w:style>
  <w:style w:type="paragraph" w:customStyle="1" w:styleId="42">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83</Pages>
  <Words>13551</Words>
  <Characters>15901</Characters>
  <Lines>0</Lines>
  <Paragraphs>0</Paragraphs>
  <TotalTime>1</TotalTime>
  <ScaleCrop>false</ScaleCrop>
  <LinksUpToDate>false</LinksUpToDate>
  <CharactersWithSpaces>16898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长青藤</cp:lastModifiedBy>
  <cp:lastPrinted>2025-06-10T06:45:00Z</cp:lastPrinted>
  <dcterms:modified xsi:type="dcterms:W3CDTF">2025-06-10T07:37:43Z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B1C61FD6A7CB416B823A93B2F1477084</vt:lpwstr>
  </property>
  <property fmtid="{D5CDD505-2E9C-101B-9397-08002B2CF9AE}" pid="4" name="KSOTemplateDocerSaveRecord">
    <vt:lpwstr>eyJoZGlkIjoiZTUyYWUxNGNmMmUyZTIxY2FmM2YyMWFiMjM3Y2U3MzAiLCJ1c2VySWQiOiI2OTk0MDQxMDkifQ==</vt:lpwstr>
  </property>
</Properties>
</file>