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FE92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已完成项目网上公布表</w:t>
      </w:r>
    </w:p>
    <w:tbl>
      <w:tblPr>
        <w:tblStyle w:val="10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002"/>
        <w:gridCol w:w="570"/>
        <w:gridCol w:w="4927"/>
      </w:tblGrid>
      <w:tr w14:paraId="44E9B2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3C10524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page"/>
            </w:r>
            <w:r>
              <w:rPr>
                <w:rFonts w:hint="eastAsia"/>
                <w:sz w:val="24"/>
                <w:szCs w:val="24"/>
              </w:rPr>
              <w:t>安全评价项目名称：</w:t>
            </w:r>
          </w:p>
        </w:tc>
        <w:tc>
          <w:tcPr>
            <w:tcW w:w="3804" w:type="pct"/>
            <w:gridSpan w:val="3"/>
          </w:tcPr>
          <w:p w14:paraId="129F37E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中国石化销售股份有限公司江西</w:t>
            </w:r>
            <w:r>
              <w:rPr>
                <w:rFonts w:hint="eastAsia"/>
                <w:lang w:val="en-US" w:eastAsia="zh-CN"/>
              </w:rPr>
              <w:t>宜春高安太阳</w:t>
            </w:r>
            <w:r>
              <w:rPr>
                <w:rFonts w:hint="eastAsia"/>
                <w:lang w:eastAsia="zh-CN"/>
              </w:rPr>
              <w:t>加油站</w:t>
            </w:r>
            <w:r>
              <w:rPr>
                <w:rFonts w:hint="eastAsia"/>
                <w:lang w:val="en-US" w:eastAsia="zh-CN"/>
              </w:rPr>
              <w:t>安全现状评价报告</w:t>
            </w:r>
          </w:p>
        </w:tc>
      </w:tr>
      <w:tr w14:paraId="47FBB6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56B9EE8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/>
                <w:sz w:val="24"/>
                <w:szCs w:val="24"/>
              </w:rPr>
              <w:t>名称：</w:t>
            </w:r>
          </w:p>
        </w:tc>
        <w:tc>
          <w:tcPr>
            <w:tcW w:w="3804" w:type="pct"/>
            <w:gridSpan w:val="3"/>
          </w:tcPr>
          <w:p w14:paraId="291EC49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中国石化销售股份有限公司</w:t>
            </w:r>
          </w:p>
        </w:tc>
      </w:tr>
      <w:tr w14:paraId="77D08F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2405938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简介：</w:t>
            </w:r>
          </w:p>
        </w:tc>
        <w:tc>
          <w:tcPr>
            <w:tcW w:w="3804" w:type="pct"/>
            <w:gridSpan w:val="3"/>
          </w:tcPr>
          <w:p w14:paraId="2D919088">
            <w:pPr>
              <w:rPr>
                <w:rFonts w:hint="eastAsia"/>
              </w:rPr>
            </w:pPr>
          </w:p>
        </w:tc>
      </w:tr>
      <w:tr w14:paraId="1246FF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02ED9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中国石化销售股份有限公司江西宜春高安太阳加油站</w:t>
            </w:r>
            <w:r>
              <w:rPr>
                <w:rFonts w:hint="eastAsia" w:eastAsia="宋体"/>
                <w:lang w:val="en-US" w:eastAsia="zh-CN"/>
              </w:rPr>
              <w:t>位于江西省高安市太阳西阳何家山，</w:t>
            </w:r>
            <w:r>
              <w:rPr>
                <w:rFonts w:hint="eastAsia" w:eastAsia="宋体"/>
                <w:lang w:eastAsia="zh-CN"/>
              </w:rPr>
              <w:t>是中国石化销售股份有限公司江西宜春石油分公司</w:t>
            </w:r>
            <w:r>
              <w:rPr>
                <w:rFonts w:hint="eastAsia" w:eastAsia="宋体"/>
                <w:lang w:val="en-US" w:eastAsia="zh-CN"/>
              </w:rPr>
              <w:t>下属加油站，</w:t>
            </w:r>
            <w:r>
              <w:rPr>
                <w:rFonts w:hint="eastAsia" w:eastAsia="宋体"/>
                <w:lang w:eastAsia="zh-CN"/>
              </w:rPr>
              <w:t>从事成品油零售经营，主要经营（92＃、</w:t>
            </w:r>
            <w:r>
              <w:rPr>
                <w:rFonts w:hint="eastAsia" w:eastAsia="宋体"/>
                <w:lang w:val="en-US" w:eastAsia="zh-CN"/>
              </w:rPr>
              <w:t>95#</w:t>
            </w:r>
            <w:r>
              <w:rPr>
                <w:rFonts w:hint="eastAsia" w:eastAsia="宋体"/>
                <w:lang w:eastAsia="zh-CN"/>
              </w:rPr>
              <w:t>）</w:t>
            </w:r>
            <w:r>
              <w:rPr>
                <w:rFonts w:hint="eastAsia" w:eastAsia="宋体"/>
                <w:lang w:val="en-US" w:eastAsia="zh-CN"/>
              </w:rPr>
              <w:t>汽油、0#柴油</w:t>
            </w:r>
            <w:r>
              <w:rPr>
                <w:rFonts w:hint="eastAsia" w:eastAsia="宋体"/>
                <w:lang w:eastAsia="zh-CN"/>
              </w:rPr>
              <w:t>。</w:t>
            </w:r>
            <w:r>
              <w:rPr>
                <w:rFonts w:hint="eastAsia" w:eastAsia="宋体"/>
                <w:lang w:val="en-US" w:eastAsia="zh-CN"/>
              </w:rPr>
              <w:t>该站土地为自有，站内建筑、设备为自有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加油、卸油工艺设置油气回收系统，罐区</w:t>
            </w:r>
            <w:r>
              <w:rPr>
                <w:rFonts w:hint="eastAsia" w:eastAsia="宋体"/>
                <w:lang w:eastAsia="zh-CN"/>
              </w:rPr>
              <w:t>设有</w:t>
            </w:r>
            <w:r>
              <w:rPr>
                <w:rFonts w:hint="eastAsia" w:eastAsia="宋体"/>
                <w:lang w:val="en-US" w:eastAsia="zh-CN"/>
              </w:rPr>
              <w:t>3个埋地油罐</w:t>
            </w:r>
            <w:r>
              <w:rPr>
                <w:rFonts w:hint="eastAsia" w:eastAsia="宋体"/>
                <w:lang w:eastAsia="zh-CN"/>
              </w:rPr>
              <w:t>，其中</w:t>
            </w:r>
            <w:r>
              <w:rPr>
                <w:rFonts w:hint="eastAsia" w:eastAsia="宋体"/>
                <w:lang w:val="en-US" w:eastAsia="zh-CN"/>
              </w:rPr>
              <w:t>30m³的92#汽油罐1个、30m³的95#汽油罐1个、30m³的0#柴油罐1个，油罐</w:t>
            </w:r>
            <w:r>
              <w:rPr>
                <w:rFonts w:hint="eastAsia" w:eastAsia="宋体"/>
                <w:lang w:eastAsia="zh-CN"/>
              </w:rPr>
              <w:t>总容积</w:t>
            </w:r>
            <w:r>
              <w:rPr>
                <w:rFonts w:hint="eastAsia" w:eastAsia="宋体"/>
                <w:lang w:val="en-US" w:eastAsia="zh-CN"/>
              </w:rPr>
              <w:t>90m3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柴油折半计容积为75m3</w:t>
            </w:r>
            <w:r>
              <w:rPr>
                <w:rFonts w:hint="eastAsia" w:eastAsia="宋体"/>
                <w:lang w:eastAsia="zh-CN"/>
              </w:rPr>
              <w:t>，为</w:t>
            </w:r>
            <w:r>
              <w:rPr>
                <w:rFonts w:hint="eastAsia" w:eastAsia="宋体"/>
                <w:lang w:val="en-US" w:eastAsia="zh-CN"/>
              </w:rPr>
              <w:t>三</w:t>
            </w:r>
            <w:r>
              <w:rPr>
                <w:rFonts w:hint="eastAsia" w:eastAsia="宋体"/>
                <w:lang w:eastAsia="zh-CN"/>
              </w:rPr>
              <w:t>级加油站。</w:t>
            </w:r>
          </w:p>
          <w:p w14:paraId="69046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加油站已</w:t>
            </w:r>
            <w:r>
              <w:rPr>
                <w:rFonts w:hint="eastAsia" w:eastAsia="宋体"/>
                <w:lang w:eastAsia="zh-CN"/>
              </w:rPr>
              <w:t>取得宜春市</w:t>
            </w:r>
            <w:r>
              <w:rPr>
                <w:rFonts w:hint="eastAsia" w:eastAsia="宋体"/>
                <w:lang w:val="en-US" w:eastAsia="zh-CN"/>
              </w:rPr>
              <w:t>应急管理</w:t>
            </w:r>
            <w:r>
              <w:rPr>
                <w:rFonts w:hint="eastAsia" w:eastAsia="宋体"/>
                <w:lang w:eastAsia="zh-CN"/>
              </w:rPr>
              <w:t>局颁发的《危险化学品经营许可证》，证号：</w:t>
            </w:r>
            <w:r>
              <w:rPr>
                <w:rFonts w:hint="eastAsia" w:eastAsia="宋体"/>
                <w:lang w:val="en-US" w:eastAsia="zh-CN"/>
              </w:rPr>
              <w:t>赣宜危化经字[2019]500288号</w:t>
            </w:r>
            <w:r>
              <w:rPr>
                <w:rFonts w:hint="eastAsia" w:eastAsia="宋体"/>
                <w:lang w:eastAsia="zh-CN"/>
              </w:rPr>
              <w:t>，有效期至2025年6月8日，许可范围：汽油、柴油。</w:t>
            </w:r>
          </w:p>
          <w:p w14:paraId="46621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根据《中华人民共和国安全生产法》（中华人民共和国主席令第</w:t>
            </w:r>
            <w:r>
              <w:rPr>
                <w:rFonts w:hint="eastAsia" w:eastAsia="宋体"/>
                <w:lang w:val="en-US" w:eastAsia="zh-CN"/>
              </w:rPr>
              <w:t>88</w:t>
            </w:r>
            <w:r>
              <w:rPr>
                <w:rFonts w:hint="eastAsia" w:eastAsia="宋体"/>
                <w:lang w:eastAsia="zh-CN"/>
              </w:rPr>
              <w:t>号）和《危险化学品安全管理条例》（国务院第591号（645号修订））及《危险化学品经营许可证管理办法》（国家安全生产监督管理总局第</w:t>
            </w:r>
            <w:r>
              <w:rPr>
                <w:rFonts w:hint="eastAsia" w:eastAsia="宋体"/>
                <w:lang w:val="en-US" w:eastAsia="zh-CN"/>
              </w:rPr>
              <w:t>55、79</w:t>
            </w:r>
            <w:r>
              <w:rPr>
                <w:rFonts w:hint="eastAsia" w:eastAsia="宋体"/>
                <w:lang w:eastAsia="zh-CN"/>
              </w:rPr>
              <w:t>号令）的规定要求，危险化学品经营许可证有效期为3年。有效期满后，经营单位继续从事危险化学品经营活动的，应当在经营许可证有效期满前3个月内向原发证机关提出换证申请。</w:t>
            </w:r>
          </w:p>
        </w:tc>
      </w:tr>
      <w:tr w14:paraId="3A6F24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403AACC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安全评价项目组长：</w:t>
            </w:r>
          </w:p>
        </w:tc>
        <w:tc>
          <w:tcPr>
            <w:tcW w:w="2788" w:type="pct"/>
            <w:gridSpan w:val="2"/>
          </w:tcPr>
          <w:p w14:paraId="19C1D09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2FF710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D5A956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技术负责人：</w:t>
            </w:r>
          </w:p>
        </w:tc>
        <w:tc>
          <w:tcPr>
            <w:tcW w:w="2788" w:type="pct"/>
            <w:gridSpan w:val="2"/>
          </w:tcPr>
          <w:p w14:paraId="019CA9B2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周红波</w:t>
            </w:r>
          </w:p>
        </w:tc>
      </w:tr>
      <w:tr w14:paraId="6D39EB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220908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过程控制负责人：</w:t>
            </w:r>
          </w:p>
        </w:tc>
        <w:tc>
          <w:tcPr>
            <w:tcW w:w="2788" w:type="pct"/>
            <w:gridSpan w:val="2"/>
          </w:tcPr>
          <w:p w14:paraId="0ED92AA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黄香港</w:t>
            </w:r>
          </w:p>
        </w:tc>
      </w:tr>
      <w:tr w14:paraId="32FA48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58B632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评价报告编制人：</w:t>
            </w:r>
          </w:p>
        </w:tc>
        <w:tc>
          <w:tcPr>
            <w:tcW w:w="2788" w:type="pct"/>
            <w:gridSpan w:val="2"/>
          </w:tcPr>
          <w:p w14:paraId="525BBA6E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0B2F0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18B887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报告审核人：</w:t>
            </w:r>
          </w:p>
        </w:tc>
        <w:tc>
          <w:tcPr>
            <w:tcW w:w="2788" w:type="pct"/>
            <w:gridSpan w:val="2"/>
          </w:tcPr>
          <w:p w14:paraId="275AAED3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檀廷斌</w:t>
            </w:r>
          </w:p>
        </w:tc>
      </w:tr>
      <w:tr w14:paraId="60057A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757282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参与评价工作的安全评价师：</w:t>
            </w:r>
          </w:p>
        </w:tc>
        <w:tc>
          <w:tcPr>
            <w:tcW w:w="2788" w:type="pct"/>
            <w:gridSpan w:val="2"/>
          </w:tcPr>
          <w:p w14:paraId="1413E01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44629D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FF8357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注册安全工程师：</w:t>
            </w:r>
          </w:p>
        </w:tc>
        <w:tc>
          <w:tcPr>
            <w:tcW w:w="2788" w:type="pct"/>
            <w:gridSpan w:val="2"/>
          </w:tcPr>
          <w:p w14:paraId="291F7B96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06E1D3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C4F064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技术专家：</w:t>
            </w:r>
          </w:p>
        </w:tc>
        <w:tc>
          <w:tcPr>
            <w:tcW w:w="2788" w:type="pct"/>
            <w:gridSpan w:val="2"/>
          </w:tcPr>
          <w:p w14:paraId="67D292C8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秦赋江</w:t>
            </w:r>
          </w:p>
        </w:tc>
      </w:tr>
      <w:tr w14:paraId="73654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2A9345B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到现场开展安全评价工作的人员名单：</w:t>
            </w:r>
          </w:p>
        </w:tc>
        <w:tc>
          <w:tcPr>
            <w:tcW w:w="2788" w:type="pct"/>
            <w:gridSpan w:val="2"/>
          </w:tcPr>
          <w:p w14:paraId="358FB20F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谢寒梅、李景龙</w:t>
            </w:r>
          </w:p>
        </w:tc>
      </w:tr>
      <w:tr w14:paraId="37F236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52F9D7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时间和主要任务：</w:t>
            </w:r>
          </w:p>
        </w:tc>
        <w:tc>
          <w:tcPr>
            <w:tcW w:w="2788" w:type="pct"/>
            <w:gridSpan w:val="2"/>
          </w:tcPr>
          <w:p w14:paraId="3BDB1A6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25.03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；勘查现场及周边环境，查阅相关技术资料、现场调研，收集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安全现状评价报告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的有关资料。</w:t>
            </w:r>
          </w:p>
        </w:tc>
      </w:tr>
      <w:tr w14:paraId="327EA9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D52FDA9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评价报告：</w:t>
            </w:r>
          </w:p>
        </w:tc>
        <w:tc>
          <w:tcPr>
            <w:tcW w:w="2788" w:type="pct"/>
            <w:gridSpan w:val="2"/>
          </w:tcPr>
          <w:p w14:paraId="4629F440">
            <w:pPr>
              <w:rPr>
                <w:rFonts w:hint="eastAsia"/>
              </w:rPr>
            </w:pPr>
          </w:p>
        </w:tc>
      </w:tr>
      <w:tr w14:paraId="6CD83B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15CF5F8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1、该加油站为成品油零售企业，属三级加油站；</w:t>
            </w:r>
          </w:p>
          <w:p w14:paraId="5D4C48C2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2、依据《危险化学品重大危险源辨识》（GB18218-2018）的规定，该加油站加油区、油罐区的危险化学品未构成危险化学品重大危险源。</w:t>
            </w:r>
          </w:p>
          <w:p w14:paraId="2DFBB3CD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3、该加油站危险度评价，油罐区为低度危险。同时加油站设置了液位监控仪、泄漏检测仪等安全设施，危险性可控制在可接受范围内。</w:t>
            </w:r>
          </w:p>
          <w:p w14:paraId="6F92C29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4、由作业条件危险性评价法的评价结果可以看出，该加油站在油罐区和卸油作业和加油区作业中存在一般危险。</w:t>
            </w:r>
          </w:p>
          <w:p w14:paraId="55C1B4C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5、该加油站不存在重大生产安全事故隐患。</w:t>
            </w:r>
          </w:p>
          <w:p w14:paraId="6A9B65C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6、该加油站平面布置、建筑结构、消防、安全设施符合国家和行业相关标准、规范的要求。</w:t>
            </w:r>
          </w:p>
          <w:p w14:paraId="5B7F669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7、该加油站安全生产管理制度齐全，执行情况良好，可以满足正常运行过程中的安全生产的需要。</w:t>
            </w:r>
          </w:p>
          <w:p w14:paraId="76E8A916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综合所述：该加油站达到安全生产经营的标准，符合经营和储存危险化学品（汽油、柴油）的安全要求。</w:t>
            </w:r>
          </w:p>
          <w:p w14:paraId="75357AE7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现场照片</w:t>
            </w:r>
          </w:p>
          <w:p w14:paraId="45E521C3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5733415" cy="7644130"/>
                  <wp:effectExtent l="0" t="0" r="635" b="13970"/>
                  <wp:docPr id="2" name="图片 2" descr="IMG_20250322_145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50322_1456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3415" cy="764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49421E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default" w:eastAsia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左一：谢寒梅，右一：李景龙</w:t>
            </w:r>
          </w:p>
        </w:tc>
      </w:tr>
      <w:tr w14:paraId="072B9C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gridSpan w:val="3"/>
          </w:tcPr>
          <w:p w14:paraId="7E7B2C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提交时间：</w:t>
            </w:r>
          </w:p>
        </w:tc>
        <w:tc>
          <w:tcPr>
            <w:tcW w:w="2500" w:type="pct"/>
          </w:tcPr>
          <w:p w14:paraId="1B8E14DE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2025.5.29</w:t>
            </w:r>
            <w:bookmarkStart w:id="0" w:name="_GoBack"/>
            <w:bookmarkEnd w:id="0"/>
          </w:p>
        </w:tc>
      </w:tr>
    </w:tbl>
    <w:p w14:paraId="58BBA7C8">
      <w:pPr>
        <w:jc w:val="center"/>
        <w:rPr>
          <w:rFonts w:hint="eastAsia" w:ascii="Times New Roman" w:hAnsi="Times New Roman" w:eastAsia="宋体" w:cs="Times New Roman"/>
          <w:b/>
          <w:bCs/>
          <w:color w:val="auto"/>
          <w:sz w:val="28"/>
          <w:lang w:eastAsia="zh-CN"/>
        </w:rPr>
      </w:pPr>
    </w:p>
    <w:p w14:paraId="10070413"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NTMzM2Q3NmIzMGJhNzRiNDY5YzFkNjM0MjhlNTQifQ=="/>
  </w:docVars>
  <w:rsids>
    <w:rsidRoot w:val="00DC121B"/>
    <w:rsid w:val="00431C16"/>
    <w:rsid w:val="00CA5370"/>
    <w:rsid w:val="00DC121B"/>
    <w:rsid w:val="03D6777D"/>
    <w:rsid w:val="041D633B"/>
    <w:rsid w:val="05F81008"/>
    <w:rsid w:val="0A7814BB"/>
    <w:rsid w:val="0A9D24A5"/>
    <w:rsid w:val="0B6423BD"/>
    <w:rsid w:val="1131606E"/>
    <w:rsid w:val="149434CF"/>
    <w:rsid w:val="15011905"/>
    <w:rsid w:val="1BED26C4"/>
    <w:rsid w:val="1CB73B31"/>
    <w:rsid w:val="1D1D6358"/>
    <w:rsid w:val="1DAE7DCC"/>
    <w:rsid w:val="1FFE32B4"/>
    <w:rsid w:val="213A2E8A"/>
    <w:rsid w:val="266D4805"/>
    <w:rsid w:val="27167136"/>
    <w:rsid w:val="27BD3A55"/>
    <w:rsid w:val="28364A85"/>
    <w:rsid w:val="28487016"/>
    <w:rsid w:val="2E375718"/>
    <w:rsid w:val="2EF9396F"/>
    <w:rsid w:val="300765AC"/>
    <w:rsid w:val="30310181"/>
    <w:rsid w:val="34184207"/>
    <w:rsid w:val="34995A7D"/>
    <w:rsid w:val="35EE1FFA"/>
    <w:rsid w:val="3BB771CB"/>
    <w:rsid w:val="3BC10ADD"/>
    <w:rsid w:val="3D4F482C"/>
    <w:rsid w:val="3EF40EA6"/>
    <w:rsid w:val="3F5A01FC"/>
    <w:rsid w:val="42235E22"/>
    <w:rsid w:val="44DD5A41"/>
    <w:rsid w:val="47123FFB"/>
    <w:rsid w:val="4CFA3536"/>
    <w:rsid w:val="4DBF769C"/>
    <w:rsid w:val="4ED2625F"/>
    <w:rsid w:val="56332E5B"/>
    <w:rsid w:val="564D3DA3"/>
    <w:rsid w:val="569044B2"/>
    <w:rsid w:val="5F8A5D4B"/>
    <w:rsid w:val="602D7F21"/>
    <w:rsid w:val="610A2B60"/>
    <w:rsid w:val="654E4206"/>
    <w:rsid w:val="693A22B4"/>
    <w:rsid w:val="6A191E76"/>
    <w:rsid w:val="6A931E04"/>
    <w:rsid w:val="6ADD12F2"/>
    <w:rsid w:val="6D594C53"/>
    <w:rsid w:val="755B1633"/>
    <w:rsid w:val="75B07D22"/>
    <w:rsid w:val="78CE482F"/>
    <w:rsid w:val="79AD7245"/>
    <w:rsid w:val="7A8B751C"/>
    <w:rsid w:val="7C2A3365"/>
    <w:rsid w:val="7CCD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0" w:afterLines="0" w:line="600" w:lineRule="exact"/>
      <w:outlineLvl w:val="1"/>
    </w:pPr>
    <w:rPr>
      <w:rFonts w:ascii="Times New Roman" w:hAnsi="Times New Roman"/>
      <w:b/>
      <w:bCs/>
      <w:sz w:val="28"/>
      <w:szCs w:val="28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adjustRightInd w:val="0"/>
      <w:spacing w:before="280" w:after="290" w:line="376" w:lineRule="atLeast"/>
      <w:ind w:firstLine="567"/>
      <w:jc w:val="left"/>
      <w:outlineLvl w:val="3"/>
    </w:pPr>
    <w:rPr>
      <w:rFonts w:ascii="Arial" w:hAnsi="Arial" w:eastAsia="宋体"/>
      <w:kern w:val="0"/>
      <w:szCs w:val="20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autoRedefine/>
    <w:qFormat/>
    <w:uiPriority w:val="0"/>
    <w:rPr>
      <w:rFonts w:eastAsia="黑体"/>
      <w:sz w:val="28"/>
    </w:rPr>
  </w:style>
  <w:style w:type="paragraph" w:styleId="6">
    <w:name w:val="footer"/>
    <w:basedOn w:val="1"/>
    <w:next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8">
    <w:name w:val="Body Text First Indent 2"/>
    <w:basedOn w:val="5"/>
    <w:next w:val="1"/>
    <w:autoRedefine/>
    <w:qFormat/>
    <w:uiPriority w:val="99"/>
    <w:pPr>
      <w:tabs>
        <w:tab w:val="left" w:pos="0"/>
        <w:tab w:val="left" w:pos="870"/>
        <w:tab w:val="left" w:pos="3150"/>
      </w:tabs>
      <w:autoSpaceDE w:val="0"/>
      <w:autoSpaceDN w:val="0"/>
      <w:adjustRightInd w:val="0"/>
      <w:spacing w:line="360" w:lineRule="auto"/>
      <w:ind w:firstLine="527"/>
    </w:pPr>
    <w:rPr>
      <w:rFonts w:ascii="宋体" w:cs="宋体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正文"/>
    <w:unhideWhenUsed/>
    <w:qFormat/>
    <w:uiPriority w:val="0"/>
    <w:pPr>
      <w:widowControl w:val="0"/>
      <w:spacing w:line="360" w:lineRule="auto"/>
      <w:ind w:firstLine="720" w:firstLineChars="200"/>
    </w:pPr>
    <w:rPr>
      <w:rFonts w:ascii="Calibri" w:hAnsi="Calibri" w:eastAsia="宋体" w:cstheme="minorBidi"/>
      <w:sz w:val="28"/>
      <w:szCs w:val="22"/>
      <w:lang w:val="en-US" w:eastAsia="zh-CN" w:bidi="ar-SA"/>
    </w:rPr>
  </w:style>
  <w:style w:type="paragraph" w:customStyle="1" w:styleId="13">
    <w:name w:val="toc 84"/>
    <w:next w:val="1"/>
    <w:autoRedefine/>
    <w:qFormat/>
    <w:uiPriority w:val="99"/>
    <w:pPr>
      <w:wordWrap w:val="0"/>
      <w:ind w:left="297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4">
    <w:name w:val="样式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样式 标题 2"/>
    <w:basedOn w:val="2"/>
    <w:autoRedefine/>
    <w:qFormat/>
    <w:uiPriority w:val="0"/>
    <w:pPr>
      <w:snapToGrid w:val="0"/>
      <w:spacing w:before="120" w:beforeLines="0" w:after="120" w:afterLines="0" w:line="240" w:lineRule="auto"/>
    </w:pPr>
    <w:rPr>
      <w:rFonts w:eastAsia="宋体" w:cs="宋体"/>
      <w:bCs w:val="0"/>
    </w:rPr>
  </w:style>
  <w:style w:type="paragraph" w:customStyle="1" w:styleId="16">
    <w:name w:val="Default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zl正文"/>
    <w:basedOn w:val="1"/>
    <w:autoRedefine/>
    <w:qFormat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1086</Words>
  <Characters>1159</Characters>
  <Lines>1</Lines>
  <Paragraphs>1</Paragraphs>
  <TotalTime>0</TotalTime>
  <ScaleCrop>false</ScaleCrop>
  <LinksUpToDate>false</LinksUpToDate>
  <CharactersWithSpaces>1159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2016-03-22T07:50:00Z</dcterms:created>
  <dc:creator>微软用户</dc:creator>
  <cp:lastModifiedBy>安若秦天</cp:lastModifiedBy>
  <dcterms:modified xsi:type="dcterms:W3CDTF">2025-05-29T02:16:54Z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F4E68DD07B394575B40F59BCE666E781_13</vt:lpwstr>
  </property>
  <property fmtid="{D5CDD505-2E9C-101B-9397-08002B2CF9AE}" pid="4" name="KSOTemplateDocerSaveRecord">
    <vt:lpwstr>eyJoZGlkIjoiOGNiNTMzM2Q3NmIzMGJhNzRiNDY5YzFkNjM0MjhlNTQiLCJ1c2VySWQiOiIyNDM3NDM4MDAifQ==</vt:lpwstr>
  </property>
</Properties>
</file>